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5.jpg" ContentType="image/png"/>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A7DF2" w:rsidRPr="00A90F8A" w:rsidRDefault="0072439D" w:rsidP="000C5DD2">
      <w:pPr>
        <w:pStyle w:val="PPVBody"/>
        <w:rPr>
          <w:rFonts w:asciiTheme="minorHAnsi" w:hAnsiTheme="minorHAnsi"/>
        </w:rPr>
      </w:pPr>
      <w:bookmarkStart w:id="0" w:name="_GoBack"/>
      <w:bookmarkEnd w:id="0"/>
      <w:r w:rsidRPr="00A90F8A">
        <w:rPr>
          <w:rFonts w:asciiTheme="minorHAnsi" w:hAnsiTheme="minorHAnsi"/>
          <w:b/>
          <w:i/>
          <w:noProof/>
          <w:color w:val="FFFFFF" w:themeColor="background1"/>
        </w:rPr>
        <w:drawing>
          <wp:anchor distT="0" distB="0" distL="114300" distR="114300" simplePos="0" relativeHeight="251678720" behindDoc="1" locked="0" layoutInCell="1" allowOverlap="1" wp14:anchorId="47966BD4" wp14:editId="70B37E14">
            <wp:simplePos x="0" y="0"/>
            <wp:positionH relativeFrom="column">
              <wp:posOffset>-320040</wp:posOffset>
            </wp:positionH>
            <wp:positionV relativeFrom="paragraph">
              <wp:posOffset>-662940</wp:posOffset>
            </wp:positionV>
            <wp:extent cx="6740224" cy="9753600"/>
            <wp:effectExtent l="0" t="0" r="381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740224" cy="975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7DF2" w:rsidRPr="00A90F8A">
        <w:rPr>
          <w:rFonts w:asciiTheme="minorHAnsi" w:hAnsiTheme="minorHAnsi"/>
          <w:b/>
          <w:i/>
          <w:color w:val="FFFFFF" w:themeColor="background1"/>
        </w:rPr>
        <w:t>Planning and Environment Act 1987</w:t>
      </w:r>
    </w:p>
    <w:p w:rsidR="005A7DF2" w:rsidRPr="00A90F8A" w:rsidRDefault="004E1A49" w:rsidP="00BE0A0B">
      <w:pPr>
        <w:pStyle w:val="AAAPanelName"/>
        <w:rPr>
          <w:rFonts w:asciiTheme="minorHAnsi" w:hAnsiTheme="minorHAnsi"/>
        </w:rPr>
      </w:pPr>
      <w:r w:rsidRPr="00A90F8A">
        <w:rPr>
          <w:rFonts w:asciiTheme="minorHAnsi" w:hAnsiTheme="minorHAnsi"/>
        </w:rPr>
        <w:t>Fishermans Bend Planning Review Panel</w:t>
      </w:r>
    </w:p>
    <w:p w:rsidR="005A7DF2" w:rsidRDefault="004E1A49" w:rsidP="008B29A9">
      <w:pPr>
        <w:pStyle w:val="AACommonName"/>
        <w:jc w:val="left"/>
        <w:rPr>
          <w:rFonts w:asciiTheme="minorHAnsi" w:hAnsiTheme="minorHAnsi"/>
          <w:sz w:val="40"/>
          <w:szCs w:val="40"/>
        </w:rPr>
      </w:pPr>
      <w:r w:rsidRPr="00A90F8A">
        <w:rPr>
          <w:rFonts w:asciiTheme="minorHAnsi" w:hAnsiTheme="minorHAnsi"/>
          <w:sz w:val="40"/>
          <w:szCs w:val="40"/>
        </w:rPr>
        <w:t>Report</w:t>
      </w:r>
      <w:r w:rsidR="007F4086">
        <w:rPr>
          <w:rFonts w:asciiTheme="minorHAnsi" w:hAnsiTheme="minorHAnsi"/>
          <w:sz w:val="40"/>
          <w:szCs w:val="40"/>
        </w:rPr>
        <w:t xml:space="preserve"> </w:t>
      </w:r>
      <w:r w:rsidR="00B858F1">
        <w:rPr>
          <w:rFonts w:asciiTheme="minorHAnsi" w:hAnsiTheme="minorHAnsi"/>
          <w:sz w:val="40"/>
          <w:szCs w:val="40"/>
        </w:rPr>
        <w:t>No</w:t>
      </w:r>
      <w:r w:rsidR="007F099E">
        <w:rPr>
          <w:rFonts w:asciiTheme="minorHAnsi" w:hAnsiTheme="minorHAnsi"/>
          <w:sz w:val="40"/>
          <w:szCs w:val="40"/>
        </w:rPr>
        <w:t>. 1</w:t>
      </w:r>
      <w:r w:rsidR="00B858F1">
        <w:rPr>
          <w:rFonts w:asciiTheme="minorHAnsi" w:hAnsiTheme="minorHAnsi"/>
          <w:sz w:val="40"/>
          <w:szCs w:val="40"/>
        </w:rPr>
        <w:t xml:space="preserve"> </w:t>
      </w:r>
      <w:r w:rsidR="006C28F2">
        <w:rPr>
          <w:rFonts w:asciiTheme="minorHAnsi" w:hAnsiTheme="minorHAnsi"/>
          <w:sz w:val="40"/>
          <w:szCs w:val="40"/>
        </w:rPr>
        <w:t xml:space="preserve">– </w:t>
      </w:r>
      <w:r w:rsidR="007F4086">
        <w:rPr>
          <w:rFonts w:asciiTheme="minorHAnsi" w:hAnsiTheme="minorHAnsi"/>
          <w:sz w:val="40"/>
          <w:szCs w:val="40"/>
        </w:rPr>
        <w:t>Volume 1</w:t>
      </w:r>
    </w:p>
    <w:p w:rsidR="00C1243D" w:rsidRPr="00A90F8A" w:rsidRDefault="00C1243D" w:rsidP="008B29A9">
      <w:pPr>
        <w:pStyle w:val="AACommonName"/>
        <w:jc w:val="left"/>
        <w:rPr>
          <w:rFonts w:asciiTheme="minorHAnsi" w:hAnsiTheme="minorHAnsi"/>
          <w:sz w:val="40"/>
          <w:szCs w:val="40"/>
        </w:rPr>
      </w:pPr>
      <w:r>
        <w:rPr>
          <w:rFonts w:asciiTheme="minorHAnsi" w:hAnsiTheme="minorHAnsi"/>
          <w:sz w:val="40"/>
          <w:szCs w:val="40"/>
        </w:rPr>
        <w:t>Overview</w:t>
      </w:r>
    </w:p>
    <w:p w:rsidR="00681DCE" w:rsidRPr="00A90F8A" w:rsidRDefault="00681DCE"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070412" w:rsidRPr="00A90F8A" w:rsidRDefault="00070412" w:rsidP="000C5DD2">
      <w:pPr>
        <w:pStyle w:val="PPVBody"/>
        <w:rPr>
          <w:rFonts w:asciiTheme="minorHAnsi" w:hAnsiTheme="minorHAnsi"/>
        </w:rPr>
      </w:pPr>
    </w:p>
    <w:p w:rsidR="00607994" w:rsidRPr="00A90F8A" w:rsidRDefault="00947781" w:rsidP="00BE0A0B">
      <w:pPr>
        <w:pStyle w:val="AADate"/>
        <w:rPr>
          <w:rFonts w:asciiTheme="minorHAnsi" w:hAnsiTheme="minorHAnsi"/>
          <w:color w:val="auto"/>
          <w:sz w:val="28"/>
          <w:szCs w:val="28"/>
        </w:rPr>
      </w:pPr>
      <w:r w:rsidRPr="00A90F8A">
        <w:rPr>
          <w:rFonts w:asciiTheme="minorHAnsi" w:hAnsiTheme="minorHAnsi"/>
          <w:color w:val="auto"/>
          <w:sz w:val="28"/>
          <w:szCs w:val="28"/>
        </w:rPr>
        <w:t>1</w:t>
      </w:r>
      <w:r w:rsidR="00F606B4">
        <w:rPr>
          <w:rFonts w:asciiTheme="minorHAnsi" w:hAnsiTheme="minorHAnsi"/>
          <w:color w:val="auto"/>
          <w:sz w:val="28"/>
          <w:szCs w:val="28"/>
        </w:rPr>
        <w:t>9</w:t>
      </w:r>
      <w:r w:rsidR="00903B9C" w:rsidRPr="00A90F8A">
        <w:rPr>
          <w:rFonts w:asciiTheme="minorHAnsi" w:hAnsiTheme="minorHAnsi"/>
          <w:color w:val="auto"/>
          <w:sz w:val="28"/>
          <w:szCs w:val="28"/>
        </w:rPr>
        <w:t xml:space="preserve"> </w:t>
      </w:r>
      <w:r w:rsidR="004E1A49" w:rsidRPr="00A90F8A">
        <w:rPr>
          <w:rFonts w:asciiTheme="minorHAnsi" w:hAnsiTheme="minorHAnsi"/>
          <w:color w:val="auto"/>
          <w:sz w:val="28"/>
          <w:szCs w:val="28"/>
        </w:rPr>
        <w:t>July</w:t>
      </w:r>
      <w:r w:rsidR="00903B9C" w:rsidRPr="00A90F8A">
        <w:rPr>
          <w:rFonts w:asciiTheme="minorHAnsi" w:hAnsiTheme="minorHAnsi"/>
          <w:color w:val="auto"/>
          <w:sz w:val="28"/>
          <w:szCs w:val="28"/>
        </w:rPr>
        <w:t xml:space="preserve"> 20</w:t>
      </w:r>
      <w:r w:rsidR="004E1A49" w:rsidRPr="00A90F8A">
        <w:rPr>
          <w:rFonts w:asciiTheme="minorHAnsi" w:hAnsiTheme="minorHAnsi"/>
          <w:color w:val="auto"/>
          <w:sz w:val="28"/>
          <w:szCs w:val="28"/>
        </w:rPr>
        <w:t>18</w:t>
      </w:r>
    </w:p>
    <w:p w:rsidR="005A7DF2" w:rsidRPr="00A90F8A" w:rsidRDefault="005A7DF2" w:rsidP="000C5DD2">
      <w:pPr>
        <w:pStyle w:val="PPVBody"/>
        <w:rPr>
          <w:rFonts w:asciiTheme="minorHAnsi" w:hAnsiTheme="minorHAnsi"/>
        </w:rPr>
      </w:pPr>
    </w:p>
    <w:p w:rsidR="00D9307F" w:rsidRPr="00431492" w:rsidRDefault="005A7DF2" w:rsidP="000C5DD2">
      <w:pPr>
        <w:pStyle w:val="PPVBody"/>
        <w:rPr>
          <w:rFonts w:asciiTheme="minorHAnsi" w:hAnsiTheme="minorHAnsi"/>
          <w:b/>
        </w:rPr>
      </w:pPr>
      <w:r w:rsidRPr="00431492">
        <w:rPr>
          <w:rFonts w:asciiTheme="minorHAnsi" w:hAnsiTheme="minorHAnsi"/>
          <w:b/>
        </w:rPr>
        <w:br w:type="page"/>
      </w:r>
    </w:p>
    <w:p w:rsidR="00D067BC" w:rsidRPr="00A90F8A" w:rsidRDefault="00D067BC" w:rsidP="000C5DD2">
      <w:pPr>
        <w:pStyle w:val="PPVBody"/>
        <w:rPr>
          <w:rFonts w:asciiTheme="minorHAnsi" w:hAnsiTheme="minorHAnsi"/>
        </w:rPr>
      </w:pPr>
    </w:p>
    <w:p w:rsidR="00D067BC" w:rsidRPr="00A90F8A" w:rsidRDefault="00D067BC" w:rsidP="000C5DD2">
      <w:pPr>
        <w:pStyle w:val="PPVBody"/>
        <w:rPr>
          <w:rFonts w:asciiTheme="minorHAnsi" w:hAnsiTheme="minorHAnsi"/>
        </w:rPr>
      </w:pPr>
    </w:p>
    <w:p w:rsidR="00D067BC" w:rsidRPr="00A90F8A" w:rsidRDefault="00D067BC" w:rsidP="000C5DD2">
      <w:pPr>
        <w:pStyle w:val="PPVBody"/>
        <w:rPr>
          <w:rFonts w:asciiTheme="minorHAnsi" w:hAnsiTheme="minorHAnsi"/>
        </w:rPr>
      </w:pPr>
    </w:p>
    <w:p w:rsidR="00D067BC" w:rsidRPr="00A90F8A" w:rsidRDefault="00D067BC"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96B00" w:rsidRPr="00A90F8A" w:rsidRDefault="00996B00" w:rsidP="000C5DD2">
      <w:pPr>
        <w:pStyle w:val="PPVBody"/>
        <w:rPr>
          <w:rFonts w:asciiTheme="minorHAnsi" w:hAnsiTheme="minorHAnsi"/>
        </w:rPr>
      </w:pPr>
    </w:p>
    <w:p w:rsidR="00947781" w:rsidRPr="00A90F8A" w:rsidRDefault="00947781" w:rsidP="000C5DD2">
      <w:pPr>
        <w:pStyle w:val="PPVBody"/>
        <w:rPr>
          <w:rFonts w:asciiTheme="minorHAnsi" w:hAnsiTheme="minorHAnsi"/>
          <w:i/>
        </w:rPr>
      </w:pPr>
    </w:p>
    <w:p w:rsidR="00947781" w:rsidRPr="00A90F8A" w:rsidRDefault="00947781" w:rsidP="000C5DD2">
      <w:pPr>
        <w:pStyle w:val="PPVBody"/>
        <w:rPr>
          <w:rFonts w:asciiTheme="minorHAnsi" w:hAnsiTheme="minorHAnsi"/>
          <w:i/>
        </w:rPr>
      </w:pPr>
    </w:p>
    <w:p w:rsidR="00E765FC" w:rsidRPr="00A90F8A" w:rsidRDefault="00E765FC" w:rsidP="000C5DD2">
      <w:pPr>
        <w:pStyle w:val="PPVBody"/>
        <w:rPr>
          <w:rFonts w:asciiTheme="minorHAnsi" w:hAnsiTheme="minorHAnsi"/>
          <w:i/>
        </w:rPr>
      </w:pPr>
      <w:r w:rsidRPr="00A90F8A">
        <w:rPr>
          <w:rFonts w:asciiTheme="minorHAnsi" w:hAnsiTheme="minorHAnsi"/>
          <w:i/>
        </w:rPr>
        <w:t>Planning and Environment Act 1987</w:t>
      </w:r>
    </w:p>
    <w:p w:rsidR="00E765FC" w:rsidRPr="00A90F8A" w:rsidRDefault="00C3789F" w:rsidP="000C5DD2">
      <w:pPr>
        <w:pStyle w:val="PPVBody"/>
        <w:rPr>
          <w:rFonts w:asciiTheme="minorHAnsi" w:hAnsiTheme="minorHAnsi"/>
        </w:rPr>
      </w:pPr>
      <w:r w:rsidRPr="00A90F8A">
        <w:rPr>
          <w:rFonts w:asciiTheme="minorHAnsi" w:hAnsiTheme="minorHAnsi"/>
        </w:rPr>
        <w:t xml:space="preserve">Report </w:t>
      </w:r>
      <w:r w:rsidR="004E1A49" w:rsidRPr="00A90F8A">
        <w:rPr>
          <w:rFonts w:asciiTheme="minorHAnsi" w:hAnsiTheme="minorHAnsi"/>
        </w:rPr>
        <w:t>pursuant to section 151</w:t>
      </w:r>
      <w:r w:rsidR="00E765FC" w:rsidRPr="00A90F8A">
        <w:rPr>
          <w:rFonts w:asciiTheme="minorHAnsi" w:hAnsiTheme="minorHAnsi"/>
        </w:rPr>
        <w:t xml:space="preserve"> of the Act</w:t>
      </w:r>
    </w:p>
    <w:p w:rsidR="00E765FC" w:rsidRPr="00A90F8A" w:rsidRDefault="003C1E8A" w:rsidP="000C5DD2">
      <w:pPr>
        <w:pStyle w:val="PPVBody"/>
        <w:rPr>
          <w:rFonts w:asciiTheme="minorHAnsi" w:hAnsiTheme="minorHAnsi"/>
        </w:rPr>
      </w:pPr>
      <w:r w:rsidRPr="00A90F8A">
        <w:rPr>
          <w:rFonts w:asciiTheme="minorHAnsi" w:hAnsiTheme="minorHAnsi"/>
        </w:rPr>
        <w:fldChar w:fldCharType="begin"/>
      </w:r>
      <w:r w:rsidRPr="00A90F8A">
        <w:rPr>
          <w:rFonts w:asciiTheme="minorHAnsi" w:hAnsiTheme="minorHAnsi"/>
        </w:rPr>
        <w:instrText xml:space="preserve"> STYLEREF  "AAA Panel Name"  \* MERGEFORMAT </w:instrText>
      </w:r>
      <w:r w:rsidRPr="00A90F8A">
        <w:rPr>
          <w:rFonts w:asciiTheme="minorHAnsi" w:hAnsiTheme="minorHAnsi"/>
        </w:rPr>
        <w:fldChar w:fldCharType="separate"/>
      </w:r>
      <w:r w:rsidR="00A307EC">
        <w:rPr>
          <w:rFonts w:asciiTheme="minorHAnsi" w:hAnsiTheme="minorHAnsi"/>
          <w:noProof/>
        </w:rPr>
        <w:t>Fishermans Bend Planning Review Panel</w:t>
      </w:r>
      <w:r w:rsidRPr="00A90F8A">
        <w:rPr>
          <w:rFonts w:asciiTheme="minorHAnsi" w:hAnsiTheme="minorHAnsi"/>
          <w:noProof/>
        </w:rPr>
        <w:fldChar w:fldCharType="end"/>
      </w:r>
    </w:p>
    <w:p w:rsidR="00505E80" w:rsidRPr="00A90F8A" w:rsidRDefault="003C1E8A" w:rsidP="000C5DD2">
      <w:pPr>
        <w:pStyle w:val="PPVBody"/>
        <w:rPr>
          <w:rFonts w:asciiTheme="minorHAnsi" w:hAnsiTheme="minorHAnsi"/>
        </w:rPr>
      </w:pPr>
      <w:r w:rsidRPr="00A90F8A">
        <w:rPr>
          <w:rFonts w:asciiTheme="minorHAnsi" w:hAnsiTheme="minorHAnsi"/>
        </w:rPr>
        <w:fldChar w:fldCharType="begin"/>
      </w:r>
      <w:r w:rsidRPr="00A90F8A">
        <w:rPr>
          <w:rFonts w:asciiTheme="minorHAnsi" w:hAnsiTheme="minorHAnsi"/>
        </w:rPr>
        <w:instrText xml:space="preserve"> STYLEREF  "AA Common Name"  \* MERGEFORMAT </w:instrText>
      </w:r>
      <w:r w:rsidRPr="00A90F8A">
        <w:rPr>
          <w:rFonts w:asciiTheme="minorHAnsi" w:hAnsiTheme="minorHAnsi"/>
        </w:rPr>
        <w:fldChar w:fldCharType="separate"/>
      </w:r>
      <w:r w:rsidR="00A307EC">
        <w:rPr>
          <w:rFonts w:asciiTheme="minorHAnsi" w:hAnsiTheme="minorHAnsi"/>
          <w:noProof/>
        </w:rPr>
        <w:t>Overview</w:t>
      </w:r>
      <w:r w:rsidRPr="00A90F8A">
        <w:rPr>
          <w:rFonts w:asciiTheme="minorHAnsi" w:hAnsiTheme="minorHAnsi"/>
          <w:noProof/>
        </w:rPr>
        <w:fldChar w:fldCharType="end"/>
      </w:r>
    </w:p>
    <w:p w:rsidR="00314E42" w:rsidRPr="00A90F8A" w:rsidRDefault="003C1E8A" w:rsidP="000C5DD2">
      <w:pPr>
        <w:pStyle w:val="PPVBody"/>
        <w:rPr>
          <w:rFonts w:asciiTheme="minorHAnsi" w:hAnsiTheme="minorHAnsi"/>
        </w:rPr>
      </w:pPr>
      <w:r w:rsidRPr="00A90F8A">
        <w:rPr>
          <w:rFonts w:asciiTheme="minorHAnsi" w:hAnsiTheme="minorHAnsi"/>
        </w:rPr>
        <w:fldChar w:fldCharType="begin"/>
      </w:r>
      <w:r w:rsidRPr="00A90F8A">
        <w:rPr>
          <w:rFonts w:asciiTheme="minorHAnsi" w:hAnsiTheme="minorHAnsi"/>
        </w:rPr>
        <w:instrText xml:space="preserve"> STYLEREF  "AA Date"  \* MERGEFORMAT </w:instrText>
      </w:r>
      <w:r w:rsidRPr="00A90F8A">
        <w:rPr>
          <w:rFonts w:asciiTheme="minorHAnsi" w:hAnsiTheme="minorHAnsi"/>
        </w:rPr>
        <w:fldChar w:fldCharType="separate"/>
      </w:r>
      <w:r w:rsidR="00A307EC">
        <w:rPr>
          <w:rFonts w:asciiTheme="minorHAnsi" w:hAnsiTheme="minorHAnsi"/>
          <w:noProof/>
        </w:rPr>
        <w:t>19 July 2018</w:t>
      </w:r>
      <w:r w:rsidRPr="00A90F8A">
        <w:rPr>
          <w:rFonts w:asciiTheme="minorHAnsi" w:hAnsiTheme="minorHAnsi"/>
          <w:noProof/>
        </w:rPr>
        <w:fldChar w:fldCharType="end"/>
      </w:r>
    </w:p>
    <w:p w:rsidR="00314E42" w:rsidRPr="00A90F8A" w:rsidRDefault="00314E42" w:rsidP="000C5DD2">
      <w:pPr>
        <w:pStyle w:val="PPVBody"/>
        <w:rPr>
          <w:rFonts w:asciiTheme="minorHAnsi" w:hAnsiTheme="minorHAnsi"/>
        </w:rPr>
      </w:pPr>
    </w:p>
    <w:p w:rsidR="00947781" w:rsidRPr="00A90F8A" w:rsidRDefault="000947CB" w:rsidP="004E1A49">
      <w:pPr>
        <w:pStyle w:val="PPVBody"/>
        <w:tabs>
          <w:tab w:val="left" w:pos="4536"/>
        </w:tabs>
        <w:rPr>
          <w:rFonts w:asciiTheme="minorHAnsi" w:hAnsiTheme="minorHAnsi"/>
        </w:rPr>
      </w:pPr>
      <w:r>
        <w:rPr>
          <w:rFonts w:asciiTheme="minorHAnsi" w:hAnsiTheme="minorHAnsi"/>
          <w:noProof/>
        </w:rPr>
        <w:drawing>
          <wp:inline distT="0" distB="0" distL="0" distR="0">
            <wp:extent cx="1287887" cy="85725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Kathy Mitchell's signature colou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00353" cy="865548"/>
                    </a:xfrm>
                    <a:prstGeom prst="rect">
                      <a:avLst/>
                    </a:prstGeom>
                  </pic:spPr>
                </pic:pic>
              </a:graphicData>
            </a:graphic>
          </wp:inline>
        </w:drawing>
      </w:r>
      <w:r>
        <w:rPr>
          <w:rFonts w:asciiTheme="minorHAnsi" w:hAnsiTheme="minorHAnsi"/>
        </w:rPr>
        <w:tab/>
      </w:r>
      <w:r>
        <w:rPr>
          <w:rFonts w:asciiTheme="minorHAnsi" w:hAnsiTheme="minorHAnsi"/>
          <w:noProof/>
        </w:rPr>
        <w:drawing>
          <wp:inline distT="0" distB="0" distL="0" distR="0">
            <wp:extent cx="1778508" cy="5532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ester Townsend's signature.jpg"/>
                    <pic:cNvPicPr/>
                  </pic:nvPicPr>
                  <pic:blipFill>
                    <a:blip r:embed="rId16">
                      <a:extLst>
                        <a:ext uri="{BEBA8EAE-BF5A-486C-A8C5-ECC9F3942E4B}">
                          <a14:imgProps xmlns:a14="http://schemas.microsoft.com/office/drawing/2010/main">
                            <a14:imgLayer r:embed="rId17">
                              <a14:imgEffect>
                                <a14:brightnessContrast contrast="38000"/>
                              </a14:imgEffect>
                            </a14:imgLayer>
                          </a14:imgProps>
                        </a:ext>
                        <a:ext uri="{28A0092B-C50C-407E-A947-70E740481C1C}">
                          <a14:useLocalDpi xmlns:a14="http://schemas.microsoft.com/office/drawing/2010/main" val="0"/>
                        </a:ext>
                      </a:extLst>
                    </a:blip>
                    <a:stretch>
                      <a:fillRect/>
                    </a:stretch>
                  </pic:blipFill>
                  <pic:spPr>
                    <a:xfrm>
                      <a:off x="0" y="0"/>
                      <a:ext cx="1778508" cy="553212"/>
                    </a:xfrm>
                    <a:prstGeom prst="rect">
                      <a:avLst/>
                    </a:prstGeom>
                  </pic:spPr>
                </pic:pic>
              </a:graphicData>
            </a:graphic>
          </wp:inline>
        </w:drawing>
      </w:r>
    </w:p>
    <w:p w:rsidR="004E1A49" w:rsidRPr="00A90F8A" w:rsidRDefault="004E1A49" w:rsidP="004E1A49">
      <w:pPr>
        <w:pStyle w:val="PPVBody"/>
        <w:tabs>
          <w:tab w:val="left" w:pos="4536"/>
        </w:tabs>
        <w:rPr>
          <w:rFonts w:asciiTheme="minorHAnsi" w:hAnsiTheme="minorHAnsi"/>
        </w:rPr>
      </w:pPr>
      <w:r w:rsidRPr="00A90F8A">
        <w:rPr>
          <w:rFonts w:asciiTheme="minorHAnsi" w:hAnsiTheme="minorHAnsi"/>
        </w:rPr>
        <w:t>Kathy Mitchell, Chair</w:t>
      </w:r>
      <w:r w:rsidRPr="00A90F8A">
        <w:rPr>
          <w:rFonts w:asciiTheme="minorHAnsi" w:hAnsiTheme="minorHAnsi"/>
        </w:rPr>
        <w:tab/>
        <w:t>Lester Townsend, Deputy Chair</w:t>
      </w:r>
    </w:p>
    <w:p w:rsidR="004E1A49" w:rsidRPr="00431492" w:rsidRDefault="004E1A49" w:rsidP="004E1A49">
      <w:pPr>
        <w:pStyle w:val="PPVBody"/>
        <w:tabs>
          <w:tab w:val="left" w:pos="4536"/>
        </w:tabs>
        <w:rPr>
          <w:rFonts w:asciiTheme="minorHAnsi" w:hAnsiTheme="minorHAnsi"/>
        </w:rPr>
      </w:pPr>
    </w:p>
    <w:p w:rsidR="00947781" w:rsidRPr="00A90F8A" w:rsidRDefault="000947CB" w:rsidP="004E1A49">
      <w:pPr>
        <w:pStyle w:val="PPVBody"/>
        <w:tabs>
          <w:tab w:val="left" w:pos="4536"/>
        </w:tabs>
        <w:rPr>
          <w:rFonts w:asciiTheme="minorHAnsi" w:hAnsiTheme="minorHAnsi"/>
        </w:rPr>
      </w:pPr>
      <w:r>
        <w:rPr>
          <w:rFonts w:asciiTheme="minorHAnsi" w:hAnsiTheme="minorHAnsi"/>
          <w:noProof/>
        </w:rPr>
        <w:drawing>
          <wp:inline distT="0" distB="0" distL="0" distR="0">
            <wp:extent cx="1467293" cy="585523"/>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rah Carlisle's Signatur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07053" cy="601389"/>
                    </a:xfrm>
                    <a:prstGeom prst="rect">
                      <a:avLst/>
                    </a:prstGeom>
                  </pic:spPr>
                </pic:pic>
              </a:graphicData>
            </a:graphic>
          </wp:inline>
        </w:drawing>
      </w:r>
      <w:r>
        <w:rPr>
          <w:rFonts w:asciiTheme="minorHAnsi" w:hAnsiTheme="minorHAnsi"/>
        </w:rPr>
        <w:tab/>
      </w:r>
      <w:r>
        <w:rPr>
          <w:rFonts w:asciiTheme="minorHAnsi" w:hAnsiTheme="minorHAnsi"/>
          <w:noProof/>
        </w:rPr>
        <w:drawing>
          <wp:inline distT="0" distB="0" distL="0" distR="0">
            <wp:extent cx="1772093" cy="55289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odger Eade's signature.jpg"/>
                    <pic:cNvPicPr/>
                  </pic:nvPicPr>
                  <pic:blipFill>
                    <a:blip r:embed="rId19">
                      <a:extLst>
                        <a:ext uri="{28A0092B-C50C-407E-A947-70E740481C1C}">
                          <a14:useLocalDpi xmlns:a14="http://schemas.microsoft.com/office/drawing/2010/main" val="0"/>
                        </a:ext>
                      </a:extLst>
                    </a:blip>
                    <a:stretch>
                      <a:fillRect/>
                    </a:stretch>
                  </pic:blipFill>
                  <pic:spPr>
                    <a:xfrm>
                      <a:off x="0" y="0"/>
                      <a:ext cx="1779856" cy="555315"/>
                    </a:xfrm>
                    <a:prstGeom prst="rect">
                      <a:avLst/>
                    </a:prstGeom>
                  </pic:spPr>
                </pic:pic>
              </a:graphicData>
            </a:graphic>
          </wp:inline>
        </w:drawing>
      </w:r>
    </w:p>
    <w:p w:rsidR="004E1A49" w:rsidRPr="00A90F8A" w:rsidRDefault="00C21C9E" w:rsidP="004E1A49">
      <w:pPr>
        <w:pStyle w:val="PPVBody"/>
        <w:tabs>
          <w:tab w:val="left" w:pos="4536"/>
        </w:tabs>
        <w:rPr>
          <w:rFonts w:asciiTheme="minorHAnsi" w:hAnsiTheme="minorHAnsi"/>
        </w:rPr>
      </w:pPr>
      <w:r w:rsidRPr="00A90F8A">
        <w:rPr>
          <w:rFonts w:asciiTheme="minorHAnsi" w:hAnsiTheme="minorHAnsi"/>
        </w:rPr>
        <w:t>Sarah Carlisle</w:t>
      </w:r>
      <w:r w:rsidR="004E1A49" w:rsidRPr="00A90F8A">
        <w:rPr>
          <w:rFonts w:asciiTheme="minorHAnsi" w:hAnsiTheme="minorHAnsi"/>
        </w:rPr>
        <w:t>, Member</w:t>
      </w:r>
      <w:r w:rsidR="004E1A49" w:rsidRPr="00A90F8A">
        <w:rPr>
          <w:rFonts w:asciiTheme="minorHAnsi" w:hAnsiTheme="minorHAnsi"/>
        </w:rPr>
        <w:tab/>
      </w:r>
      <w:r w:rsidR="004E1A49" w:rsidRPr="00A90F8A">
        <w:rPr>
          <w:rFonts w:asciiTheme="minorHAnsi" w:hAnsiTheme="minorHAnsi"/>
        </w:rPr>
        <w:tab/>
        <w:t>Rodger Eade, Member</w:t>
      </w:r>
    </w:p>
    <w:p w:rsidR="004E1A49" w:rsidRPr="00A90F8A" w:rsidRDefault="004E1A49" w:rsidP="004E1A49">
      <w:pPr>
        <w:pStyle w:val="PPVBody"/>
        <w:rPr>
          <w:rFonts w:asciiTheme="minorHAnsi" w:hAnsiTheme="minorHAnsi"/>
        </w:rPr>
      </w:pPr>
    </w:p>
    <w:p w:rsidR="009C4700" w:rsidRPr="00A90F8A" w:rsidRDefault="000947CB" w:rsidP="004E1A49">
      <w:pPr>
        <w:pStyle w:val="PPVBody"/>
        <w:rPr>
          <w:rFonts w:asciiTheme="minorHAnsi" w:hAnsiTheme="minorHAnsi"/>
        </w:rPr>
      </w:pPr>
      <w:r>
        <w:rPr>
          <w:rFonts w:asciiTheme="minorHAnsi" w:hAnsiTheme="minorHAnsi"/>
          <w:noProof/>
        </w:rPr>
        <w:drawing>
          <wp:inline distT="0" distB="0" distL="0" distR="0">
            <wp:extent cx="1644502" cy="525360"/>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eter Edwards signatur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96786" cy="542063"/>
                    </a:xfrm>
                    <a:prstGeom prst="rect">
                      <a:avLst/>
                    </a:prstGeom>
                  </pic:spPr>
                </pic:pic>
              </a:graphicData>
            </a:graphic>
          </wp:inline>
        </w:drawing>
      </w:r>
    </w:p>
    <w:p w:rsidR="00882E53" w:rsidRPr="00A90F8A" w:rsidRDefault="00C21C9E" w:rsidP="000947CB">
      <w:pPr>
        <w:pStyle w:val="PPVBody"/>
        <w:rPr>
          <w:rFonts w:asciiTheme="minorHAnsi" w:hAnsiTheme="minorHAnsi"/>
        </w:rPr>
      </w:pPr>
      <w:r w:rsidRPr="00A90F8A">
        <w:rPr>
          <w:rFonts w:asciiTheme="minorHAnsi" w:hAnsiTheme="minorHAnsi"/>
        </w:rPr>
        <w:t>Peter Edwards</w:t>
      </w:r>
      <w:r w:rsidR="000947CB">
        <w:rPr>
          <w:rFonts w:asciiTheme="minorHAnsi" w:hAnsiTheme="minorHAnsi"/>
        </w:rPr>
        <w:t>, Member</w:t>
      </w:r>
    </w:p>
    <w:p w:rsidR="00841E1C" w:rsidRPr="00431492" w:rsidRDefault="00841E1C" w:rsidP="00C449DA">
      <w:pPr>
        <w:pStyle w:val="NormalBlue"/>
        <w:tabs>
          <w:tab w:val="left" w:pos="4536"/>
        </w:tabs>
        <w:rPr>
          <w:rFonts w:asciiTheme="minorHAnsi" w:hAnsiTheme="minorHAnsi"/>
        </w:rPr>
        <w:sectPr w:rsidR="00841E1C" w:rsidRPr="00431492" w:rsidSect="00454572">
          <w:footerReference w:type="default" r:id="rId21"/>
          <w:pgSz w:w="11906" w:h="16838"/>
          <w:pgMar w:top="1701" w:right="1134" w:bottom="1134" w:left="1134" w:header="720" w:footer="720" w:gutter="0"/>
          <w:cols w:space="720"/>
          <w:titlePg/>
          <w:docGrid w:linePitch="326"/>
        </w:sectPr>
      </w:pPr>
    </w:p>
    <w:p w:rsidR="00841E1C" w:rsidRPr="00A90F8A" w:rsidRDefault="00841E1C" w:rsidP="00DD6314">
      <w:pPr>
        <w:pStyle w:val="PPVAppendixHeading2"/>
        <w:ind w:left="0" w:firstLine="0"/>
      </w:pPr>
      <w:bookmarkStart w:id="1" w:name="_Toc476631127"/>
      <w:bookmarkStart w:id="2" w:name="_Toc485028095"/>
      <w:bookmarkStart w:id="3" w:name="_Toc488830309"/>
      <w:bookmarkStart w:id="4" w:name="_Toc488830366"/>
      <w:bookmarkStart w:id="5" w:name="_Toc490647227"/>
      <w:bookmarkStart w:id="6" w:name="_Toc494792102"/>
      <w:bookmarkStart w:id="7" w:name="_Toc499098992"/>
      <w:r w:rsidRPr="00A90F8A">
        <w:lastRenderedPageBreak/>
        <w:t>Contents</w:t>
      </w:r>
    </w:p>
    <w:bookmarkEnd w:id="1"/>
    <w:bookmarkEnd w:id="2"/>
    <w:bookmarkEnd w:id="3"/>
    <w:bookmarkEnd w:id="4"/>
    <w:bookmarkEnd w:id="5"/>
    <w:bookmarkEnd w:id="6"/>
    <w:bookmarkEnd w:id="7"/>
    <w:p w:rsidR="00841E1C" w:rsidRPr="00A90F8A" w:rsidRDefault="00841E1C" w:rsidP="00154B75">
      <w:pPr>
        <w:pStyle w:val="ZZPPVContentsPageNo"/>
        <w:spacing w:before="0"/>
        <w:rPr>
          <w:rFonts w:asciiTheme="minorHAnsi" w:hAnsiTheme="minorHAnsi"/>
          <w:color w:val="auto"/>
        </w:rPr>
      </w:pPr>
      <w:r w:rsidRPr="00A90F8A">
        <w:rPr>
          <w:rFonts w:asciiTheme="minorHAnsi" w:hAnsiTheme="minorHAnsi"/>
        </w:rPr>
        <w:tab/>
      </w:r>
      <w:r w:rsidR="005D1F6F" w:rsidRPr="00A90F8A">
        <w:rPr>
          <w:rFonts w:asciiTheme="minorHAnsi" w:hAnsiTheme="minorHAnsi"/>
          <w:color w:val="auto"/>
        </w:rPr>
        <w:t>Page</w:t>
      </w:r>
    </w:p>
    <w:p w:rsidR="008C3707" w:rsidRDefault="000E7757">
      <w:pPr>
        <w:pStyle w:val="TOC1"/>
        <w:rPr>
          <w:rFonts w:asciiTheme="minorHAnsi" w:eastAsiaTheme="minorEastAsia" w:hAnsiTheme="minorHAnsi" w:cstheme="minorBidi"/>
          <w:b w:val="0"/>
          <w:sz w:val="22"/>
          <w:szCs w:val="22"/>
        </w:rPr>
      </w:pPr>
      <w:r w:rsidRPr="00A90F8A">
        <w:rPr>
          <w:rFonts w:asciiTheme="minorHAnsi" w:hAnsiTheme="minorHAnsi"/>
          <w:b w:val="0"/>
        </w:rPr>
        <w:fldChar w:fldCharType="begin"/>
      </w:r>
      <w:r w:rsidR="00F236E4" w:rsidRPr="00A90F8A">
        <w:rPr>
          <w:rFonts w:asciiTheme="minorHAnsi" w:hAnsiTheme="minorHAnsi"/>
          <w:b w:val="0"/>
        </w:rPr>
        <w:instrText xml:space="preserve"> TOC \t "Heading 1,1,Heading 2,2,PPV Exec Summary,1" </w:instrText>
      </w:r>
      <w:r w:rsidRPr="00A90F8A">
        <w:rPr>
          <w:rFonts w:asciiTheme="minorHAnsi" w:hAnsiTheme="minorHAnsi"/>
          <w:b w:val="0"/>
        </w:rPr>
        <w:fldChar w:fldCharType="separate"/>
      </w:r>
      <w:r w:rsidR="008C3707" w:rsidRPr="00AE2F1C">
        <w:rPr>
          <w:rFonts w:asciiTheme="minorHAnsi" w:hAnsiTheme="minorHAnsi"/>
        </w:rPr>
        <w:t>PART A: BACKGROUND AND CONTEXT</w:t>
      </w:r>
      <w:r w:rsidR="008C3707">
        <w:tab/>
      </w:r>
      <w:r w:rsidR="008C3707">
        <w:fldChar w:fldCharType="begin"/>
      </w:r>
      <w:r w:rsidR="008C3707">
        <w:instrText xml:space="preserve"> PAGEREF _Toc519766789 \h </w:instrText>
      </w:r>
      <w:r w:rsidR="008C3707">
        <w:fldChar w:fldCharType="separate"/>
      </w:r>
      <w:r w:rsidR="00A307EC">
        <w:t>1</w:t>
      </w:r>
      <w:r w:rsidR="008C3707">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1</w:t>
      </w:r>
      <w:r>
        <w:rPr>
          <w:rFonts w:asciiTheme="minorHAnsi" w:eastAsiaTheme="minorEastAsia" w:hAnsiTheme="minorHAnsi" w:cstheme="minorBidi"/>
          <w:b w:val="0"/>
          <w:sz w:val="22"/>
          <w:szCs w:val="22"/>
        </w:rPr>
        <w:tab/>
      </w:r>
      <w:r w:rsidRPr="00AE2F1C">
        <w:rPr>
          <w:rFonts w:asciiTheme="minorHAnsi" w:hAnsiTheme="minorHAnsi"/>
        </w:rPr>
        <w:t>Introduction</w:t>
      </w:r>
      <w:r>
        <w:tab/>
      </w:r>
      <w:r>
        <w:fldChar w:fldCharType="begin"/>
      </w:r>
      <w:r>
        <w:instrText xml:space="preserve"> PAGEREF _Toc519766790 \h </w:instrText>
      </w:r>
      <w:r>
        <w:fldChar w:fldCharType="separate"/>
      </w:r>
      <w:r w:rsidR="00A307EC">
        <w:t>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1.1</w:t>
      </w:r>
      <w:r>
        <w:rPr>
          <w:rFonts w:asciiTheme="minorHAnsi" w:eastAsiaTheme="minorEastAsia" w:hAnsiTheme="minorHAnsi" w:cstheme="minorBidi"/>
          <w:sz w:val="22"/>
          <w:szCs w:val="22"/>
        </w:rPr>
        <w:tab/>
      </w:r>
      <w:r>
        <w:t>Fishermans Bend Planning Review Panel</w:t>
      </w:r>
      <w:r>
        <w:tab/>
      </w:r>
      <w:r>
        <w:fldChar w:fldCharType="begin"/>
      </w:r>
      <w:r>
        <w:instrText xml:space="preserve"> PAGEREF _Toc519766791 \h </w:instrText>
      </w:r>
      <w:r>
        <w:fldChar w:fldCharType="separate"/>
      </w:r>
      <w:r w:rsidR="00A307EC">
        <w:t>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1.2</w:t>
      </w:r>
      <w:r>
        <w:rPr>
          <w:rFonts w:asciiTheme="minorHAnsi" w:eastAsiaTheme="minorEastAsia" w:hAnsiTheme="minorHAnsi" w:cstheme="minorBidi"/>
          <w:sz w:val="22"/>
          <w:szCs w:val="22"/>
        </w:rPr>
        <w:tab/>
      </w:r>
      <w:r>
        <w:t>Terms of Reference and the role of the Review Panel</w:t>
      </w:r>
      <w:r>
        <w:tab/>
      </w:r>
      <w:r>
        <w:fldChar w:fldCharType="begin"/>
      </w:r>
      <w:r>
        <w:instrText xml:space="preserve"> PAGEREF _Toc519766792 \h </w:instrText>
      </w:r>
      <w:r>
        <w:fldChar w:fldCharType="separate"/>
      </w:r>
      <w:r w:rsidR="00A307EC">
        <w:t>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1.3</w:t>
      </w:r>
      <w:r>
        <w:rPr>
          <w:rFonts w:asciiTheme="minorHAnsi" w:eastAsiaTheme="minorEastAsia" w:hAnsiTheme="minorHAnsi" w:cstheme="minorBidi"/>
          <w:sz w:val="22"/>
          <w:szCs w:val="22"/>
        </w:rPr>
        <w:tab/>
      </w:r>
      <w:r>
        <w:t>Review Panel process</w:t>
      </w:r>
      <w:r>
        <w:tab/>
      </w:r>
      <w:r>
        <w:fldChar w:fldCharType="begin"/>
      </w:r>
      <w:r>
        <w:instrText xml:space="preserve"> PAGEREF _Toc519766793 \h </w:instrText>
      </w:r>
      <w:r>
        <w:fldChar w:fldCharType="separate"/>
      </w:r>
      <w:r w:rsidR="00A307EC">
        <w:t>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1.4</w:t>
      </w:r>
      <w:r>
        <w:rPr>
          <w:rFonts w:asciiTheme="minorHAnsi" w:eastAsiaTheme="minorEastAsia" w:hAnsiTheme="minorHAnsi" w:cstheme="minorBidi"/>
          <w:sz w:val="22"/>
          <w:szCs w:val="22"/>
        </w:rPr>
        <w:tab/>
      </w:r>
      <w:r>
        <w:t>The proponent for the draft Amendment</w:t>
      </w:r>
      <w:r>
        <w:tab/>
      </w:r>
      <w:r>
        <w:fldChar w:fldCharType="begin"/>
      </w:r>
      <w:r>
        <w:instrText xml:space="preserve"> PAGEREF _Toc519766794 \h </w:instrText>
      </w:r>
      <w:r>
        <w:fldChar w:fldCharType="separate"/>
      </w:r>
      <w:r w:rsidR="00A307EC">
        <w:t>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1.5</w:t>
      </w:r>
      <w:r>
        <w:rPr>
          <w:rFonts w:asciiTheme="minorHAnsi" w:eastAsiaTheme="minorEastAsia" w:hAnsiTheme="minorHAnsi" w:cstheme="minorBidi"/>
          <w:sz w:val="22"/>
          <w:szCs w:val="22"/>
        </w:rPr>
        <w:tab/>
      </w:r>
      <w:r>
        <w:t>Approach to this report</w:t>
      </w:r>
      <w:r>
        <w:tab/>
      </w:r>
      <w:r>
        <w:fldChar w:fldCharType="begin"/>
      </w:r>
      <w:r>
        <w:instrText xml:space="preserve"> PAGEREF _Toc519766795 \h </w:instrText>
      </w:r>
      <w:r>
        <w:fldChar w:fldCharType="separate"/>
      </w:r>
      <w:r w:rsidR="00A307EC">
        <w:t>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w:t>
      </w:r>
      <w:r>
        <w:rPr>
          <w:rFonts w:asciiTheme="minorHAnsi" w:eastAsiaTheme="minorEastAsia" w:hAnsiTheme="minorHAnsi" w:cstheme="minorBidi"/>
          <w:sz w:val="22"/>
          <w:szCs w:val="22"/>
        </w:rPr>
        <w:tab/>
      </w:r>
      <w:r>
        <w:t>Procedural matters</w:t>
      </w:r>
      <w:r>
        <w:tab/>
      </w:r>
      <w:r>
        <w:fldChar w:fldCharType="begin"/>
      </w:r>
      <w:r>
        <w:instrText xml:space="preserve"> PAGEREF _Toc519766796 \h </w:instrText>
      </w:r>
      <w:r>
        <w:fldChar w:fldCharType="separate"/>
      </w:r>
      <w:r w:rsidR="00A307EC">
        <w:t>8</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2</w:t>
      </w:r>
      <w:r>
        <w:rPr>
          <w:rFonts w:asciiTheme="minorHAnsi" w:eastAsiaTheme="minorEastAsia" w:hAnsiTheme="minorHAnsi" w:cstheme="minorBidi"/>
          <w:b w:val="0"/>
          <w:sz w:val="22"/>
          <w:szCs w:val="22"/>
        </w:rPr>
        <w:tab/>
      </w:r>
      <w:r w:rsidRPr="00AE2F1C">
        <w:rPr>
          <w:rFonts w:asciiTheme="minorHAnsi" w:hAnsiTheme="minorHAnsi"/>
        </w:rPr>
        <w:t>About Fishermans Bend</w:t>
      </w:r>
      <w:r>
        <w:tab/>
      </w:r>
      <w:r>
        <w:fldChar w:fldCharType="begin"/>
      </w:r>
      <w:r>
        <w:instrText xml:space="preserve"> PAGEREF _Toc519766797 \h </w:instrText>
      </w:r>
      <w:r>
        <w:fldChar w:fldCharType="separate"/>
      </w:r>
      <w:r w:rsidR="00A307EC">
        <w:t>18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2.1</w:t>
      </w:r>
      <w:r>
        <w:rPr>
          <w:rFonts w:asciiTheme="minorHAnsi" w:eastAsiaTheme="minorEastAsia" w:hAnsiTheme="minorHAnsi" w:cstheme="minorBidi"/>
          <w:sz w:val="22"/>
          <w:szCs w:val="22"/>
        </w:rPr>
        <w:tab/>
      </w:r>
      <w:r>
        <w:t>Planning history of Fishermans Bend</w:t>
      </w:r>
      <w:r>
        <w:tab/>
      </w:r>
      <w:r>
        <w:fldChar w:fldCharType="begin"/>
      </w:r>
      <w:r>
        <w:instrText xml:space="preserve"> PAGEREF _Toc519766798 \h </w:instrText>
      </w:r>
      <w:r>
        <w:fldChar w:fldCharType="separate"/>
      </w:r>
      <w:r w:rsidR="00A307EC">
        <w:t>19</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2.2</w:t>
      </w:r>
      <w:r>
        <w:rPr>
          <w:rFonts w:asciiTheme="minorHAnsi" w:eastAsiaTheme="minorEastAsia" w:hAnsiTheme="minorHAnsi" w:cstheme="minorBidi"/>
          <w:sz w:val="22"/>
          <w:szCs w:val="22"/>
        </w:rPr>
        <w:tab/>
      </w:r>
      <w:r>
        <w:t>Fishermans Bend Ministerial Advisory Committee</w:t>
      </w:r>
      <w:r>
        <w:tab/>
      </w:r>
      <w:r>
        <w:fldChar w:fldCharType="begin"/>
      </w:r>
      <w:r>
        <w:instrText xml:space="preserve"> PAGEREF _Toc519766799 \h </w:instrText>
      </w:r>
      <w:r>
        <w:fldChar w:fldCharType="separate"/>
      </w:r>
      <w:r w:rsidR="00A307EC">
        <w:t>20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2.3</w:t>
      </w:r>
      <w:r>
        <w:rPr>
          <w:rFonts w:asciiTheme="minorHAnsi" w:eastAsiaTheme="minorEastAsia" w:hAnsiTheme="minorHAnsi" w:cstheme="minorBidi"/>
          <w:sz w:val="22"/>
          <w:szCs w:val="22"/>
        </w:rPr>
        <w:tab/>
      </w:r>
      <w:r>
        <w:t>Planning permit activity</w:t>
      </w:r>
      <w:r>
        <w:tab/>
      </w:r>
      <w:r>
        <w:fldChar w:fldCharType="begin"/>
      </w:r>
      <w:r>
        <w:instrText xml:space="preserve"> PAGEREF _Toc519766800 \h </w:instrText>
      </w:r>
      <w:r>
        <w:fldChar w:fldCharType="separate"/>
      </w:r>
      <w:r w:rsidR="00A307EC">
        <w:t>21</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2.4</w:t>
      </w:r>
      <w:r>
        <w:rPr>
          <w:rFonts w:asciiTheme="minorHAnsi" w:eastAsiaTheme="minorEastAsia" w:hAnsiTheme="minorHAnsi" w:cstheme="minorBidi"/>
          <w:sz w:val="22"/>
          <w:szCs w:val="22"/>
        </w:rPr>
        <w:tab/>
      </w:r>
      <w:r>
        <w:t>Existing governance arrangements</w:t>
      </w:r>
      <w:r>
        <w:tab/>
      </w:r>
      <w:r>
        <w:fldChar w:fldCharType="begin"/>
      </w:r>
      <w:r>
        <w:instrText xml:space="preserve"> PAGEREF _Toc519766801 \h </w:instrText>
      </w:r>
      <w:r>
        <w:fldChar w:fldCharType="separate"/>
      </w:r>
      <w:r w:rsidR="00A307EC">
        <w:t>21</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3</w:t>
      </w:r>
      <w:r>
        <w:rPr>
          <w:rFonts w:asciiTheme="minorHAnsi" w:eastAsiaTheme="minorEastAsia" w:hAnsiTheme="minorHAnsi" w:cstheme="minorBidi"/>
          <w:b w:val="0"/>
          <w:sz w:val="22"/>
          <w:szCs w:val="22"/>
        </w:rPr>
        <w:tab/>
      </w:r>
      <w:r w:rsidRPr="00AE2F1C">
        <w:rPr>
          <w:rFonts w:asciiTheme="minorHAnsi" w:hAnsiTheme="minorHAnsi"/>
        </w:rPr>
        <w:t>Legislative, policy and planning context</w:t>
      </w:r>
      <w:r>
        <w:tab/>
      </w:r>
      <w:r>
        <w:fldChar w:fldCharType="begin"/>
      </w:r>
      <w:r>
        <w:instrText xml:space="preserve"> PAGEREF _Toc519766802 \h </w:instrText>
      </w:r>
      <w:r>
        <w:fldChar w:fldCharType="separate"/>
      </w:r>
      <w:r w:rsidR="00A307EC">
        <w:t>23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3.1</w:t>
      </w:r>
      <w:r>
        <w:rPr>
          <w:rFonts w:asciiTheme="minorHAnsi" w:eastAsiaTheme="minorEastAsia" w:hAnsiTheme="minorHAnsi" w:cstheme="minorBidi"/>
          <w:sz w:val="22"/>
          <w:szCs w:val="22"/>
        </w:rPr>
        <w:tab/>
      </w:r>
      <w:r>
        <w:t>Planning and Environment Act 1987</w:t>
      </w:r>
      <w:r>
        <w:tab/>
      </w:r>
      <w:r>
        <w:fldChar w:fldCharType="begin"/>
      </w:r>
      <w:r>
        <w:instrText xml:space="preserve"> PAGEREF _Toc519766803 \h </w:instrText>
      </w:r>
      <w:r>
        <w:fldChar w:fldCharType="separate"/>
      </w:r>
      <w:r w:rsidR="00A307EC">
        <w:t>23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3.2</w:t>
      </w:r>
      <w:r>
        <w:rPr>
          <w:rFonts w:asciiTheme="minorHAnsi" w:eastAsiaTheme="minorEastAsia" w:hAnsiTheme="minorHAnsi" w:cstheme="minorBidi"/>
          <w:sz w:val="22"/>
          <w:szCs w:val="22"/>
        </w:rPr>
        <w:tab/>
      </w:r>
      <w:r>
        <w:t>Housing Affordability Act</w:t>
      </w:r>
      <w:r>
        <w:tab/>
      </w:r>
      <w:r>
        <w:fldChar w:fldCharType="begin"/>
      </w:r>
      <w:r>
        <w:instrText xml:space="preserve"> PAGEREF _Toc519766804 \h </w:instrText>
      </w:r>
      <w:r>
        <w:fldChar w:fldCharType="separate"/>
      </w:r>
      <w:r w:rsidR="00A307EC">
        <w:t>24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3.3</w:t>
      </w:r>
      <w:r>
        <w:rPr>
          <w:rFonts w:asciiTheme="minorHAnsi" w:eastAsiaTheme="minorEastAsia" w:hAnsiTheme="minorHAnsi" w:cstheme="minorBidi"/>
          <w:sz w:val="22"/>
          <w:szCs w:val="22"/>
        </w:rPr>
        <w:tab/>
      </w:r>
      <w:r>
        <w:t>Public Land Contributions Act 2018</w:t>
      </w:r>
      <w:r>
        <w:tab/>
      </w:r>
      <w:r>
        <w:fldChar w:fldCharType="begin"/>
      </w:r>
      <w:r>
        <w:instrText xml:space="preserve"> PAGEREF _Toc519766805 \h </w:instrText>
      </w:r>
      <w:r>
        <w:fldChar w:fldCharType="separate"/>
      </w:r>
      <w:r w:rsidR="00A307EC">
        <w:t>25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3.4</w:t>
      </w:r>
      <w:r>
        <w:rPr>
          <w:rFonts w:asciiTheme="minorHAnsi" w:eastAsiaTheme="minorEastAsia" w:hAnsiTheme="minorHAnsi" w:cstheme="minorBidi"/>
          <w:sz w:val="22"/>
          <w:szCs w:val="22"/>
        </w:rPr>
        <w:tab/>
      </w:r>
      <w:r>
        <w:t>Transport Integration Act 2010</w:t>
      </w:r>
      <w:r>
        <w:tab/>
      </w:r>
      <w:r>
        <w:fldChar w:fldCharType="begin"/>
      </w:r>
      <w:r>
        <w:instrText xml:space="preserve"> PAGEREF _Toc519766806 \h </w:instrText>
      </w:r>
      <w:r>
        <w:fldChar w:fldCharType="separate"/>
      </w:r>
      <w:r w:rsidR="00A307EC">
        <w:t>25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3.5</w:t>
      </w:r>
      <w:r>
        <w:rPr>
          <w:rFonts w:asciiTheme="minorHAnsi" w:eastAsiaTheme="minorEastAsia" w:hAnsiTheme="minorHAnsi" w:cstheme="minorBidi"/>
          <w:sz w:val="22"/>
          <w:szCs w:val="22"/>
        </w:rPr>
        <w:tab/>
      </w:r>
      <w:r>
        <w:t>Land Acquisition and Compensation Act 1986</w:t>
      </w:r>
      <w:r>
        <w:tab/>
      </w:r>
      <w:r>
        <w:fldChar w:fldCharType="begin"/>
      </w:r>
      <w:r>
        <w:instrText xml:space="preserve"> PAGEREF _Toc519766807 \h </w:instrText>
      </w:r>
      <w:r>
        <w:fldChar w:fldCharType="separate"/>
      </w:r>
      <w:r w:rsidR="00A307EC">
        <w:t>25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3.6</w:t>
      </w:r>
      <w:r>
        <w:rPr>
          <w:rFonts w:asciiTheme="minorHAnsi" w:eastAsiaTheme="minorEastAsia" w:hAnsiTheme="minorHAnsi" w:cstheme="minorBidi"/>
          <w:sz w:val="22"/>
          <w:szCs w:val="22"/>
        </w:rPr>
        <w:tab/>
      </w:r>
      <w:r>
        <w:t>Climate Change Act 2017</w:t>
      </w:r>
      <w:r>
        <w:tab/>
      </w:r>
      <w:r>
        <w:fldChar w:fldCharType="begin"/>
      </w:r>
      <w:r>
        <w:instrText xml:space="preserve"> PAGEREF _Toc519766808 \h </w:instrText>
      </w:r>
      <w:r>
        <w:fldChar w:fldCharType="separate"/>
      </w:r>
      <w:r w:rsidR="00A307EC">
        <w:t>26</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3.7</w:t>
      </w:r>
      <w:r>
        <w:rPr>
          <w:rFonts w:asciiTheme="minorHAnsi" w:eastAsiaTheme="minorEastAsia" w:hAnsiTheme="minorHAnsi" w:cstheme="minorBidi"/>
          <w:sz w:val="22"/>
          <w:szCs w:val="22"/>
        </w:rPr>
        <w:tab/>
      </w:r>
      <w:r>
        <w:t>State and local policy</w:t>
      </w:r>
      <w:r>
        <w:tab/>
      </w:r>
      <w:r>
        <w:fldChar w:fldCharType="begin"/>
      </w:r>
      <w:r>
        <w:instrText xml:space="preserve"> PAGEREF _Toc519766809 \h </w:instrText>
      </w:r>
      <w:r>
        <w:fldChar w:fldCharType="separate"/>
      </w:r>
      <w:r w:rsidR="00A307EC">
        <w:t>27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3.8</w:t>
      </w:r>
      <w:r>
        <w:rPr>
          <w:rFonts w:asciiTheme="minorHAnsi" w:eastAsiaTheme="minorEastAsia" w:hAnsiTheme="minorHAnsi" w:cstheme="minorBidi"/>
          <w:sz w:val="22"/>
          <w:szCs w:val="22"/>
        </w:rPr>
        <w:tab/>
      </w:r>
      <w:r>
        <w:t>Victoria’s 30-year Infrastructure Strategy</w:t>
      </w:r>
      <w:r>
        <w:tab/>
      </w:r>
      <w:r>
        <w:fldChar w:fldCharType="begin"/>
      </w:r>
      <w:r>
        <w:instrText xml:space="preserve"> PAGEREF _Toc519766810 \h </w:instrText>
      </w:r>
      <w:r>
        <w:fldChar w:fldCharType="separate"/>
      </w:r>
      <w:r w:rsidR="00A307EC">
        <w:t>31</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4</w:t>
      </w:r>
      <w:r>
        <w:rPr>
          <w:rFonts w:asciiTheme="minorHAnsi" w:eastAsiaTheme="minorEastAsia" w:hAnsiTheme="minorHAnsi" w:cstheme="minorBidi"/>
          <w:b w:val="0"/>
          <w:sz w:val="22"/>
          <w:szCs w:val="22"/>
        </w:rPr>
        <w:tab/>
      </w:r>
      <w:r w:rsidRPr="00AE2F1C">
        <w:rPr>
          <w:rFonts w:asciiTheme="minorHAnsi" w:hAnsiTheme="minorHAnsi"/>
        </w:rPr>
        <w:t>The draft Amendment</w:t>
      </w:r>
      <w:r>
        <w:tab/>
      </w:r>
      <w:r>
        <w:fldChar w:fldCharType="begin"/>
      </w:r>
      <w:r>
        <w:instrText xml:space="preserve"> PAGEREF _Toc519766811 \h </w:instrText>
      </w:r>
      <w:r>
        <w:fldChar w:fldCharType="separate"/>
      </w:r>
      <w:r w:rsidR="00A307EC">
        <w:t>32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4.1</w:t>
      </w:r>
      <w:r>
        <w:rPr>
          <w:rFonts w:asciiTheme="minorHAnsi" w:eastAsiaTheme="minorEastAsia" w:hAnsiTheme="minorHAnsi" w:cstheme="minorBidi"/>
          <w:sz w:val="22"/>
          <w:szCs w:val="22"/>
        </w:rPr>
        <w:tab/>
      </w:r>
      <w:r>
        <w:t>Draft planning scheme provisions</w:t>
      </w:r>
      <w:r>
        <w:tab/>
      </w:r>
      <w:r>
        <w:fldChar w:fldCharType="begin"/>
      </w:r>
      <w:r>
        <w:instrText xml:space="preserve"> PAGEREF _Toc519766812 \h </w:instrText>
      </w:r>
      <w:r>
        <w:fldChar w:fldCharType="separate"/>
      </w:r>
      <w:r w:rsidR="00A307EC">
        <w:t>32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4.2</w:t>
      </w:r>
      <w:r>
        <w:rPr>
          <w:rFonts w:asciiTheme="minorHAnsi" w:eastAsiaTheme="minorEastAsia" w:hAnsiTheme="minorHAnsi" w:cstheme="minorBidi"/>
          <w:sz w:val="22"/>
          <w:szCs w:val="22"/>
        </w:rPr>
        <w:tab/>
      </w:r>
      <w:r>
        <w:t>Summary of changes since exhibition</w:t>
      </w:r>
      <w:r>
        <w:tab/>
      </w:r>
      <w:r>
        <w:fldChar w:fldCharType="begin"/>
      </w:r>
      <w:r>
        <w:instrText xml:space="preserve"> PAGEREF _Toc519766813 \h </w:instrText>
      </w:r>
      <w:r>
        <w:fldChar w:fldCharType="separate"/>
      </w:r>
      <w:r w:rsidR="00A307EC">
        <w:t>32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4.3</w:t>
      </w:r>
      <w:r>
        <w:rPr>
          <w:rFonts w:asciiTheme="minorHAnsi" w:eastAsiaTheme="minorEastAsia" w:hAnsiTheme="minorHAnsi" w:cstheme="minorBidi"/>
          <w:sz w:val="22"/>
          <w:szCs w:val="22"/>
        </w:rPr>
        <w:tab/>
      </w:r>
      <w:r>
        <w:t>Recommendations</w:t>
      </w:r>
      <w:r>
        <w:tab/>
      </w:r>
      <w:r>
        <w:fldChar w:fldCharType="begin"/>
      </w:r>
      <w:r>
        <w:instrText xml:space="preserve"> PAGEREF _Toc519766814 \h </w:instrText>
      </w:r>
      <w:r>
        <w:fldChar w:fldCharType="separate"/>
      </w:r>
      <w:r w:rsidR="00A307EC">
        <w:t>43</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rPr>
        <w:t>PART B – ISSUES</w:t>
      </w:r>
      <w:r>
        <w:tab/>
      </w:r>
      <w:r>
        <w:fldChar w:fldCharType="begin"/>
      </w:r>
      <w:r>
        <w:instrText xml:space="preserve"> PAGEREF _Toc519766815 \h </w:instrText>
      </w:r>
      <w:r>
        <w:fldChar w:fldCharType="separate"/>
      </w:r>
      <w:r w:rsidR="00A307EC">
        <w:t>44</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5</w:t>
      </w:r>
      <w:r>
        <w:rPr>
          <w:rFonts w:asciiTheme="minorHAnsi" w:eastAsiaTheme="minorEastAsia" w:hAnsiTheme="minorHAnsi" w:cstheme="minorBidi"/>
          <w:b w:val="0"/>
          <w:sz w:val="22"/>
          <w:szCs w:val="22"/>
        </w:rPr>
        <w:tab/>
      </w:r>
      <w:r w:rsidRPr="00AE2F1C">
        <w:rPr>
          <w:rFonts w:asciiTheme="minorHAnsi" w:hAnsiTheme="minorHAnsi"/>
        </w:rPr>
        <w:t>Key issues</w:t>
      </w:r>
      <w:r>
        <w:tab/>
      </w:r>
      <w:r>
        <w:fldChar w:fldCharType="begin"/>
      </w:r>
      <w:r>
        <w:instrText xml:space="preserve"> PAGEREF _Toc519766816 \h </w:instrText>
      </w:r>
      <w:r>
        <w:fldChar w:fldCharType="separate"/>
      </w:r>
      <w:r w:rsidR="00A307EC">
        <w:t>45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5.1</w:t>
      </w:r>
      <w:r>
        <w:rPr>
          <w:rFonts w:asciiTheme="minorHAnsi" w:eastAsiaTheme="minorEastAsia" w:hAnsiTheme="minorHAnsi" w:cstheme="minorBidi"/>
          <w:sz w:val="22"/>
          <w:szCs w:val="22"/>
        </w:rPr>
        <w:tab/>
      </w:r>
      <w:r>
        <w:t>Key issues</w:t>
      </w:r>
      <w:r>
        <w:tab/>
      </w:r>
      <w:r>
        <w:fldChar w:fldCharType="begin"/>
      </w:r>
      <w:r>
        <w:instrText xml:space="preserve"> PAGEREF _Toc519766817 \h </w:instrText>
      </w:r>
      <w:r>
        <w:fldChar w:fldCharType="separate"/>
      </w:r>
      <w:r w:rsidR="00A307EC">
        <w:t>45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5.2</w:t>
      </w:r>
      <w:r>
        <w:rPr>
          <w:rFonts w:asciiTheme="minorHAnsi" w:eastAsiaTheme="minorEastAsia" w:hAnsiTheme="minorHAnsi" w:cstheme="minorBidi"/>
          <w:sz w:val="22"/>
          <w:szCs w:val="22"/>
        </w:rPr>
        <w:tab/>
      </w:r>
      <w:r>
        <w:t>Elements with broad support</w:t>
      </w:r>
      <w:r>
        <w:tab/>
      </w:r>
      <w:r>
        <w:fldChar w:fldCharType="begin"/>
      </w:r>
      <w:r>
        <w:instrText xml:space="preserve"> PAGEREF _Toc519766818 \h </w:instrText>
      </w:r>
      <w:r>
        <w:fldChar w:fldCharType="separate"/>
      </w:r>
      <w:r w:rsidR="00A307EC">
        <w:t>46</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5.3</w:t>
      </w:r>
      <w:r>
        <w:rPr>
          <w:rFonts w:asciiTheme="minorHAnsi" w:eastAsiaTheme="minorEastAsia" w:hAnsiTheme="minorHAnsi" w:cstheme="minorBidi"/>
          <w:sz w:val="22"/>
          <w:szCs w:val="22"/>
        </w:rPr>
        <w:tab/>
      </w:r>
      <w:r>
        <w:t>Issues to be resolved</w:t>
      </w:r>
      <w:r>
        <w:tab/>
      </w:r>
      <w:r>
        <w:fldChar w:fldCharType="begin"/>
      </w:r>
      <w:r>
        <w:instrText xml:space="preserve"> PAGEREF _Toc519766819 \h </w:instrText>
      </w:r>
      <w:r>
        <w:fldChar w:fldCharType="separate"/>
      </w:r>
      <w:r w:rsidR="00A307EC">
        <w:t>47</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6</w:t>
      </w:r>
      <w:r>
        <w:rPr>
          <w:rFonts w:asciiTheme="minorHAnsi" w:eastAsiaTheme="minorEastAsia" w:hAnsiTheme="minorHAnsi" w:cstheme="minorBidi"/>
          <w:b w:val="0"/>
          <w:sz w:val="22"/>
          <w:szCs w:val="22"/>
        </w:rPr>
        <w:tab/>
      </w:r>
      <w:r w:rsidRPr="00AE2F1C">
        <w:rPr>
          <w:rFonts w:asciiTheme="minorHAnsi" w:hAnsiTheme="minorHAnsi"/>
        </w:rPr>
        <w:t>Population and employment</w:t>
      </w:r>
      <w:r>
        <w:tab/>
      </w:r>
      <w:r>
        <w:fldChar w:fldCharType="begin"/>
      </w:r>
      <w:r>
        <w:instrText xml:space="preserve"> PAGEREF _Toc519766820 \h </w:instrText>
      </w:r>
      <w:r>
        <w:fldChar w:fldCharType="separate"/>
      </w:r>
      <w:r w:rsidR="00A307EC">
        <w:t>48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6.1</w:t>
      </w:r>
      <w:r>
        <w:rPr>
          <w:rFonts w:asciiTheme="minorHAnsi" w:eastAsiaTheme="minorEastAsia" w:hAnsiTheme="minorHAnsi" w:cstheme="minorBidi"/>
          <w:sz w:val="22"/>
          <w:szCs w:val="22"/>
        </w:rPr>
        <w:tab/>
      </w:r>
      <w:r>
        <w:t>Context and key issues</w:t>
      </w:r>
      <w:r>
        <w:tab/>
      </w:r>
      <w:r>
        <w:fldChar w:fldCharType="begin"/>
      </w:r>
      <w:r>
        <w:instrText xml:space="preserve"> PAGEREF _Toc519766821 \h </w:instrText>
      </w:r>
      <w:r>
        <w:fldChar w:fldCharType="separate"/>
      </w:r>
      <w:r w:rsidR="00A307EC">
        <w:t>48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6.2</w:t>
      </w:r>
      <w:r>
        <w:rPr>
          <w:rFonts w:asciiTheme="minorHAnsi" w:eastAsiaTheme="minorEastAsia" w:hAnsiTheme="minorHAnsi" w:cstheme="minorBidi"/>
          <w:sz w:val="22"/>
          <w:szCs w:val="22"/>
        </w:rPr>
        <w:tab/>
      </w:r>
      <w:r>
        <w:t>Whether the proposed population target can be reviewed</w:t>
      </w:r>
      <w:r>
        <w:tab/>
      </w:r>
      <w:r>
        <w:fldChar w:fldCharType="begin"/>
      </w:r>
      <w:r>
        <w:instrText xml:space="preserve"> PAGEREF _Toc519766822 \h </w:instrText>
      </w:r>
      <w:r>
        <w:fldChar w:fldCharType="separate"/>
      </w:r>
      <w:r w:rsidR="00A307EC">
        <w:t>48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6.3</w:t>
      </w:r>
      <w:r>
        <w:rPr>
          <w:rFonts w:asciiTheme="minorHAnsi" w:eastAsiaTheme="minorEastAsia" w:hAnsiTheme="minorHAnsi" w:cstheme="minorBidi"/>
          <w:sz w:val="22"/>
          <w:szCs w:val="22"/>
        </w:rPr>
        <w:tab/>
      </w:r>
      <w:r>
        <w:t>Genesis of the proposed target population and jobs</w:t>
      </w:r>
      <w:r>
        <w:tab/>
      </w:r>
      <w:r>
        <w:fldChar w:fldCharType="begin"/>
      </w:r>
      <w:r>
        <w:instrText xml:space="preserve"> PAGEREF _Toc519766823 \h </w:instrText>
      </w:r>
      <w:r>
        <w:fldChar w:fldCharType="separate"/>
      </w:r>
      <w:r w:rsidR="00A307EC">
        <w:t>50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6.4</w:t>
      </w:r>
      <w:r>
        <w:rPr>
          <w:rFonts w:asciiTheme="minorHAnsi" w:eastAsiaTheme="minorEastAsia" w:hAnsiTheme="minorHAnsi" w:cstheme="minorBidi"/>
          <w:sz w:val="22"/>
          <w:szCs w:val="22"/>
        </w:rPr>
        <w:tab/>
      </w:r>
      <w:r>
        <w:t>Urban form or population as the starting point</w:t>
      </w:r>
      <w:r>
        <w:tab/>
      </w:r>
      <w:r>
        <w:fldChar w:fldCharType="begin"/>
      </w:r>
      <w:r>
        <w:instrText xml:space="preserve"> PAGEREF _Toc519766824 \h </w:instrText>
      </w:r>
      <w:r>
        <w:fldChar w:fldCharType="separate"/>
      </w:r>
      <w:r w:rsidR="00A307EC">
        <w:t>51</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6.5</w:t>
      </w:r>
      <w:r>
        <w:rPr>
          <w:rFonts w:asciiTheme="minorHAnsi" w:eastAsiaTheme="minorEastAsia" w:hAnsiTheme="minorHAnsi" w:cstheme="minorBidi"/>
          <w:sz w:val="22"/>
          <w:szCs w:val="22"/>
        </w:rPr>
        <w:tab/>
      </w:r>
      <w:r>
        <w:t>Residential densities</w:t>
      </w:r>
      <w:r>
        <w:tab/>
      </w:r>
      <w:r>
        <w:fldChar w:fldCharType="begin"/>
      </w:r>
      <w:r>
        <w:instrText xml:space="preserve"> PAGEREF _Toc519766825 \h </w:instrText>
      </w:r>
      <w:r>
        <w:fldChar w:fldCharType="separate"/>
      </w:r>
      <w:r w:rsidR="00A307EC">
        <w:t>53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lastRenderedPageBreak/>
        <w:t>6.6</w:t>
      </w:r>
      <w:r>
        <w:rPr>
          <w:rFonts w:asciiTheme="minorHAnsi" w:eastAsiaTheme="minorEastAsia" w:hAnsiTheme="minorHAnsi" w:cstheme="minorBidi"/>
          <w:sz w:val="22"/>
          <w:szCs w:val="22"/>
        </w:rPr>
        <w:tab/>
      </w:r>
      <w:r>
        <w:t>Appropriateness of the proposed population target</w:t>
      </w:r>
      <w:r>
        <w:tab/>
      </w:r>
      <w:r>
        <w:fldChar w:fldCharType="begin"/>
      </w:r>
      <w:r>
        <w:instrText xml:space="preserve"> PAGEREF _Toc519766826 \h </w:instrText>
      </w:r>
      <w:r>
        <w:fldChar w:fldCharType="separate"/>
      </w:r>
      <w:r w:rsidR="00A307EC">
        <w:t>54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6.7</w:t>
      </w:r>
      <w:r>
        <w:rPr>
          <w:rFonts w:asciiTheme="minorHAnsi" w:eastAsiaTheme="minorEastAsia" w:hAnsiTheme="minorHAnsi" w:cstheme="minorBidi"/>
          <w:sz w:val="22"/>
          <w:szCs w:val="22"/>
        </w:rPr>
        <w:tab/>
      </w:r>
      <w:r>
        <w:t>Appropriateness of the proposed jobs target</w:t>
      </w:r>
      <w:r>
        <w:tab/>
      </w:r>
      <w:r>
        <w:fldChar w:fldCharType="begin"/>
      </w:r>
      <w:r>
        <w:instrText xml:space="preserve"> PAGEREF _Toc519766827 \h </w:instrText>
      </w:r>
      <w:r>
        <w:fldChar w:fldCharType="separate"/>
      </w:r>
      <w:r w:rsidR="00A307EC">
        <w:t>57</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7</w:t>
      </w:r>
      <w:r>
        <w:rPr>
          <w:rFonts w:asciiTheme="minorHAnsi" w:eastAsiaTheme="minorEastAsia" w:hAnsiTheme="minorHAnsi" w:cstheme="minorBidi"/>
          <w:b w:val="0"/>
          <w:sz w:val="22"/>
          <w:szCs w:val="22"/>
        </w:rPr>
        <w:tab/>
      </w:r>
      <w:r w:rsidRPr="00AE2F1C">
        <w:rPr>
          <w:rFonts w:asciiTheme="minorHAnsi" w:hAnsiTheme="minorHAnsi"/>
        </w:rPr>
        <w:t>Floor Area Ratio and Floor Area Uplift</w:t>
      </w:r>
      <w:r>
        <w:tab/>
      </w:r>
      <w:r>
        <w:fldChar w:fldCharType="begin"/>
      </w:r>
      <w:r>
        <w:instrText xml:space="preserve"> PAGEREF _Toc519766828 \h </w:instrText>
      </w:r>
      <w:r>
        <w:fldChar w:fldCharType="separate"/>
      </w:r>
      <w:r w:rsidR="00A307EC">
        <w:t>60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7.1</w:t>
      </w:r>
      <w:r>
        <w:rPr>
          <w:rFonts w:asciiTheme="minorHAnsi" w:eastAsiaTheme="minorEastAsia" w:hAnsiTheme="minorHAnsi" w:cstheme="minorBidi"/>
          <w:sz w:val="22"/>
          <w:szCs w:val="22"/>
        </w:rPr>
        <w:tab/>
      </w:r>
      <w:r>
        <w:t>Context and key issues</w:t>
      </w:r>
      <w:r>
        <w:tab/>
      </w:r>
      <w:r>
        <w:fldChar w:fldCharType="begin"/>
      </w:r>
      <w:r>
        <w:instrText xml:space="preserve"> PAGEREF _Toc519766829 \h </w:instrText>
      </w:r>
      <w:r>
        <w:fldChar w:fldCharType="separate"/>
      </w:r>
      <w:r w:rsidR="00A307EC">
        <w:t>60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7.2</w:t>
      </w:r>
      <w:r>
        <w:rPr>
          <w:rFonts w:asciiTheme="minorHAnsi" w:eastAsiaTheme="minorEastAsia" w:hAnsiTheme="minorHAnsi" w:cstheme="minorBidi"/>
          <w:sz w:val="22"/>
          <w:szCs w:val="22"/>
        </w:rPr>
        <w:tab/>
      </w:r>
      <w:r>
        <w:t>How the FARs were set</w:t>
      </w:r>
      <w:r>
        <w:tab/>
      </w:r>
      <w:r>
        <w:fldChar w:fldCharType="begin"/>
      </w:r>
      <w:r>
        <w:instrText xml:space="preserve"> PAGEREF _Toc519766830 \h </w:instrText>
      </w:r>
      <w:r>
        <w:fldChar w:fldCharType="separate"/>
      </w:r>
      <w:r w:rsidR="00A307EC">
        <w:t>61</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7.3</w:t>
      </w:r>
      <w:r>
        <w:rPr>
          <w:rFonts w:asciiTheme="minorHAnsi" w:eastAsiaTheme="minorEastAsia" w:hAnsiTheme="minorHAnsi" w:cstheme="minorBidi"/>
          <w:sz w:val="22"/>
          <w:szCs w:val="22"/>
        </w:rPr>
        <w:tab/>
      </w:r>
      <w:r>
        <w:t>Using the FAR as a density control</w:t>
      </w:r>
      <w:r>
        <w:tab/>
      </w:r>
      <w:r>
        <w:fldChar w:fldCharType="begin"/>
      </w:r>
      <w:r>
        <w:instrText xml:space="preserve"> PAGEREF _Toc519766831 \h </w:instrText>
      </w:r>
      <w:r>
        <w:fldChar w:fldCharType="separate"/>
      </w:r>
      <w:r w:rsidR="00A307EC">
        <w:t>65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7.4</w:t>
      </w:r>
      <w:r>
        <w:rPr>
          <w:rFonts w:asciiTheme="minorHAnsi" w:eastAsiaTheme="minorEastAsia" w:hAnsiTheme="minorHAnsi" w:cstheme="minorBidi"/>
          <w:sz w:val="22"/>
          <w:szCs w:val="22"/>
        </w:rPr>
        <w:tab/>
      </w:r>
      <w:r>
        <w:t>Using FAR to influence the mix of uses on a site</w:t>
      </w:r>
      <w:r>
        <w:tab/>
      </w:r>
      <w:r>
        <w:fldChar w:fldCharType="begin"/>
      </w:r>
      <w:r>
        <w:instrText xml:space="preserve"> PAGEREF _Toc519766832 \h </w:instrText>
      </w:r>
      <w:r>
        <w:fldChar w:fldCharType="separate"/>
      </w:r>
      <w:r w:rsidR="00A307EC">
        <w:t>67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7.5</w:t>
      </w:r>
      <w:r>
        <w:rPr>
          <w:rFonts w:asciiTheme="minorHAnsi" w:eastAsiaTheme="minorEastAsia" w:hAnsiTheme="minorHAnsi" w:cstheme="minorBidi"/>
          <w:sz w:val="22"/>
          <w:szCs w:val="22"/>
        </w:rPr>
        <w:tab/>
      </w:r>
      <w:r>
        <w:t>Using FAR to moderate built form</w:t>
      </w:r>
      <w:r>
        <w:tab/>
      </w:r>
      <w:r>
        <w:fldChar w:fldCharType="begin"/>
      </w:r>
      <w:r>
        <w:instrText xml:space="preserve"> PAGEREF _Toc519766833 \h </w:instrText>
      </w:r>
      <w:r>
        <w:fldChar w:fldCharType="separate"/>
      </w:r>
      <w:r w:rsidR="00A307EC">
        <w:t>70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7.6</w:t>
      </w:r>
      <w:r>
        <w:rPr>
          <w:rFonts w:asciiTheme="minorHAnsi" w:eastAsiaTheme="minorEastAsia" w:hAnsiTheme="minorHAnsi" w:cstheme="minorBidi"/>
          <w:sz w:val="22"/>
          <w:szCs w:val="22"/>
        </w:rPr>
        <w:tab/>
      </w:r>
      <w:r>
        <w:t>Using FAR to avoid compensation</w:t>
      </w:r>
      <w:r>
        <w:tab/>
      </w:r>
      <w:r>
        <w:fldChar w:fldCharType="begin"/>
      </w:r>
      <w:r>
        <w:instrText xml:space="preserve"> PAGEREF _Toc519766834 \h </w:instrText>
      </w:r>
      <w:r>
        <w:fldChar w:fldCharType="separate"/>
      </w:r>
      <w:r w:rsidR="00A307EC">
        <w:t>76</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7.7</w:t>
      </w:r>
      <w:r>
        <w:rPr>
          <w:rFonts w:asciiTheme="minorHAnsi" w:eastAsiaTheme="minorEastAsia" w:hAnsiTheme="minorHAnsi" w:cstheme="minorBidi"/>
          <w:sz w:val="22"/>
          <w:szCs w:val="22"/>
        </w:rPr>
        <w:tab/>
      </w:r>
      <w:r>
        <w:t>Using FAR to underpin FAU</w:t>
      </w:r>
      <w:r>
        <w:tab/>
      </w:r>
      <w:r>
        <w:fldChar w:fldCharType="begin"/>
      </w:r>
      <w:r>
        <w:instrText xml:space="preserve"> PAGEREF _Toc519766835 \h </w:instrText>
      </w:r>
      <w:r>
        <w:fldChar w:fldCharType="separate"/>
      </w:r>
      <w:r w:rsidR="00A307EC">
        <w:t>77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7.8</w:t>
      </w:r>
      <w:r>
        <w:rPr>
          <w:rFonts w:asciiTheme="minorHAnsi" w:eastAsiaTheme="minorEastAsia" w:hAnsiTheme="minorHAnsi" w:cstheme="minorBidi"/>
          <w:sz w:val="22"/>
          <w:szCs w:val="22"/>
        </w:rPr>
        <w:tab/>
      </w:r>
      <w:r>
        <w:t>The way forward</w:t>
      </w:r>
      <w:r>
        <w:tab/>
      </w:r>
      <w:r>
        <w:fldChar w:fldCharType="begin"/>
      </w:r>
      <w:r>
        <w:instrText xml:space="preserve"> PAGEREF _Toc519766836 \h </w:instrText>
      </w:r>
      <w:r>
        <w:fldChar w:fldCharType="separate"/>
      </w:r>
      <w:r w:rsidR="00A307EC">
        <w:t>83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7.9</w:t>
      </w:r>
      <w:r>
        <w:rPr>
          <w:rFonts w:asciiTheme="minorHAnsi" w:eastAsiaTheme="minorEastAsia" w:hAnsiTheme="minorHAnsi" w:cstheme="minorBidi"/>
          <w:sz w:val="22"/>
          <w:szCs w:val="22"/>
        </w:rPr>
        <w:tab/>
      </w:r>
      <w:r>
        <w:t>Findings and recommendations</w:t>
      </w:r>
      <w:r>
        <w:tab/>
      </w:r>
      <w:r>
        <w:fldChar w:fldCharType="begin"/>
      </w:r>
      <w:r>
        <w:instrText xml:space="preserve"> PAGEREF _Toc519766837 \h </w:instrText>
      </w:r>
      <w:r>
        <w:fldChar w:fldCharType="separate"/>
      </w:r>
      <w:r w:rsidR="00A307EC">
        <w:t>88</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8</w:t>
      </w:r>
      <w:r>
        <w:rPr>
          <w:rFonts w:asciiTheme="minorHAnsi" w:eastAsiaTheme="minorEastAsia" w:hAnsiTheme="minorHAnsi" w:cstheme="minorBidi"/>
          <w:b w:val="0"/>
          <w:sz w:val="22"/>
          <w:szCs w:val="22"/>
        </w:rPr>
        <w:tab/>
      </w:r>
      <w:r w:rsidRPr="00AE2F1C">
        <w:rPr>
          <w:rFonts w:asciiTheme="minorHAnsi" w:hAnsiTheme="minorHAnsi"/>
        </w:rPr>
        <w:t>Affordable and social housing</w:t>
      </w:r>
      <w:r>
        <w:tab/>
      </w:r>
      <w:r>
        <w:fldChar w:fldCharType="begin"/>
      </w:r>
      <w:r>
        <w:instrText xml:space="preserve"> PAGEREF _Toc519766838 \h </w:instrText>
      </w:r>
      <w:r>
        <w:fldChar w:fldCharType="separate"/>
      </w:r>
      <w:r w:rsidR="00A307EC">
        <w:t>89</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8.1</w:t>
      </w:r>
      <w:r>
        <w:rPr>
          <w:rFonts w:asciiTheme="minorHAnsi" w:eastAsiaTheme="minorEastAsia" w:hAnsiTheme="minorHAnsi" w:cstheme="minorBidi"/>
          <w:sz w:val="22"/>
          <w:szCs w:val="22"/>
        </w:rPr>
        <w:tab/>
      </w:r>
      <w:r>
        <w:t>Context and key issues</w:t>
      </w:r>
      <w:r>
        <w:tab/>
      </w:r>
      <w:r>
        <w:fldChar w:fldCharType="begin"/>
      </w:r>
      <w:r>
        <w:instrText xml:space="preserve"> PAGEREF _Toc519766839 \h </w:instrText>
      </w:r>
      <w:r>
        <w:fldChar w:fldCharType="separate"/>
      </w:r>
      <w:r w:rsidR="00A307EC">
        <w:t>89</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8.2</w:t>
      </w:r>
      <w:r>
        <w:rPr>
          <w:rFonts w:asciiTheme="minorHAnsi" w:eastAsiaTheme="minorEastAsia" w:hAnsiTheme="minorHAnsi" w:cstheme="minorBidi"/>
          <w:sz w:val="22"/>
          <w:szCs w:val="22"/>
        </w:rPr>
        <w:tab/>
      </w:r>
      <w:r>
        <w:t>What is meant by ‘affordable housing’?</w:t>
      </w:r>
      <w:r>
        <w:tab/>
      </w:r>
      <w:r>
        <w:fldChar w:fldCharType="begin"/>
      </w:r>
      <w:r>
        <w:instrText xml:space="preserve"> PAGEREF _Toc519766840 \h </w:instrText>
      </w:r>
      <w:r>
        <w:fldChar w:fldCharType="separate"/>
      </w:r>
      <w:r w:rsidR="00A307EC">
        <w:t>89</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8.3</w:t>
      </w:r>
      <w:r>
        <w:rPr>
          <w:rFonts w:asciiTheme="minorHAnsi" w:eastAsiaTheme="minorEastAsia" w:hAnsiTheme="minorHAnsi" w:cstheme="minorBidi"/>
          <w:sz w:val="22"/>
          <w:szCs w:val="22"/>
        </w:rPr>
        <w:tab/>
      </w:r>
      <w:r>
        <w:t>Target, and what it applies to</w:t>
      </w:r>
      <w:r>
        <w:tab/>
      </w:r>
      <w:r>
        <w:fldChar w:fldCharType="begin"/>
      </w:r>
      <w:r>
        <w:instrText xml:space="preserve"> PAGEREF _Toc519766841 \h </w:instrText>
      </w:r>
      <w:r>
        <w:fldChar w:fldCharType="separate"/>
      </w:r>
      <w:r w:rsidR="00A307EC">
        <w:t>90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8.4</w:t>
      </w:r>
      <w:r>
        <w:rPr>
          <w:rFonts w:asciiTheme="minorHAnsi" w:eastAsiaTheme="minorEastAsia" w:hAnsiTheme="minorHAnsi" w:cstheme="minorBidi"/>
          <w:sz w:val="22"/>
          <w:szCs w:val="22"/>
        </w:rPr>
        <w:tab/>
      </w:r>
      <w:r>
        <w:t>Mandatory versus voluntary contributions</w:t>
      </w:r>
      <w:r>
        <w:tab/>
      </w:r>
      <w:r>
        <w:fldChar w:fldCharType="begin"/>
      </w:r>
      <w:r>
        <w:instrText xml:space="preserve"> PAGEREF _Toc519766842 \h </w:instrText>
      </w:r>
      <w:r>
        <w:fldChar w:fldCharType="separate"/>
      </w:r>
      <w:r w:rsidR="00A307EC">
        <w:t>93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8.5</w:t>
      </w:r>
      <w:r>
        <w:rPr>
          <w:rFonts w:asciiTheme="minorHAnsi" w:eastAsiaTheme="minorEastAsia" w:hAnsiTheme="minorHAnsi" w:cstheme="minorBidi"/>
          <w:sz w:val="22"/>
          <w:szCs w:val="22"/>
        </w:rPr>
        <w:tab/>
      </w:r>
      <w:r>
        <w:t>Effectiveness of the proposed delivery mechanisms</w:t>
      </w:r>
      <w:r>
        <w:tab/>
      </w:r>
      <w:r>
        <w:fldChar w:fldCharType="begin"/>
      </w:r>
      <w:r>
        <w:instrText xml:space="preserve"> PAGEREF _Toc519766843 \h </w:instrText>
      </w:r>
      <w:r>
        <w:fldChar w:fldCharType="separate"/>
      </w:r>
      <w:r w:rsidR="00A307EC">
        <w:t>94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8.6</w:t>
      </w:r>
      <w:r>
        <w:rPr>
          <w:rFonts w:asciiTheme="minorHAnsi" w:eastAsiaTheme="minorEastAsia" w:hAnsiTheme="minorHAnsi" w:cstheme="minorBidi"/>
          <w:sz w:val="22"/>
          <w:szCs w:val="22"/>
        </w:rPr>
        <w:tab/>
      </w:r>
      <w:r>
        <w:t>Flexibility in the delivery mechanisms</w:t>
      </w:r>
      <w:r>
        <w:tab/>
      </w:r>
      <w:r>
        <w:fldChar w:fldCharType="begin"/>
      </w:r>
      <w:r>
        <w:instrText xml:space="preserve"> PAGEREF _Toc519766844 \h </w:instrText>
      </w:r>
      <w:r>
        <w:fldChar w:fldCharType="separate"/>
      </w:r>
      <w:r w:rsidR="00A307EC">
        <w:t>99</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9</w:t>
      </w:r>
      <w:r>
        <w:rPr>
          <w:rFonts w:asciiTheme="minorHAnsi" w:eastAsiaTheme="minorEastAsia" w:hAnsiTheme="minorHAnsi" w:cstheme="minorBidi"/>
          <w:b w:val="0"/>
          <w:sz w:val="22"/>
          <w:szCs w:val="22"/>
        </w:rPr>
        <w:tab/>
      </w:r>
      <w:r w:rsidRPr="00AE2F1C">
        <w:rPr>
          <w:rFonts w:asciiTheme="minorHAnsi" w:hAnsiTheme="minorHAnsi"/>
        </w:rPr>
        <w:t>Open space</w:t>
      </w:r>
      <w:r>
        <w:tab/>
      </w:r>
      <w:r>
        <w:fldChar w:fldCharType="begin"/>
      </w:r>
      <w:r>
        <w:instrText xml:space="preserve"> PAGEREF _Toc519766845 \h </w:instrText>
      </w:r>
      <w:r>
        <w:fldChar w:fldCharType="separate"/>
      </w:r>
      <w:r w:rsidR="00A307EC">
        <w:t>102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9.1</w:t>
      </w:r>
      <w:r>
        <w:rPr>
          <w:rFonts w:asciiTheme="minorHAnsi" w:eastAsiaTheme="minorEastAsia" w:hAnsiTheme="minorHAnsi" w:cstheme="minorBidi"/>
          <w:sz w:val="22"/>
          <w:szCs w:val="22"/>
        </w:rPr>
        <w:tab/>
      </w:r>
      <w:r>
        <w:t>Context and key issues</w:t>
      </w:r>
      <w:r>
        <w:tab/>
      </w:r>
      <w:r>
        <w:fldChar w:fldCharType="begin"/>
      </w:r>
      <w:r>
        <w:instrText xml:space="preserve"> PAGEREF _Toc519766846 \h </w:instrText>
      </w:r>
      <w:r>
        <w:fldChar w:fldCharType="separate"/>
      </w:r>
      <w:r w:rsidR="00A307EC">
        <w:t>102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9.2</w:t>
      </w:r>
      <w:r>
        <w:rPr>
          <w:rFonts w:asciiTheme="minorHAnsi" w:eastAsiaTheme="minorEastAsia" w:hAnsiTheme="minorHAnsi" w:cstheme="minorBidi"/>
          <w:sz w:val="22"/>
          <w:szCs w:val="22"/>
        </w:rPr>
        <w:tab/>
      </w:r>
      <w:r>
        <w:t>Quantum and distribution of public open space</w:t>
      </w:r>
      <w:r>
        <w:tab/>
      </w:r>
      <w:r>
        <w:fldChar w:fldCharType="begin"/>
      </w:r>
      <w:r>
        <w:instrText xml:space="preserve"> PAGEREF _Toc519766847 \h </w:instrText>
      </w:r>
      <w:r>
        <w:fldChar w:fldCharType="separate"/>
      </w:r>
      <w:r w:rsidR="00A307EC">
        <w:t>102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9.3</w:t>
      </w:r>
      <w:r>
        <w:rPr>
          <w:rFonts w:asciiTheme="minorHAnsi" w:eastAsiaTheme="minorEastAsia" w:hAnsiTheme="minorHAnsi" w:cstheme="minorBidi"/>
          <w:sz w:val="22"/>
          <w:szCs w:val="22"/>
        </w:rPr>
        <w:tab/>
      </w:r>
      <w:r>
        <w:t>Funding open space</w:t>
      </w:r>
      <w:r>
        <w:tab/>
      </w:r>
      <w:r>
        <w:fldChar w:fldCharType="begin"/>
      </w:r>
      <w:r>
        <w:instrText xml:space="preserve"> PAGEREF _Toc519766848 \h </w:instrText>
      </w:r>
      <w:r>
        <w:fldChar w:fldCharType="separate"/>
      </w:r>
      <w:r w:rsidR="00A307EC">
        <w:t>106</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9.4</w:t>
      </w:r>
      <w:r>
        <w:rPr>
          <w:rFonts w:asciiTheme="minorHAnsi" w:eastAsiaTheme="minorEastAsia" w:hAnsiTheme="minorHAnsi" w:cstheme="minorBidi"/>
          <w:sz w:val="22"/>
          <w:szCs w:val="22"/>
        </w:rPr>
        <w:tab/>
      </w:r>
      <w:r>
        <w:t>Overshadowing requirements</w:t>
      </w:r>
      <w:r>
        <w:tab/>
      </w:r>
      <w:r>
        <w:fldChar w:fldCharType="begin"/>
      </w:r>
      <w:r>
        <w:instrText xml:space="preserve"> PAGEREF _Toc519766849 \h </w:instrText>
      </w:r>
      <w:r>
        <w:fldChar w:fldCharType="separate"/>
      </w:r>
      <w:r w:rsidR="00A307EC">
        <w:t>108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9.5</w:t>
      </w:r>
      <w:r>
        <w:rPr>
          <w:rFonts w:asciiTheme="minorHAnsi" w:eastAsiaTheme="minorEastAsia" w:hAnsiTheme="minorHAnsi" w:cstheme="minorBidi"/>
          <w:sz w:val="22"/>
          <w:szCs w:val="22"/>
        </w:rPr>
        <w:tab/>
      </w:r>
      <w:r>
        <w:t>Other matters</w:t>
      </w:r>
      <w:r>
        <w:tab/>
      </w:r>
      <w:r>
        <w:fldChar w:fldCharType="begin"/>
      </w:r>
      <w:r>
        <w:instrText xml:space="preserve"> PAGEREF _Toc519766850 \h </w:instrText>
      </w:r>
      <w:r>
        <w:fldChar w:fldCharType="separate"/>
      </w:r>
      <w:r w:rsidR="00A307EC">
        <w:t>111</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9.6</w:t>
      </w:r>
      <w:r>
        <w:rPr>
          <w:rFonts w:asciiTheme="minorHAnsi" w:eastAsiaTheme="minorEastAsia" w:hAnsiTheme="minorHAnsi" w:cstheme="minorBidi"/>
          <w:sz w:val="22"/>
          <w:szCs w:val="22"/>
        </w:rPr>
        <w:tab/>
      </w:r>
      <w:r>
        <w:t>Recommendations</w:t>
      </w:r>
      <w:r>
        <w:tab/>
      </w:r>
      <w:r>
        <w:fldChar w:fldCharType="begin"/>
      </w:r>
      <w:r>
        <w:instrText xml:space="preserve"> PAGEREF _Toc519766851 \h </w:instrText>
      </w:r>
      <w:r>
        <w:fldChar w:fldCharType="separate"/>
      </w:r>
      <w:r w:rsidR="00A307EC">
        <w:t>112</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10</w:t>
      </w:r>
      <w:r>
        <w:rPr>
          <w:rFonts w:asciiTheme="minorHAnsi" w:eastAsiaTheme="minorEastAsia" w:hAnsiTheme="minorHAnsi" w:cstheme="minorBidi"/>
          <w:b w:val="0"/>
          <w:sz w:val="22"/>
          <w:szCs w:val="22"/>
        </w:rPr>
        <w:tab/>
      </w:r>
      <w:r w:rsidRPr="00AE2F1C">
        <w:rPr>
          <w:rFonts w:asciiTheme="minorHAnsi" w:hAnsiTheme="minorHAnsi"/>
        </w:rPr>
        <w:t>Transport framework</w:t>
      </w:r>
      <w:r>
        <w:tab/>
      </w:r>
      <w:r>
        <w:fldChar w:fldCharType="begin"/>
      </w:r>
      <w:r>
        <w:instrText xml:space="preserve"> PAGEREF _Toc519766852 \h </w:instrText>
      </w:r>
      <w:r>
        <w:fldChar w:fldCharType="separate"/>
      </w:r>
      <w:r w:rsidR="00A307EC">
        <w:t>113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10.1</w:t>
      </w:r>
      <w:r>
        <w:rPr>
          <w:rFonts w:asciiTheme="minorHAnsi" w:eastAsiaTheme="minorEastAsia" w:hAnsiTheme="minorHAnsi" w:cstheme="minorBidi"/>
          <w:sz w:val="22"/>
          <w:szCs w:val="22"/>
        </w:rPr>
        <w:tab/>
      </w:r>
      <w:r>
        <w:t>Context and key issues</w:t>
      </w:r>
      <w:r>
        <w:tab/>
      </w:r>
      <w:r>
        <w:fldChar w:fldCharType="begin"/>
      </w:r>
      <w:r>
        <w:instrText xml:space="preserve"> PAGEREF _Toc519766853 \h </w:instrText>
      </w:r>
      <w:r>
        <w:fldChar w:fldCharType="separate"/>
      </w:r>
      <w:r w:rsidR="00A307EC">
        <w:t>113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10.2</w:t>
      </w:r>
      <w:r>
        <w:rPr>
          <w:rFonts w:asciiTheme="minorHAnsi" w:eastAsiaTheme="minorEastAsia" w:hAnsiTheme="minorHAnsi" w:cstheme="minorBidi"/>
          <w:sz w:val="22"/>
          <w:szCs w:val="22"/>
        </w:rPr>
        <w:tab/>
      </w:r>
      <w:r>
        <w:t>Transport modelling</w:t>
      </w:r>
      <w:r>
        <w:tab/>
      </w:r>
      <w:r>
        <w:fldChar w:fldCharType="begin"/>
      </w:r>
      <w:r>
        <w:instrText xml:space="preserve"> PAGEREF _Toc519766854 \h </w:instrText>
      </w:r>
      <w:r>
        <w:fldChar w:fldCharType="separate"/>
      </w:r>
      <w:r w:rsidR="00A307EC">
        <w:t>114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10.3</w:t>
      </w:r>
      <w:r>
        <w:rPr>
          <w:rFonts w:asciiTheme="minorHAnsi" w:eastAsiaTheme="minorEastAsia" w:hAnsiTheme="minorHAnsi" w:cstheme="minorBidi"/>
          <w:sz w:val="22"/>
          <w:szCs w:val="22"/>
        </w:rPr>
        <w:tab/>
      </w:r>
      <w:r>
        <w:t>Public transport</w:t>
      </w:r>
      <w:r>
        <w:tab/>
      </w:r>
      <w:r>
        <w:fldChar w:fldCharType="begin"/>
      </w:r>
      <w:r>
        <w:instrText xml:space="preserve"> PAGEREF _Toc519766855 \h </w:instrText>
      </w:r>
      <w:r>
        <w:fldChar w:fldCharType="separate"/>
      </w:r>
      <w:r w:rsidR="00A307EC">
        <w:t>116</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10.4</w:t>
      </w:r>
      <w:r>
        <w:rPr>
          <w:rFonts w:asciiTheme="minorHAnsi" w:eastAsiaTheme="minorEastAsia" w:hAnsiTheme="minorHAnsi" w:cstheme="minorBidi"/>
          <w:sz w:val="22"/>
          <w:szCs w:val="22"/>
        </w:rPr>
        <w:tab/>
      </w:r>
      <w:r>
        <w:t>Roads and laneways</w:t>
      </w:r>
      <w:r>
        <w:tab/>
      </w:r>
      <w:r>
        <w:fldChar w:fldCharType="begin"/>
      </w:r>
      <w:r>
        <w:instrText xml:space="preserve"> PAGEREF _Toc519766856 \h </w:instrText>
      </w:r>
      <w:r>
        <w:fldChar w:fldCharType="separate"/>
      </w:r>
      <w:r w:rsidR="00A307EC">
        <w:t>121</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10.5</w:t>
      </w:r>
      <w:r>
        <w:rPr>
          <w:rFonts w:asciiTheme="minorHAnsi" w:eastAsiaTheme="minorEastAsia" w:hAnsiTheme="minorHAnsi" w:cstheme="minorBidi"/>
          <w:sz w:val="22"/>
          <w:szCs w:val="22"/>
        </w:rPr>
        <w:tab/>
      </w:r>
      <w:r>
        <w:t>Parking</w:t>
      </w:r>
      <w:r>
        <w:tab/>
      </w:r>
      <w:r>
        <w:fldChar w:fldCharType="begin"/>
      </w:r>
      <w:r>
        <w:instrText xml:space="preserve"> PAGEREF _Toc519766857 \h </w:instrText>
      </w:r>
      <w:r>
        <w:fldChar w:fldCharType="separate"/>
      </w:r>
      <w:r w:rsidR="00A307EC">
        <w:t>124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10.6</w:t>
      </w:r>
      <w:r>
        <w:rPr>
          <w:rFonts w:asciiTheme="minorHAnsi" w:eastAsiaTheme="minorEastAsia" w:hAnsiTheme="minorHAnsi" w:cstheme="minorBidi"/>
          <w:sz w:val="22"/>
          <w:szCs w:val="22"/>
        </w:rPr>
        <w:tab/>
      </w:r>
      <w:r>
        <w:t>Port of Melbourne</w:t>
      </w:r>
      <w:r>
        <w:tab/>
      </w:r>
      <w:r>
        <w:fldChar w:fldCharType="begin"/>
      </w:r>
      <w:r>
        <w:instrText xml:space="preserve"> PAGEREF _Toc519766858 \h </w:instrText>
      </w:r>
      <w:r>
        <w:fldChar w:fldCharType="separate"/>
      </w:r>
      <w:r w:rsidR="00A307EC">
        <w:t>127</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11</w:t>
      </w:r>
      <w:r>
        <w:rPr>
          <w:rFonts w:asciiTheme="minorHAnsi" w:eastAsiaTheme="minorEastAsia" w:hAnsiTheme="minorHAnsi" w:cstheme="minorBidi"/>
          <w:b w:val="0"/>
          <w:sz w:val="22"/>
          <w:szCs w:val="22"/>
        </w:rPr>
        <w:tab/>
      </w:r>
      <w:r w:rsidRPr="00AE2F1C">
        <w:rPr>
          <w:rFonts w:asciiTheme="minorHAnsi" w:hAnsiTheme="minorHAnsi"/>
        </w:rPr>
        <w:t>Environmental and other issues</w:t>
      </w:r>
      <w:r>
        <w:tab/>
      </w:r>
      <w:r>
        <w:fldChar w:fldCharType="begin"/>
      </w:r>
      <w:r>
        <w:instrText xml:space="preserve"> PAGEREF _Toc519766859 \h </w:instrText>
      </w:r>
      <w:r>
        <w:fldChar w:fldCharType="separate"/>
      </w:r>
      <w:r w:rsidR="00A307EC">
        <w:t>131</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11.1</w:t>
      </w:r>
      <w:r>
        <w:rPr>
          <w:rFonts w:asciiTheme="minorHAnsi" w:eastAsiaTheme="minorEastAsia" w:hAnsiTheme="minorHAnsi" w:cstheme="minorBidi"/>
          <w:sz w:val="22"/>
          <w:szCs w:val="22"/>
        </w:rPr>
        <w:tab/>
      </w:r>
      <w:r>
        <w:t>Integrated water management</w:t>
      </w:r>
      <w:r>
        <w:tab/>
      </w:r>
      <w:r>
        <w:fldChar w:fldCharType="begin"/>
      </w:r>
      <w:r>
        <w:instrText xml:space="preserve"> PAGEREF _Toc519766860 \h </w:instrText>
      </w:r>
      <w:r>
        <w:fldChar w:fldCharType="separate"/>
      </w:r>
      <w:r w:rsidR="00A307EC">
        <w:t>131</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11.2</w:t>
      </w:r>
      <w:r>
        <w:rPr>
          <w:rFonts w:asciiTheme="minorHAnsi" w:eastAsiaTheme="minorEastAsia" w:hAnsiTheme="minorHAnsi" w:cstheme="minorBidi"/>
          <w:sz w:val="22"/>
          <w:szCs w:val="22"/>
        </w:rPr>
        <w:tab/>
      </w:r>
      <w:r>
        <w:t>Environmentally sustainable design</w:t>
      </w:r>
      <w:r>
        <w:tab/>
      </w:r>
      <w:r>
        <w:fldChar w:fldCharType="begin"/>
      </w:r>
      <w:r>
        <w:instrText xml:space="preserve"> PAGEREF _Toc519766861 \h </w:instrText>
      </w:r>
      <w:r>
        <w:fldChar w:fldCharType="separate"/>
      </w:r>
      <w:r w:rsidR="00A307EC">
        <w:t>134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11.3</w:t>
      </w:r>
      <w:r>
        <w:rPr>
          <w:rFonts w:asciiTheme="minorHAnsi" w:eastAsiaTheme="minorEastAsia" w:hAnsiTheme="minorHAnsi" w:cstheme="minorBidi"/>
          <w:sz w:val="22"/>
          <w:szCs w:val="22"/>
        </w:rPr>
        <w:tab/>
      </w:r>
      <w:r>
        <w:t>Protection of pipelines</w:t>
      </w:r>
      <w:r>
        <w:tab/>
      </w:r>
      <w:r>
        <w:fldChar w:fldCharType="begin"/>
      </w:r>
      <w:r>
        <w:instrText xml:space="preserve"> PAGEREF _Toc519766862 \h </w:instrText>
      </w:r>
      <w:r>
        <w:fldChar w:fldCharType="separate"/>
      </w:r>
      <w:r w:rsidR="00A307EC">
        <w:t>138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11.4</w:t>
      </w:r>
      <w:r>
        <w:rPr>
          <w:rFonts w:asciiTheme="minorHAnsi" w:eastAsiaTheme="minorEastAsia" w:hAnsiTheme="minorHAnsi" w:cstheme="minorBidi"/>
          <w:sz w:val="22"/>
          <w:szCs w:val="22"/>
        </w:rPr>
        <w:tab/>
      </w:r>
      <w:r>
        <w:t>Other environmental issues</w:t>
      </w:r>
      <w:r>
        <w:tab/>
      </w:r>
      <w:r>
        <w:fldChar w:fldCharType="begin"/>
      </w:r>
      <w:r>
        <w:instrText xml:space="preserve"> PAGEREF _Toc519766863 \h </w:instrText>
      </w:r>
      <w:r>
        <w:fldChar w:fldCharType="separate"/>
      </w:r>
      <w:r w:rsidR="00A307EC">
        <w:t>140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11.5</w:t>
      </w:r>
      <w:r>
        <w:rPr>
          <w:rFonts w:asciiTheme="minorHAnsi" w:eastAsiaTheme="minorEastAsia" w:hAnsiTheme="minorHAnsi" w:cstheme="minorBidi"/>
          <w:sz w:val="22"/>
          <w:szCs w:val="22"/>
        </w:rPr>
        <w:tab/>
      </w:r>
      <w:r>
        <w:t>Heritage</w:t>
      </w:r>
      <w:r>
        <w:tab/>
      </w:r>
      <w:r>
        <w:fldChar w:fldCharType="begin"/>
      </w:r>
      <w:r>
        <w:instrText xml:space="preserve"> PAGEREF _Toc519766864 \h </w:instrText>
      </w:r>
      <w:r>
        <w:fldChar w:fldCharType="separate"/>
      </w:r>
      <w:r w:rsidR="00A307EC">
        <w:t>142</w:t>
      </w:r>
      <w:r>
        <w:fldChar w:fldCharType="end"/>
      </w:r>
    </w:p>
    <w:p w:rsidR="000A449D" w:rsidRDefault="000A449D">
      <w:pPr>
        <w:spacing w:before="0"/>
        <w:jc w:val="left"/>
        <w:rPr>
          <w:rFonts w:asciiTheme="minorHAnsi" w:hAnsiTheme="minorHAnsi"/>
          <w:b/>
          <w:noProof/>
        </w:rPr>
      </w:pPr>
      <w:r>
        <w:rPr>
          <w:rFonts w:asciiTheme="minorHAnsi" w:hAnsiTheme="minorHAnsi"/>
        </w:rPr>
        <w:br w:type="page"/>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rPr>
        <w:lastRenderedPageBreak/>
        <w:t>PART C – IMPLEMENTATION</w:t>
      </w:r>
      <w:r>
        <w:tab/>
      </w:r>
      <w:r>
        <w:fldChar w:fldCharType="begin"/>
      </w:r>
      <w:r>
        <w:instrText xml:space="preserve"> PAGEREF _Toc519766865 \h </w:instrText>
      </w:r>
      <w:r>
        <w:fldChar w:fldCharType="separate"/>
      </w:r>
      <w:r w:rsidR="00A307EC">
        <w:t>144</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12</w:t>
      </w:r>
      <w:r>
        <w:rPr>
          <w:rFonts w:asciiTheme="minorHAnsi" w:eastAsiaTheme="minorEastAsia" w:hAnsiTheme="minorHAnsi" w:cstheme="minorBidi"/>
          <w:b w:val="0"/>
          <w:sz w:val="22"/>
          <w:szCs w:val="22"/>
        </w:rPr>
        <w:tab/>
      </w:r>
      <w:r w:rsidRPr="00AE2F1C">
        <w:rPr>
          <w:rFonts w:asciiTheme="minorHAnsi" w:hAnsiTheme="minorHAnsi"/>
        </w:rPr>
        <w:t>Governance</w:t>
      </w:r>
      <w:r>
        <w:tab/>
      </w:r>
      <w:r>
        <w:fldChar w:fldCharType="begin"/>
      </w:r>
      <w:r>
        <w:instrText xml:space="preserve"> PAGEREF _Toc519766866 \h </w:instrText>
      </w:r>
      <w:r>
        <w:fldChar w:fldCharType="separate"/>
      </w:r>
      <w:r w:rsidR="00A307EC">
        <w:t>145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12.1</w:t>
      </w:r>
      <w:r>
        <w:rPr>
          <w:rFonts w:asciiTheme="minorHAnsi" w:eastAsiaTheme="minorEastAsia" w:hAnsiTheme="minorHAnsi" w:cstheme="minorBidi"/>
          <w:sz w:val="22"/>
          <w:szCs w:val="22"/>
        </w:rPr>
        <w:tab/>
      </w:r>
      <w:r>
        <w:t>Context and key issues</w:t>
      </w:r>
      <w:r>
        <w:tab/>
      </w:r>
      <w:r>
        <w:fldChar w:fldCharType="begin"/>
      </w:r>
      <w:r>
        <w:instrText xml:space="preserve"> PAGEREF _Toc519766867 \h </w:instrText>
      </w:r>
      <w:r>
        <w:fldChar w:fldCharType="separate"/>
      </w:r>
      <w:r w:rsidR="00A307EC">
        <w:t>145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12.2</w:t>
      </w:r>
      <w:r>
        <w:rPr>
          <w:rFonts w:asciiTheme="minorHAnsi" w:eastAsiaTheme="minorEastAsia" w:hAnsiTheme="minorHAnsi" w:cstheme="minorBidi"/>
          <w:sz w:val="22"/>
          <w:szCs w:val="22"/>
        </w:rPr>
        <w:tab/>
      </w:r>
      <w:r>
        <w:t>Submissions and evidence</w:t>
      </w:r>
      <w:r>
        <w:tab/>
      </w:r>
      <w:r>
        <w:fldChar w:fldCharType="begin"/>
      </w:r>
      <w:r>
        <w:instrText xml:space="preserve"> PAGEREF _Toc519766868 \h </w:instrText>
      </w:r>
      <w:r>
        <w:fldChar w:fldCharType="separate"/>
      </w:r>
      <w:r w:rsidR="00A307EC">
        <w:t>145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12.3</w:t>
      </w:r>
      <w:r>
        <w:rPr>
          <w:rFonts w:asciiTheme="minorHAnsi" w:eastAsiaTheme="minorEastAsia" w:hAnsiTheme="minorHAnsi" w:cstheme="minorBidi"/>
          <w:sz w:val="22"/>
          <w:szCs w:val="22"/>
        </w:rPr>
        <w:tab/>
      </w:r>
      <w:r>
        <w:t>Discussion</w:t>
      </w:r>
      <w:r>
        <w:tab/>
      </w:r>
      <w:r>
        <w:fldChar w:fldCharType="begin"/>
      </w:r>
      <w:r>
        <w:instrText xml:space="preserve"> PAGEREF _Toc519766869 \h </w:instrText>
      </w:r>
      <w:r>
        <w:fldChar w:fldCharType="separate"/>
      </w:r>
      <w:r w:rsidR="00A307EC">
        <w:t>148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12.4</w:t>
      </w:r>
      <w:r>
        <w:rPr>
          <w:rFonts w:asciiTheme="minorHAnsi" w:eastAsiaTheme="minorEastAsia" w:hAnsiTheme="minorHAnsi" w:cstheme="minorBidi"/>
          <w:sz w:val="22"/>
          <w:szCs w:val="22"/>
        </w:rPr>
        <w:tab/>
      </w:r>
      <w:r>
        <w:t>Findings and recommendations</w:t>
      </w:r>
      <w:r>
        <w:tab/>
      </w:r>
      <w:r>
        <w:fldChar w:fldCharType="begin"/>
      </w:r>
      <w:r>
        <w:instrText xml:space="preserve"> PAGEREF _Toc519766870 \h </w:instrText>
      </w:r>
      <w:r>
        <w:fldChar w:fldCharType="separate"/>
      </w:r>
      <w:r w:rsidR="00A307EC">
        <w:t>148</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13</w:t>
      </w:r>
      <w:r>
        <w:rPr>
          <w:rFonts w:asciiTheme="minorHAnsi" w:eastAsiaTheme="minorEastAsia" w:hAnsiTheme="minorHAnsi" w:cstheme="minorBidi"/>
          <w:b w:val="0"/>
          <w:sz w:val="22"/>
          <w:szCs w:val="22"/>
        </w:rPr>
        <w:tab/>
      </w:r>
      <w:r w:rsidRPr="00AE2F1C">
        <w:rPr>
          <w:rFonts w:asciiTheme="minorHAnsi" w:hAnsiTheme="minorHAnsi"/>
        </w:rPr>
        <w:t>Infrastructure funding</w:t>
      </w:r>
      <w:r>
        <w:tab/>
      </w:r>
      <w:r>
        <w:fldChar w:fldCharType="begin"/>
      </w:r>
      <w:r>
        <w:instrText xml:space="preserve"> PAGEREF _Toc519766871 \h </w:instrText>
      </w:r>
      <w:r>
        <w:fldChar w:fldCharType="separate"/>
      </w:r>
      <w:r w:rsidR="00A307EC">
        <w:t>150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13.1</w:t>
      </w:r>
      <w:r>
        <w:rPr>
          <w:rFonts w:asciiTheme="minorHAnsi" w:eastAsiaTheme="minorEastAsia" w:hAnsiTheme="minorHAnsi" w:cstheme="minorBidi"/>
          <w:sz w:val="22"/>
          <w:szCs w:val="22"/>
        </w:rPr>
        <w:tab/>
      </w:r>
      <w:r>
        <w:t>Context and key issues</w:t>
      </w:r>
      <w:r>
        <w:tab/>
      </w:r>
      <w:r>
        <w:fldChar w:fldCharType="begin"/>
      </w:r>
      <w:r>
        <w:instrText xml:space="preserve"> PAGEREF _Toc519766872 \h </w:instrText>
      </w:r>
      <w:r>
        <w:fldChar w:fldCharType="separate"/>
      </w:r>
      <w:r w:rsidR="00A307EC">
        <w:t>150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13.2</w:t>
      </w:r>
      <w:r>
        <w:rPr>
          <w:rFonts w:asciiTheme="minorHAnsi" w:eastAsiaTheme="minorEastAsia" w:hAnsiTheme="minorHAnsi" w:cstheme="minorBidi"/>
          <w:sz w:val="22"/>
          <w:szCs w:val="22"/>
        </w:rPr>
        <w:tab/>
      </w:r>
      <w:r>
        <w:t>Infrastructure provision</w:t>
      </w:r>
      <w:r>
        <w:tab/>
      </w:r>
      <w:r>
        <w:fldChar w:fldCharType="begin"/>
      </w:r>
      <w:r>
        <w:instrText xml:space="preserve"> PAGEREF _Toc519766873 \h </w:instrText>
      </w:r>
      <w:r>
        <w:fldChar w:fldCharType="separate"/>
      </w:r>
      <w:r w:rsidR="00A307EC">
        <w:t>150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13.3</w:t>
      </w:r>
      <w:r>
        <w:rPr>
          <w:rFonts w:asciiTheme="minorHAnsi" w:eastAsiaTheme="minorEastAsia" w:hAnsiTheme="minorHAnsi" w:cstheme="minorBidi"/>
          <w:sz w:val="22"/>
          <w:szCs w:val="22"/>
        </w:rPr>
        <w:tab/>
      </w:r>
      <w:r>
        <w:t>Infrastructure funding</w:t>
      </w:r>
      <w:r>
        <w:tab/>
      </w:r>
      <w:r>
        <w:fldChar w:fldCharType="begin"/>
      </w:r>
      <w:r>
        <w:instrText xml:space="preserve"> PAGEREF _Toc519766874 \h </w:instrText>
      </w:r>
      <w:r>
        <w:fldChar w:fldCharType="separate"/>
      </w:r>
      <w:r w:rsidR="00A307EC">
        <w:t>152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13.4</w:t>
      </w:r>
      <w:r>
        <w:rPr>
          <w:rFonts w:asciiTheme="minorHAnsi" w:eastAsiaTheme="minorEastAsia" w:hAnsiTheme="minorHAnsi" w:cstheme="minorBidi"/>
          <w:sz w:val="22"/>
          <w:szCs w:val="22"/>
        </w:rPr>
        <w:tab/>
      </w:r>
      <w:r>
        <w:t>The use of floor area ratio to deliver infrastructure</w:t>
      </w:r>
      <w:r>
        <w:tab/>
      </w:r>
      <w:r>
        <w:fldChar w:fldCharType="begin"/>
      </w:r>
      <w:r>
        <w:instrText xml:space="preserve"> PAGEREF _Toc519766875 \h </w:instrText>
      </w:r>
      <w:r>
        <w:fldChar w:fldCharType="separate"/>
      </w:r>
      <w:r w:rsidR="00A307EC">
        <w:t>155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13.5</w:t>
      </w:r>
      <w:r>
        <w:rPr>
          <w:rFonts w:asciiTheme="minorHAnsi" w:eastAsiaTheme="minorEastAsia" w:hAnsiTheme="minorHAnsi" w:cstheme="minorBidi"/>
          <w:sz w:val="22"/>
          <w:szCs w:val="22"/>
        </w:rPr>
        <w:tab/>
      </w:r>
      <w:r>
        <w:t>The use of an ICP to deliver infrastructure</w:t>
      </w:r>
      <w:r>
        <w:tab/>
      </w:r>
      <w:r>
        <w:fldChar w:fldCharType="begin"/>
      </w:r>
      <w:r>
        <w:instrText xml:space="preserve"> PAGEREF _Toc519766876 \h </w:instrText>
      </w:r>
      <w:r>
        <w:fldChar w:fldCharType="separate"/>
      </w:r>
      <w:r w:rsidR="00A307EC">
        <w:t>156</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cs="Times New Roman"/>
          <w:color w:val="000000"/>
        </w:rPr>
        <w:t>14</w:t>
      </w:r>
      <w:r>
        <w:rPr>
          <w:rFonts w:asciiTheme="minorHAnsi" w:eastAsiaTheme="minorEastAsia" w:hAnsiTheme="minorHAnsi" w:cstheme="minorBidi"/>
          <w:b w:val="0"/>
          <w:sz w:val="22"/>
          <w:szCs w:val="22"/>
        </w:rPr>
        <w:tab/>
      </w:r>
      <w:r>
        <w:t>Acquiring land for public purposes</w:t>
      </w:r>
      <w:r>
        <w:tab/>
      </w:r>
      <w:r>
        <w:fldChar w:fldCharType="begin"/>
      </w:r>
      <w:r>
        <w:instrText xml:space="preserve"> PAGEREF _Toc519766877 \h </w:instrText>
      </w:r>
      <w:r>
        <w:fldChar w:fldCharType="separate"/>
      </w:r>
      <w:r w:rsidR="00A307EC">
        <w:t>160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14.1</w:t>
      </w:r>
      <w:r>
        <w:rPr>
          <w:rFonts w:asciiTheme="minorHAnsi" w:eastAsiaTheme="minorEastAsia" w:hAnsiTheme="minorHAnsi" w:cstheme="minorBidi"/>
          <w:sz w:val="22"/>
          <w:szCs w:val="22"/>
        </w:rPr>
        <w:tab/>
      </w:r>
      <w:r>
        <w:t>Context and key issues</w:t>
      </w:r>
      <w:r>
        <w:tab/>
      </w:r>
      <w:r>
        <w:fldChar w:fldCharType="begin"/>
      </w:r>
      <w:r>
        <w:instrText xml:space="preserve"> PAGEREF _Toc519766878 \h </w:instrText>
      </w:r>
      <w:r>
        <w:fldChar w:fldCharType="separate"/>
      </w:r>
      <w:r w:rsidR="00A307EC">
        <w:t>160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14.2</w:t>
      </w:r>
      <w:r>
        <w:rPr>
          <w:rFonts w:asciiTheme="minorHAnsi" w:eastAsiaTheme="minorEastAsia" w:hAnsiTheme="minorHAnsi" w:cstheme="minorBidi"/>
          <w:sz w:val="22"/>
          <w:szCs w:val="22"/>
        </w:rPr>
        <w:tab/>
      </w:r>
      <w:r>
        <w:t>Should Public Acquisition Overlays be applied?</w:t>
      </w:r>
      <w:r>
        <w:tab/>
      </w:r>
      <w:r>
        <w:fldChar w:fldCharType="begin"/>
      </w:r>
      <w:r>
        <w:instrText xml:space="preserve"> PAGEREF _Toc519766879 \h </w:instrText>
      </w:r>
      <w:r>
        <w:fldChar w:fldCharType="separate"/>
      </w:r>
      <w:r w:rsidR="00A307EC">
        <w:t>160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14.3</w:t>
      </w:r>
      <w:r>
        <w:rPr>
          <w:rFonts w:asciiTheme="minorHAnsi" w:eastAsiaTheme="minorEastAsia" w:hAnsiTheme="minorHAnsi" w:cstheme="minorBidi"/>
          <w:sz w:val="22"/>
          <w:szCs w:val="22"/>
        </w:rPr>
        <w:tab/>
      </w:r>
      <w:r>
        <w:t>Mandatory permit conditions relating to streets, roads and laneways</w:t>
      </w:r>
      <w:r>
        <w:tab/>
      </w:r>
      <w:r>
        <w:fldChar w:fldCharType="begin"/>
      </w:r>
      <w:r>
        <w:instrText xml:space="preserve"> PAGEREF _Toc519766880 \h </w:instrText>
      </w:r>
      <w:r>
        <w:fldChar w:fldCharType="separate"/>
      </w:r>
      <w:r w:rsidR="00A307EC">
        <w:t>163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14.4</w:t>
      </w:r>
      <w:r>
        <w:rPr>
          <w:rFonts w:asciiTheme="minorHAnsi" w:eastAsiaTheme="minorEastAsia" w:hAnsiTheme="minorHAnsi" w:cstheme="minorBidi"/>
          <w:sz w:val="22"/>
          <w:szCs w:val="22"/>
        </w:rPr>
        <w:tab/>
      </w:r>
      <w:r>
        <w:t>Recommendations</w:t>
      </w:r>
      <w:r>
        <w:tab/>
      </w:r>
      <w:r>
        <w:fldChar w:fldCharType="begin"/>
      </w:r>
      <w:r>
        <w:instrText xml:space="preserve"> PAGEREF _Toc519766881 \h </w:instrText>
      </w:r>
      <w:r>
        <w:fldChar w:fldCharType="separate"/>
      </w:r>
      <w:r w:rsidR="00A307EC">
        <w:t>164</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15</w:t>
      </w:r>
      <w:r>
        <w:rPr>
          <w:rFonts w:asciiTheme="minorHAnsi" w:eastAsiaTheme="minorEastAsia" w:hAnsiTheme="minorHAnsi" w:cstheme="minorBidi"/>
          <w:b w:val="0"/>
          <w:sz w:val="22"/>
          <w:szCs w:val="22"/>
        </w:rPr>
        <w:tab/>
      </w:r>
      <w:r w:rsidRPr="00AE2F1C">
        <w:rPr>
          <w:rFonts w:asciiTheme="minorHAnsi" w:hAnsiTheme="minorHAnsi"/>
        </w:rPr>
        <w:t>Transitional provisions</w:t>
      </w:r>
      <w:r>
        <w:tab/>
      </w:r>
      <w:r>
        <w:fldChar w:fldCharType="begin"/>
      </w:r>
      <w:r>
        <w:instrText xml:space="preserve"> PAGEREF _Toc519766882 \h </w:instrText>
      </w:r>
      <w:r>
        <w:fldChar w:fldCharType="separate"/>
      </w:r>
      <w:r w:rsidR="00A307EC">
        <w:t>165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15.1</w:t>
      </w:r>
      <w:r>
        <w:rPr>
          <w:rFonts w:asciiTheme="minorHAnsi" w:eastAsiaTheme="minorEastAsia" w:hAnsiTheme="minorHAnsi" w:cstheme="minorBidi"/>
          <w:sz w:val="22"/>
          <w:szCs w:val="22"/>
        </w:rPr>
        <w:tab/>
      </w:r>
      <w:r>
        <w:t>Context and key issues</w:t>
      </w:r>
      <w:r>
        <w:tab/>
      </w:r>
      <w:r>
        <w:fldChar w:fldCharType="begin"/>
      </w:r>
      <w:r>
        <w:instrText xml:space="preserve"> PAGEREF _Toc519766883 \h </w:instrText>
      </w:r>
      <w:r>
        <w:fldChar w:fldCharType="separate"/>
      </w:r>
      <w:r w:rsidR="00A307EC">
        <w:t>165</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15.2</w:t>
      </w:r>
      <w:r>
        <w:rPr>
          <w:rFonts w:asciiTheme="minorHAnsi" w:eastAsiaTheme="minorEastAsia" w:hAnsiTheme="minorHAnsi" w:cstheme="minorBidi"/>
          <w:sz w:val="22"/>
          <w:szCs w:val="22"/>
        </w:rPr>
        <w:tab/>
      </w:r>
      <w:r>
        <w:t>Submissions and evidence</w:t>
      </w:r>
      <w:r>
        <w:tab/>
      </w:r>
      <w:r>
        <w:fldChar w:fldCharType="begin"/>
      </w:r>
      <w:r>
        <w:instrText xml:space="preserve"> PAGEREF _Toc519766884 \h </w:instrText>
      </w:r>
      <w:r>
        <w:fldChar w:fldCharType="separate"/>
      </w:r>
      <w:r w:rsidR="00A307EC">
        <w:t>166</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15.3</w:t>
      </w:r>
      <w:r>
        <w:rPr>
          <w:rFonts w:asciiTheme="minorHAnsi" w:eastAsiaTheme="minorEastAsia" w:hAnsiTheme="minorHAnsi" w:cstheme="minorBidi"/>
          <w:sz w:val="22"/>
          <w:szCs w:val="22"/>
        </w:rPr>
        <w:tab/>
      </w:r>
      <w:r>
        <w:t>Discussion</w:t>
      </w:r>
      <w:r>
        <w:tab/>
      </w:r>
      <w:r>
        <w:fldChar w:fldCharType="begin"/>
      </w:r>
      <w:r>
        <w:instrText xml:space="preserve"> PAGEREF _Toc519766885 \h </w:instrText>
      </w:r>
      <w:r>
        <w:fldChar w:fldCharType="separate"/>
      </w:r>
      <w:r w:rsidR="00A307EC">
        <w:t>167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15.4</w:t>
      </w:r>
      <w:r>
        <w:rPr>
          <w:rFonts w:asciiTheme="minorHAnsi" w:eastAsiaTheme="minorEastAsia" w:hAnsiTheme="minorHAnsi" w:cstheme="minorBidi"/>
          <w:sz w:val="22"/>
          <w:szCs w:val="22"/>
        </w:rPr>
        <w:tab/>
      </w:r>
      <w:r>
        <w:t>Findings</w:t>
      </w:r>
      <w:r>
        <w:tab/>
      </w:r>
      <w:r>
        <w:fldChar w:fldCharType="begin"/>
      </w:r>
      <w:r>
        <w:instrText xml:space="preserve"> PAGEREF _Toc519766886 \h </w:instrText>
      </w:r>
      <w:r>
        <w:fldChar w:fldCharType="separate"/>
      </w:r>
      <w:r w:rsidR="00A307EC">
        <w:t>170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15.5</w:t>
      </w:r>
      <w:r>
        <w:rPr>
          <w:rFonts w:asciiTheme="minorHAnsi" w:eastAsiaTheme="minorEastAsia" w:hAnsiTheme="minorHAnsi" w:cstheme="minorBidi"/>
          <w:sz w:val="22"/>
          <w:szCs w:val="22"/>
        </w:rPr>
        <w:tab/>
      </w:r>
      <w:r>
        <w:t>Conclusions and recommendations</w:t>
      </w:r>
      <w:r>
        <w:tab/>
      </w:r>
      <w:r>
        <w:fldChar w:fldCharType="begin"/>
      </w:r>
      <w:r>
        <w:instrText xml:space="preserve"> PAGEREF _Toc519766887 \h </w:instrText>
      </w:r>
      <w:r>
        <w:fldChar w:fldCharType="separate"/>
      </w:r>
      <w:r w:rsidR="00A307EC">
        <w:t>170</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rPr>
        <w:t>PART D – PLANNING CONTROLS</w:t>
      </w:r>
      <w:r>
        <w:tab/>
      </w:r>
      <w:r>
        <w:fldChar w:fldCharType="begin"/>
      </w:r>
      <w:r>
        <w:instrText xml:space="preserve"> PAGEREF _Toc519766888 \h </w:instrText>
      </w:r>
      <w:r>
        <w:fldChar w:fldCharType="separate"/>
      </w:r>
      <w:r w:rsidR="00A307EC">
        <w:t>171</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cs="Times New Roman"/>
          <w:color w:val="000000"/>
        </w:rPr>
        <w:t>16</w:t>
      </w:r>
      <w:r>
        <w:rPr>
          <w:rFonts w:asciiTheme="minorHAnsi" w:eastAsiaTheme="minorEastAsia" w:hAnsiTheme="minorHAnsi" w:cstheme="minorBidi"/>
          <w:b w:val="0"/>
          <w:sz w:val="22"/>
          <w:szCs w:val="22"/>
        </w:rPr>
        <w:tab/>
      </w:r>
      <w:r>
        <w:t>Structure and language</w:t>
      </w:r>
      <w:r>
        <w:tab/>
      </w:r>
      <w:r>
        <w:fldChar w:fldCharType="begin"/>
      </w:r>
      <w:r>
        <w:instrText xml:space="preserve"> PAGEREF _Toc519766889 \h </w:instrText>
      </w:r>
      <w:r>
        <w:fldChar w:fldCharType="separate"/>
      </w:r>
      <w:r w:rsidR="00A307EC">
        <w:t>172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16.1</w:t>
      </w:r>
      <w:r>
        <w:rPr>
          <w:rFonts w:asciiTheme="minorHAnsi" w:eastAsiaTheme="minorEastAsia" w:hAnsiTheme="minorHAnsi" w:cstheme="minorBidi"/>
          <w:sz w:val="22"/>
          <w:szCs w:val="22"/>
        </w:rPr>
        <w:tab/>
      </w:r>
      <w:r>
        <w:t>The approach of the Review Panel</w:t>
      </w:r>
      <w:r>
        <w:tab/>
      </w:r>
      <w:r>
        <w:fldChar w:fldCharType="begin"/>
      </w:r>
      <w:r>
        <w:instrText xml:space="preserve"> PAGEREF _Toc519766890 \h </w:instrText>
      </w:r>
      <w:r>
        <w:fldChar w:fldCharType="separate"/>
      </w:r>
      <w:r w:rsidR="00A307EC">
        <w:t>172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16.2</w:t>
      </w:r>
      <w:r>
        <w:rPr>
          <w:rFonts w:asciiTheme="minorHAnsi" w:eastAsiaTheme="minorEastAsia" w:hAnsiTheme="minorHAnsi" w:cstheme="minorBidi"/>
          <w:sz w:val="22"/>
          <w:szCs w:val="22"/>
        </w:rPr>
        <w:tab/>
      </w:r>
      <w:r>
        <w:t>What should go where</w:t>
      </w:r>
      <w:r>
        <w:tab/>
      </w:r>
      <w:r>
        <w:fldChar w:fldCharType="begin"/>
      </w:r>
      <w:r>
        <w:instrText xml:space="preserve"> PAGEREF _Toc519766891 \h </w:instrText>
      </w:r>
      <w:r>
        <w:fldChar w:fldCharType="separate"/>
      </w:r>
      <w:r w:rsidR="00A307EC">
        <w:t>172</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16.3</w:t>
      </w:r>
      <w:r>
        <w:rPr>
          <w:rFonts w:asciiTheme="minorHAnsi" w:eastAsiaTheme="minorEastAsia" w:hAnsiTheme="minorHAnsi" w:cstheme="minorBidi"/>
          <w:sz w:val="22"/>
          <w:szCs w:val="22"/>
        </w:rPr>
        <w:tab/>
      </w:r>
      <w:r>
        <w:t>The role of different elements</w:t>
      </w:r>
      <w:r>
        <w:tab/>
      </w:r>
      <w:r>
        <w:fldChar w:fldCharType="begin"/>
      </w:r>
      <w:r>
        <w:instrText xml:space="preserve"> PAGEREF _Toc519766892 \h </w:instrText>
      </w:r>
      <w:r>
        <w:fldChar w:fldCharType="separate"/>
      </w:r>
      <w:r w:rsidR="00A307EC">
        <w:t>174</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16.4</w:t>
      </w:r>
      <w:r>
        <w:rPr>
          <w:rFonts w:asciiTheme="minorHAnsi" w:eastAsiaTheme="minorEastAsia" w:hAnsiTheme="minorHAnsi" w:cstheme="minorBidi"/>
          <w:sz w:val="22"/>
          <w:szCs w:val="22"/>
        </w:rPr>
        <w:tab/>
      </w:r>
      <w:r>
        <w:t>Issues with expression</w:t>
      </w:r>
      <w:r>
        <w:tab/>
      </w:r>
      <w:r>
        <w:fldChar w:fldCharType="begin"/>
      </w:r>
      <w:r>
        <w:instrText xml:space="preserve"> PAGEREF _Toc519766893 \h </w:instrText>
      </w:r>
      <w:r>
        <w:fldChar w:fldCharType="separate"/>
      </w:r>
      <w:r w:rsidR="00A307EC">
        <w:t>176</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16.5</w:t>
      </w:r>
      <w:r>
        <w:rPr>
          <w:rFonts w:asciiTheme="minorHAnsi" w:eastAsiaTheme="minorEastAsia" w:hAnsiTheme="minorHAnsi" w:cstheme="minorBidi"/>
          <w:sz w:val="22"/>
          <w:szCs w:val="22"/>
        </w:rPr>
        <w:tab/>
      </w:r>
      <w:r>
        <w:t>Issues with the interpretation of requirements</w:t>
      </w:r>
      <w:r>
        <w:tab/>
      </w:r>
      <w:r>
        <w:fldChar w:fldCharType="begin"/>
      </w:r>
      <w:r>
        <w:instrText xml:space="preserve"> PAGEREF _Toc519766894 \h </w:instrText>
      </w:r>
      <w:r>
        <w:fldChar w:fldCharType="separate"/>
      </w:r>
      <w:r w:rsidR="00A307EC">
        <w:t>180</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16.6</w:t>
      </w:r>
      <w:r>
        <w:rPr>
          <w:rFonts w:asciiTheme="minorHAnsi" w:eastAsiaTheme="minorEastAsia" w:hAnsiTheme="minorHAnsi" w:cstheme="minorBidi"/>
          <w:sz w:val="22"/>
          <w:szCs w:val="22"/>
        </w:rPr>
        <w:tab/>
      </w:r>
      <w:r>
        <w:t>Plans and diagrams</w:t>
      </w:r>
      <w:r>
        <w:tab/>
      </w:r>
      <w:r>
        <w:fldChar w:fldCharType="begin"/>
      </w:r>
      <w:r>
        <w:instrText xml:space="preserve"> PAGEREF _Toc519766895 \h </w:instrText>
      </w:r>
      <w:r>
        <w:fldChar w:fldCharType="separate"/>
      </w:r>
      <w:r w:rsidR="00A307EC">
        <w:t>183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16.7</w:t>
      </w:r>
      <w:r>
        <w:rPr>
          <w:rFonts w:asciiTheme="minorHAnsi" w:eastAsiaTheme="minorEastAsia" w:hAnsiTheme="minorHAnsi" w:cstheme="minorBidi"/>
          <w:sz w:val="22"/>
          <w:szCs w:val="22"/>
        </w:rPr>
        <w:tab/>
      </w:r>
      <w:r>
        <w:t>Findings and recommendations</w:t>
      </w:r>
      <w:r>
        <w:tab/>
      </w:r>
      <w:r>
        <w:fldChar w:fldCharType="begin"/>
      </w:r>
      <w:r>
        <w:instrText xml:space="preserve"> PAGEREF _Toc519766896 \h </w:instrText>
      </w:r>
      <w:r>
        <w:fldChar w:fldCharType="separate"/>
      </w:r>
      <w:r w:rsidR="00A307EC">
        <w:t>185</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cs="Times New Roman"/>
          <w:color w:val="000000"/>
        </w:rPr>
        <w:t>17</w:t>
      </w:r>
      <w:r>
        <w:rPr>
          <w:rFonts w:asciiTheme="minorHAnsi" w:eastAsiaTheme="minorEastAsia" w:hAnsiTheme="minorHAnsi" w:cstheme="minorBidi"/>
          <w:b w:val="0"/>
          <w:sz w:val="22"/>
          <w:szCs w:val="22"/>
        </w:rPr>
        <w:tab/>
      </w:r>
      <w:r>
        <w:t>Specific changes to the planning controls</w:t>
      </w:r>
      <w:r>
        <w:tab/>
      </w:r>
      <w:r>
        <w:fldChar w:fldCharType="begin"/>
      </w:r>
      <w:r>
        <w:instrText xml:space="preserve"> PAGEREF _Toc519766897 \h </w:instrText>
      </w:r>
      <w:r>
        <w:fldChar w:fldCharType="separate"/>
      </w:r>
      <w:r w:rsidR="00A307EC">
        <w:t>187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17.1</w:t>
      </w:r>
      <w:r>
        <w:rPr>
          <w:rFonts w:asciiTheme="minorHAnsi" w:eastAsiaTheme="minorEastAsia" w:hAnsiTheme="minorHAnsi" w:cstheme="minorBidi"/>
          <w:sz w:val="22"/>
          <w:szCs w:val="22"/>
        </w:rPr>
        <w:tab/>
      </w:r>
      <w:r>
        <w:t>Local policy</w:t>
      </w:r>
      <w:r>
        <w:tab/>
      </w:r>
      <w:r>
        <w:fldChar w:fldCharType="begin"/>
      </w:r>
      <w:r>
        <w:instrText xml:space="preserve"> PAGEREF _Toc519766898 \h </w:instrText>
      </w:r>
      <w:r>
        <w:fldChar w:fldCharType="separate"/>
      </w:r>
      <w:r w:rsidR="00A307EC">
        <w:t>187</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17.2</w:t>
      </w:r>
      <w:r>
        <w:rPr>
          <w:rFonts w:asciiTheme="minorHAnsi" w:eastAsiaTheme="minorEastAsia" w:hAnsiTheme="minorHAnsi" w:cstheme="minorBidi"/>
          <w:sz w:val="22"/>
          <w:szCs w:val="22"/>
        </w:rPr>
        <w:tab/>
      </w:r>
      <w:r>
        <w:t>Capital City Zone</w:t>
      </w:r>
      <w:r>
        <w:tab/>
      </w:r>
      <w:r>
        <w:fldChar w:fldCharType="begin"/>
      </w:r>
      <w:r>
        <w:instrText xml:space="preserve"> PAGEREF _Toc519766899 \h </w:instrText>
      </w:r>
      <w:r>
        <w:fldChar w:fldCharType="separate"/>
      </w:r>
      <w:r w:rsidR="00A307EC">
        <w:t>188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17.3</w:t>
      </w:r>
      <w:r>
        <w:rPr>
          <w:rFonts w:asciiTheme="minorHAnsi" w:eastAsiaTheme="minorEastAsia" w:hAnsiTheme="minorHAnsi" w:cstheme="minorBidi"/>
          <w:sz w:val="22"/>
          <w:szCs w:val="22"/>
        </w:rPr>
        <w:tab/>
      </w:r>
      <w:r>
        <w:t>Parking Overlay</w:t>
      </w:r>
      <w:r>
        <w:tab/>
      </w:r>
      <w:r>
        <w:fldChar w:fldCharType="begin"/>
      </w:r>
      <w:r>
        <w:instrText xml:space="preserve"> PAGEREF _Toc519766900 \h </w:instrText>
      </w:r>
      <w:r>
        <w:fldChar w:fldCharType="separate"/>
      </w:r>
      <w:r w:rsidR="00A307EC">
        <w:t>188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17.4</w:t>
      </w:r>
      <w:r>
        <w:rPr>
          <w:rFonts w:asciiTheme="minorHAnsi" w:eastAsiaTheme="minorEastAsia" w:hAnsiTheme="minorHAnsi" w:cstheme="minorBidi"/>
          <w:sz w:val="22"/>
          <w:szCs w:val="22"/>
        </w:rPr>
        <w:tab/>
      </w:r>
      <w:r>
        <w:t>Design and Development Overlay</w:t>
      </w:r>
      <w:r>
        <w:tab/>
      </w:r>
      <w:r>
        <w:fldChar w:fldCharType="begin"/>
      </w:r>
      <w:r>
        <w:instrText xml:space="preserve"> PAGEREF _Toc519766901 \h </w:instrText>
      </w:r>
      <w:r>
        <w:fldChar w:fldCharType="separate"/>
      </w:r>
      <w:r w:rsidR="00A307EC">
        <w:t>188</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17.5</w:t>
      </w:r>
      <w:r>
        <w:rPr>
          <w:rFonts w:asciiTheme="minorHAnsi" w:eastAsiaTheme="minorEastAsia" w:hAnsiTheme="minorHAnsi" w:cstheme="minorBidi"/>
          <w:sz w:val="22"/>
          <w:szCs w:val="22"/>
        </w:rPr>
        <w:tab/>
      </w:r>
      <w:r>
        <w:t>Use of the Development Plan Overlay to master plan</w:t>
      </w:r>
      <w:r>
        <w:tab/>
      </w:r>
      <w:r>
        <w:fldChar w:fldCharType="begin"/>
      </w:r>
      <w:r>
        <w:instrText xml:space="preserve"> PAGEREF _Toc519766902 \h </w:instrText>
      </w:r>
      <w:r>
        <w:fldChar w:fldCharType="separate"/>
      </w:r>
      <w:r w:rsidR="00A307EC">
        <w:t>193</w:t>
      </w:r>
      <w:r>
        <w:fldChar w:fldCharType="end"/>
      </w:r>
    </w:p>
    <w:p w:rsidR="008C3707" w:rsidRDefault="008C3707">
      <w:pPr>
        <w:pStyle w:val="TOC2"/>
        <w:rPr>
          <w:rFonts w:asciiTheme="minorHAnsi" w:eastAsiaTheme="minorEastAsia" w:hAnsiTheme="minorHAnsi" w:cstheme="minorBidi"/>
          <w:sz w:val="22"/>
          <w:szCs w:val="22"/>
        </w:rPr>
      </w:pPr>
      <w:r w:rsidRPr="00AE2F1C">
        <w:rPr>
          <w:color w:val="000000"/>
        </w:rPr>
        <w:t>17.6</w:t>
      </w:r>
      <w:r>
        <w:rPr>
          <w:rFonts w:asciiTheme="minorHAnsi" w:eastAsiaTheme="minorEastAsia" w:hAnsiTheme="minorHAnsi" w:cstheme="minorBidi"/>
          <w:sz w:val="22"/>
          <w:szCs w:val="22"/>
        </w:rPr>
        <w:tab/>
      </w:r>
      <w:r>
        <w:t>Use of the Development Plan Overlay on large sites</w:t>
      </w:r>
      <w:r>
        <w:tab/>
      </w:r>
      <w:r>
        <w:fldChar w:fldCharType="begin"/>
      </w:r>
      <w:r>
        <w:instrText xml:space="preserve"> PAGEREF _Toc519766903 \h </w:instrText>
      </w:r>
      <w:r>
        <w:fldChar w:fldCharType="separate"/>
      </w:r>
      <w:r w:rsidR="00A307EC">
        <w:t>195</w:t>
      </w:r>
      <w:r>
        <w:fldChar w:fldCharType="end"/>
      </w:r>
    </w:p>
    <w:p w:rsidR="008C3707" w:rsidRDefault="008C3707">
      <w:pPr>
        <w:pStyle w:val="TOC1"/>
        <w:rPr>
          <w:rFonts w:asciiTheme="minorHAnsi" w:eastAsiaTheme="minorEastAsia" w:hAnsiTheme="minorHAnsi" w:cstheme="minorBidi"/>
          <w:b w:val="0"/>
          <w:sz w:val="22"/>
          <w:szCs w:val="22"/>
        </w:rPr>
      </w:pPr>
      <w:r w:rsidRPr="00AE2F1C">
        <w:rPr>
          <w:rFonts w:asciiTheme="minorHAnsi" w:hAnsiTheme="minorHAnsi" w:cs="Times New Roman"/>
          <w:color w:val="000000"/>
        </w:rPr>
        <w:t>18</w:t>
      </w:r>
      <w:r>
        <w:rPr>
          <w:rFonts w:asciiTheme="minorHAnsi" w:eastAsiaTheme="minorEastAsia" w:hAnsiTheme="minorHAnsi" w:cstheme="minorBidi"/>
          <w:b w:val="0"/>
          <w:sz w:val="22"/>
          <w:szCs w:val="22"/>
        </w:rPr>
        <w:tab/>
      </w:r>
      <w:r w:rsidRPr="00AE2F1C">
        <w:rPr>
          <w:rFonts w:asciiTheme="minorHAnsi" w:hAnsiTheme="minorHAnsi"/>
        </w:rPr>
        <w:t>Summary response to Terms of Reference</w:t>
      </w:r>
      <w:r>
        <w:tab/>
      </w:r>
      <w:r>
        <w:fldChar w:fldCharType="begin"/>
      </w:r>
      <w:r>
        <w:instrText xml:space="preserve"> PAGEREF _Toc519766904 \h </w:instrText>
      </w:r>
      <w:r>
        <w:fldChar w:fldCharType="separate"/>
      </w:r>
      <w:r w:rsidR="00A307EC">
        <w:t>198</w:t>
      </w:r>
      <w:r>
        <w:fldChar w:fldCharType="end"/>
      </w:r>
    </w:p>
    <w:p w:rsidR="006C410F" w:rsidRDefault="000E7757" w:rsidP="00683833">
      <w:pPr>
        <w:pStyle w:val="PPVBody"/>
        <w:rPr>
          <w:rFonts w:asciiTheme="minorHAnsi" w:hAnsiTheme="minorHAnsi"/>
          <w:b/>
          <w:noProof/>
          <w:color w:val="1F497D"/>
        </w:rPr>
      </w:pPr>
      <w:r w:rsidRPr="00A90F8A">
        <w:rPr>
          <w:rFonts w:asciiTheme="minorHAnsi" w:hAnsiTheme="minorHAnsi"/>
          <w:b/>
          <w:noProof/>
          <w:color w:val="1F497D"/>
        </w:rPr>
        <w:lastRenderedPageBreak/>
        <w:fldChar w:fldCharType="end"/>
      </w:r>
    </w:p>
    <w:p w:rsidR="008C3707" w:rsidRDefault="000E7757">
      <w:pPr>
        <w:pStyle w:val="TOC1"/>
        <w:tabs>
          <w:tab w:val="left" w:pos="1680"/>
        </w:tabs>
        <w:rPr>
          <w:rFonts w:asciiTheme="minorHAnsi" w:eastAsiaTheme="minorEastAsia" w:hAnsiTheme="minorHAnsi" w:cstheme="minorBidi"/>
          <w:b w:val="0"/>
          <w:sz w:val="22"/>
          <w:szCs w:val="22"/>
        </w:rPr>
      </w:pPr>
      <w:r w:rsidRPr="00A90F8A">
        <w:rPr>
          <w:rFonts w:asciiTheme="minorHAnsi" w:hAnsiTheme="minorHAnsi"/>
          <w:b w:val="0"/>
        </w:rPr>
        <w:fldChar w:fldCharType="begin"/>
      </w:r>
      <w:r w:rsidR="00223FC9" w:rsidRPr="00A90F8A">
        <w:rPr>
          <w:rFonts w:asciiTheme="minorHAnsi" w:hAnsiTheme="minorHAnsi"/>
          <w:b w:val="0"/>
        </w:rPr>
        <w:instrText xml:space="preserve"> TOC \n \h \z \t "PPV Appendix Heading 1,1" </w:instrText>
      </w:r>
      <w:r w:rsidRPr="00A90F8A">
        <w:rPr>
          <w:rFonts w:asciiTheme="minorHAnsi" w:hAnsiTheme="minorHAnsi"/>
          <w:b w:val="0"/>
        </w:rPr>
        <w:fldChar w:fldCharType="separate"/>
      </w:r>
      <w:hyperlink w:anchor="_Toc519766905" w:history="1">
        <w:r w:rsidR="008C3707" w:rsidRPr="00945899">
          <w:rPr>
            <w:rStyle w:val="Hyperlink"/>
          </w:rPr>
          <w:t>Appendix A:</w:t>
        </w:r>
        <w:r w:rsidR="008C3707">
          <w:rPr>
            <w:rFonts w:asciiTheme="minorHAnsi" w:eastAsiaTheme="minorEastAsia" w:hAnsiTheme="minorHAnsi" w:cstheme="minorBidi"/>
            <w:b w:val="0"/>
            <w:sz w:val="22"/>
            <w:szCs w:val="22"/>
          </w:rPr>
          <w:tab/>
        </w:r>
        <w:r w:rsidR="008C3707" w:rsidRPr="00945899">
          <w:rPr>
            <w:rStyle w:val="Hyperlink"/>
          </w:rPr>
          <w:t>Terms of Reference</w:t>
        </w:r>
      </w:hyperlink>
    </w:p>
    <w:p w:rsidR="008C3707" w:rsidRDefault="00A307EC">
      <w:pPr>
        <w:pStyle w:val="TOC1"/>
        <w:tabs>
          <w:tab w:val="left" w:pos="1680"/>
        </w:tabs>
        <w:rPr>
          <w:rFonts w:asciiTheme="minorHAnsi" w:eastAsiaTheme="minorEastAsia" w:hAnsiTheme="minorHAnsi" w:cstheme="minorBidi"/>
          <w:b w:val="0"/>
          <w:sz w:val="22"/>
          <w:szCs w:val="22"/>
        </w:rPr>
      </w:pPr>
      <w:hyperlink w:anchor="_Toc519766906" w:history="1">
        <w:r w:rsidR="008C3707" w:rsidRPr="00945899">
          <w:rPr>
            <w:rStyle w:val="Hyperlink"/>
          </w:rPr>
          <w:t>Appendix B:</w:t>
        </w:r>
        <w:r w:rsidR="008C3707">
          <w:rPr>
            <w:rFonts w:asciiTheme="minorHAnsi" w:eastAsiaTheme="minorEastAsia" w:hAnsiTheme="minorHAnsi" w:cstheme="minorBidi"/>
            <w:b w:val="0"/>
            <w:sz w:val="22"/>
            <w:szCs w:val="22"/>
          </w:rPr>
          <w:tab/>
        </w:r>
        <w:r w:rsidR="008C3707" w:rsidRPr="00945899">
          <w:rPr>
            <w:rStyle w:val="Hyperlink"/>
          </w:rPr>
          <w:t>Submitters to the Amendment</w:t>
        </w:r>
      </w:hyperlink>
    </w:p>
    <w:p w:rsidR="008C3707" w:rsidRDefault="00A307EC">
      <w:pPr>
        <w:pStyle w:val="TOC1"/>
        <w:tabs>
          <w:tab w:val="left" w:pos="1680"/>
        </w:tabs>
        <w:rPr>
          <w:rFonts w:asciiTheme="minorHAnsi" w:eastAsiaTheme="minorEastAsia" w:hAnsiTheme="minorHAnsi" w:cstheme="minorBidi"/>
          <w:b w:val="0"/>
          <w:sz w:val="22"/>
          <w:szCs w:val="22"/>
        </w:rPr>
      </w:pPr>
      <w:hyperlink w:anchor="_Toc519766907" w:history="1">
        <w:r w:rsidR="008C3707" w:rsidRPr="00945899">
          <w:rPr>
            <w:rStyle w:val="Hyperlink"/>
          </w:rPr>
          <w:t>Appendix C:</w:t>
        </w:r>
        <w:r w:rsidR="008C3707">
          <w:rPr>
            <w:rFonts w:asciiTheme="minorHAnsi" w:eastAsiaTheme="minorEastAsia" w:hAnsiTheme="minorHAnsi" w:cstheme="minorBidi"/>
            <w:b w:val="0"/>
            <w:sz w:val="22"/>
            <w:szCs w:val="22"/>
          </w:rPr>
          <w:tab/>
        </w:r>
        <w:r w:rsidR="008C3707" w:rsidRPr="00945899">
          <w:rPr>
            <w:rStyle w:val="Hyperlink"/>
          </w:rPr>
          <w:t>Parties to the Review Panel Hearing</w:t>
        </w:r>
      </w:hyperlink>
    </w:p>
    <w:p w:rsidR="008C3707" w:rsidRDefault="00A307EC">
      <w:pPr>
        <w:pStyle w:val="TOC1"/>
        <w:tabs>
          <w:tab w:val="left" w:pos="1680"/>
        </w:tabs>
        <w:rPr>
          <w:rFonts w:asciiTheme="minorHAnsi" w:eastAsiaTheme="minorEastAsia" w:hAnsiTheme="minorHAnsi" w:cstheme="minorBidi"/>
          <w:b w:val="0"/>
          <w:sz w:val="22"/>
          <w:szCs w:val="22"/>
        </w:rPr>
      </w:pPr>
      <w:hyperlink w:anchor="_Toc519766908" w:history="1">
        <w:r w:rsidR="008C3707" w:rsidRPr="00945899">
          <w:rPr>
            <w:rStyle w:val="Hyperlink"/>
          </w:rPr>
          <w:t>Appendix D:</w:t>
        </w:r>
        <w:r w:rsidR="008C3707">
          <w:rPr>
            <w:rFonts w:asciiTheme="minorHAnsi" w:eastAsiaTheme="minorEastAsia" w:hAnsiTheme="minorHAnsi" w:cstheme="minorBidi"/>
            <w:b w:val="0"/>
            <w:sz w:val="22"/>
            <w:szCs w:val="22"/>
          </w:rPr>
          <w:tab/>
        </w:r>
        <w:r w:rsidR="008C3707" w:rsidRPr="00945899">
          <w:rPr>
            <w:rStyle w:val="Hyperlink"/>
          </w:rPr>
          <w:t>Document list</w:t>
        </w:r>
      </w:hyperlink>
    </w:p>
    <w:p w:rsidR="00810795" w:rsidRPr="00A90F8A" w:rsidRDefault="000E7757" w:rsidP="00681DCE">
      <w:pPr>
        <w:pStyle w:val="ZZPPVContentsPage"/>
        <w:rPr>
          <w:rFonts w:asciiTheme="minorHAnsi" w:hAnsiTheme="minorHAnsi"/>
          <w:noProof/>
          <w:color w:val="auto"/>
          <w:sz w:val="24"/>
          <w:szCs w:val="24"/>
        </w:rPr>
      </w:pPr>
      <w:r w:rsidRPr="00A90F8A">
        <w:rPr>
          <w:rFonts w:asciiTheme="minorHAnsi" w:hAnsiTheme="minorHAnsi"/>
          <w:noProof/>
          <w:color w:val="auto"/>
        </w:rPr>
        <w:fldChar w:fldCharType="end"/>
      </w:r>
      <w:bookmarkStart w:id="8" w:name="_Toc212009244"/>
      <w:bookmarkStart w:id="9" w:name="_Toc105479961"/>
    </w:p>
    <w:p w:rsidR="007C7956" w:rsidRPr="00A90F8A" w:rsidRDefault="007C7956" w:rsidP="00681DCE">
      <w:pPr>
        <w:pStyle w:val="ZZPPVContentsPage"/>
        <w:rPr>
          <w:rFonts w:asciiTheme="minorHAnsi" w:hAnsiTheme="minorHAnsi"/>
          <w:color w:val="auto"/>
          <w:sz w:val="32"/>
          <w:szCs w:val="32"/>
        </w:rPr>
      </w:pPr>
      <w:r w:rsidRPr="00A90F8A">
        <w:rPr>
          <w:rFonts w:asciiTheme="minorHAnsi" w:hAnsiTheme="minorHAnsi"/>
          <w:color w:val="auto"/>
          <w:sz w:val="32"/>
          <w:szCs w:val="32"/>
        </w:rPr>
        <w:t>List of Tables</w:t>
      </w:r>
    </w:p>
    <w:p w:rsidR="000E0848" w:rsidRDefault="007C7956" w:rsidP="00FD5693">
      <w:pPr>
        <w:pStyle w:val="ZZPPVContentsPageNo"/>
        <w:spacing w:before="0"/>
        <w:rPr>
          <w:noProof/>
        </w:rPr>
      </w:pPr>
      <w:r w:rsidRPr="00A90F8A">
        <w:rPr>
          <w:rFonts w:asciiTheme="minorHAnsi" w:hAnsiTheme="minorHAnsi"/>
        </w:rPr>
        <w:tab/>
      </w:r>
      <w:r w:rsidRPr="00A90F8A">
        <w:rPr>
          <w:rFonts w:asciiTheme="minorHAnsi" w:hAnsiTheme="minorHAnsi"/>
          <w:color w:val="000000" w:themeColor="text1"/>
        </w:rPr>
        <w:t>Page</w:t>
      </w:r>
      <w:r w:rsidR="00FD5693" w:rsidRPr="00A90F8A">
        <w:rPr>
          <w:rStyle w:val="PPVBodyChar"/>
          <w:rFonts w:asciiTheme="minorHAnsi" w:eastAsia="Dotum" w:hAnsiTheme="minorHAnsi"/>
          <w:b w:val="0"/>
          <w:color w:val="000000" w:themeColor="text1"/>
        </w:rPr>
        <w:fldChar w:fldCharType="begin"/>
      </w:r>
      <w:r w:rsidR="00FD5693" w:rsidRPr="00A90F8A">
        <w:rPr>
          <w:rStyle w:val="PPVBodyChar"/>
          <w:rFonts w:asciiTheme="minorHAnsi" w:eastAsia="Dotum" w:hAnsiTheme="minorHAnsi"/>
          <w:b w:val="0"/>
          <w:color w:val="000000" w:themeColor="text1"/>
        </w:rPr>
        <w:instrText xml:space="preserve"> TOC \h \z \c "Table" </w:instrText>
      </w:r>
      <w:r w:rsidR="00FD5693" w:rsidRPr="00A90F8A">
        <w:rPr>
          <w:rStyle w:val="PPVBodyChar"/>
          <w:rFonts w:asciiTheme="minorHAnsi" w:eastAsia="Dotum" w:hAnsiTheme="minorHAnsi"/>
          <w:b w:val="0"/>
          <w:color w:val="000000" w:themeColor="text1"/>
        </w:rPr>
        <w:fldChar w:fldCharType="separate"/>
      </w:r>
    </w:p>
    <w:p w:rsidR="000E0848" w:rsidRDefault="00A307EC">
      <w:pPr>
        <w:pStyle w:val="TableofFigures"/>
        <w:rPr>
          <w:rFonts w:asciiTheme="minorHAnsi" w:eastAsiaTheme="minorEastAsia" w:hAnsiTheme="minorHAnsi" w:cstheme="minorBidi"/>
          <w:noProof/>
          <w:sz w:val="22"/>
          <w:szCs w:val="22"/>
        </w:rPr>
      </w:pPr>
      <w:hyperlink w:anchor="_Toc519719126" w:history="1">
        <w:r w:rsidR="000E0848" w:rsidRPr="00F5182D">
          <w:rPr>
            <w:rStyle w:val="Hyperlink"/>
            <w:noProof/>
          </w:rPr>
          <w:t>Table 1:</w:t>
        </w:r>
        <w:r w:rsidR="000E0848">
          <w:rPr>
            <w:rFonts w:asciiTheme="minorHAnsi" w:eastAsiaTheme="minorEastAsia" w:hAnsiTheme="minorHAnsi" w:cstheme="minorBidi"/>
            <w:noProof/>
            <w:sz w:val="22"/>
            <w:szCs w:val="22"/>
          </w:rPr>
          <w:tab/>
        </w:r>
        <w:r w:rsidR="000E0848" w:rsidRPr="00F5182D">
          <w:rPr>
            <w:rStyle w:val="Hyperlink"/>
            <w:noProof/>
          </w:rPr>
          <w:t>Summary of Vision, draft Framework and controls</w:t>
        </w:r>
        <w:r w:rsidR="000E0848">
          <w:rPr>
            <w:noProof/>
            <w:webHidden/>
          </w:rPr>
          <w:tab/>
        </w:r>
        <w:r w:rsidR="000E0848">
          <w:rPr>
            <w:noProof/>
            <w:webHidden/>
          </w:rPr>
          <w:fldChar w:fldCharType="begin"/>
        </w:r>
        <w:r w:rsidR="000E0848">
          <w:rPr>
            <w:noProof/>
            <w:webHidden/>
          </w:rPr>
          <w:instrText xml:space="preserve"> PAGEREF _Toc519719126 \h </w:instrText>
        </w:r>
        <w:r w:rsidR="000E0848">
          <w:rPr>
            <w:noProof/>
            <w:webHidden/>
          </w:rPr>
        </w:r>
        <w:r w:rsidR="000E0848">
          <w:rPr>
            <w:noProof/>
            <w:webHidden/>
          </w:rPr>
          <w:fldChar w:fldCharType="separate"/>
        </w:r>
        <w:r>
          <w:rPr>
            <w:noProof/>
            <w:webHidden/>
          </w:rPr>
          <w:t>v</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27" w:history="1">
        <w:r w:rsidR="000E0848" w:rsidRPr="00F5182D">
          <w:rPr>
            <w:rStyle w:val="Hyperlink"/>
            <w:noProof/>
          </w:rPr>
          <w:t>Table 2:</w:t>
        </w:r>
        <w:r w:rsidR="000E0848">
          <w:rPr>
            <w:rFonts w:asciiTheme="minorHAnsi" w:eastAsiaTheme="minorEastAsia" w:hAnsiTheme="minorHAnsi" w:cstheme="minorBidi"/>
            <w:noProof/>
            <w:sz w:val="22"/>
            <w:szCs w:val="22"/>
          </w:rPr>
          <w:tab/>
        </w:r>
        <w:r w:rsidR="000E0848" w:rsidRPr="00F5182D">
          <w:rPr>
            <w:rStyle w:val="Hyperlink"/>
            <w:noProof/>
          </w:rPr>
          <w:t>Changes to the MSSs (minor drafting changes not included)</w:t>
        </w:r>
        <w:r w:rsidR="000E0848">
          <w:rPr>
            <w:noProof/>
            <w:webHidden/>
          </w:rPr>
          <w:tab/>
        </w:r>
        <w:r w:rsidR="000E0848">
          <w:rPr>
            <w:noProof/>
            <w:webHidden/>
          </w:rPr>
          <w:fldChar w:fldCharType="begin"/>
        </w:r>
        <w:r w:rsidR="000E0848">
          <w:rPr>
            <w:noProof/>
            <w:webHidden/>
          </w:rPr>
          <w:instrText xml:space="preserve"> PAGEREF _Toc519719127 \h </w:instrText>
        </w:r>
        <w:r w:rsidR="000E0848">
          <w:rPr>
            <w:noProof/>
            <w:webHidden/>
          </w:rPr>
        </w:r>
        <w:r w:rsidR="000E0848">
          <w:rPr>
            <w:noProof/>
            <w:webHidden/>
          </w:rPr>
          <w:fldChar w:fldCharType="separate"/>
        </w:r>
        <w:r>
          <w:rPr>
            <w:noProof/>
            <w:webHidden/>
          </w:rPr>
          <w:t>33</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28" w:history="1">
        <w:r w:rsidR="000E0848" w:rsidRPr="00F5182D">
          <w:rPr>
            <w:rStyle w:val="Hyperlink"/>
            <w:noProof/>
          </w:rPr>
          <w:t>Table 3:</w:t>
        </w:r>
        <w:r w:rsidR="000E0848">
          <w:rPr>
            <w:rFonts w:asciiTheme="minorHAnsi" w:eastAsiaTheme="minorEastAsia" w:hAnsiTheme="minorHAnsi" w:cstheme="minorBidi"/>
            <w:noProof/>
            <w:sz w:val="22"/>
            <w:szCs w:val="22"/>
          </w:rPr>
          <w:tab/>
        </w:r>
        <w:r w:rsidR="000E0848" w:rsidRPr="00F5182D">
          <w:rPr>
            <w:rStyle w:val="Hyperlink"/>
            <w:noProof/>
          </w:rPr>
          <w:t>Changes to MSS maps</w:t>
        </w:r>
        <w:r w:rsidR="000E0848">
          <w:rPr>
            <w:noProof/>
            <w:webHidden/>
          </w:rPr>
          <w:tab/>
        </w:r>
        <w:r w:rsidR="000E0848">
          <w:rPr>
            <w:noProof/>
            <w:webHidden/>
          </w:rPr>
          <w:fldChar w:fldCharType="begin"/>
        </w:r>
        <w:r w:rsidR="000E0848">
          <w:rPr>
            <w:noProof/>
            <w:webHidden/>
          </w:rPr>
          <w:instrText xml:space="preserve"> PAGEREF _Toc519719128 \h </w:instrText>
        </w:r>
        <w:r w:rsidR="000E0848">
          <w:rPr>
            <w:noProof/>
            <w:webHidden/>
          </w:rPr>
        </w:r>
        <w:r w:rsidR="000E0848">
          <w:rPr>
            <w:noProof/>
            <w:webHidden/>
          </w:rPr>
          <w:fldChar w:fldCharType="separate"/>
        </w:r>
        <w:r>
          <w:rPr>
            <w:noProof/>
            <w:webHidden/>
          </w:rPr>
          <w:t>34</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29" w:history="1">
        <w:r w:rsidR="000E0848" w:rsidRPr="00F5182D">
          <w:rPr>
            <w:rStyle w:val="Hyperlink"/>
            <w:noProof/>
          </w:rPr>
          <w:t>Table 4:</w:t>
        </w:r>
        <w:r w:rsidR="000E0848">
          <w:rPr>
            <w:rFonts w:asciiTheme="minorHAnsi" w:eastAsiaTheme="minorEastAsia" w:hAnsiTheme="minorHAnsi" w:cstheme="minorBidi"/>
            <w:noProof/>
            <w:sz w:val="22"/>
            <w:szCs w:val="22"/>
          </w:rPr>
          <w:tab/>
        </w:r>
        <w:r w:rsidR="000E0848" w:rsidRPr="00F5182D">
          <w:rPr>
            <w:rStyle w:val="Hyperlink"/>
            <w:noProof/>
          </w:rPr>
          <w:t>Changes to 22.XX</w:t>
        </w:r>
        <w:r w:rsidR="000E0848">
          <w:rPr>
            <w:noProof/>
            <w:webHidden/>
          </w:rPr>
          <w:tab/>
        </w:r>
        <w:r w:rsidR="000E0848">
          <w:rPr>
            <w:noProof/>
            <w:webHidden/>
          </w:rPr>
          <w:fldChar w:fldCharType="begin"/>
        </w:r>
        <w:r w:rsidR="000E0848">
          <w:rPr>
            <w:noProof/>
            <w:webHidden/>
          </w:rPr>
          <w:instrText xml:space="preserve"> PAGEREF _Toc519719129 \h </w:instrText>
        </w:r>
        <w:r w:rsidR="000E0848">
          <w:rPr>
            <w:noProof/>
            <w:webHidden/>
          </w:rPr>
        </w:r>
        <w:r w:rsidR="000E0848">
          <w:rPr>
            <w:noProof/>
            <w:webHidden/>
          </w:rPr>
          <w:fldChar w:fldCharType="separate"/>
        </w:r>
        <w:r>
          <w:rPr>
            <w:noProof/>
            <w:webHidden/>
          </w:rPr>
          <w:t>35</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0" w:history="1">
        <w:r w:rsidR="000E0848" w:rsidRPr="00F5182D">
          <w:rPr>
            <w:rStyle w:val="Hyperlink"/>
            <w:noProof/>
          </w:rPr>
          <w:t>Table 5:</w:t>
        </w:r>
        <w:r w:rsidR="000E0848">
          <w:rPr>
            <w:rFonts w:asciiTheme="minorHAnsi" w:eastAsiaTheme="minorEastAsia" w:hAnsiTheme="minorHAnsi" w:cstheme="minorBidi"/>
            <w:noProof/>
            <w:sz w:val="22"/>
            <w:szCs w:val="22"/>
          </w:rPr>
          <w:tab/>
        </w:r>
        <w:r w:rsidR="000E0848" w:rsidRPr="00F5182D">
          <w:rPr>
            <w:rStyle w:val="Hyperlink"/>
            <w:noProof/>
          </w:rPr>
          <w:t>Changes to the CCZ</w:t>
        </w:r>
        <w:r w:rsidR="000E0848">
          <w:rPr>
            <w:noProof/>
            <w:webHidden/>
          </w:rPr>
          <w:tab/>
        </w:r>
        <w:r w:rsidR="000E0848">
          <w:rPr>
            <w:noProof/>
            <w:webHidden/>
          </w:rPr>
          <w:fldChar w:fldCharType="begin"/>
        </w:r>
        <w:r w:rsidR="000E0848">
          <w:rPr>
            <w:noProof/>
            <w:webHidden/>
          </w:rPr>
          <w:instrText xml:space="preserve"> PAGEREF _Toc519719130 \h </w:instrText>
        </w:r>
        <w:r w:rsidR="000E0848">
          <w:rPr>
            <w:noProof/>
            <w:webHidden/>
          </w:rPr>
        </w:r>
        <w:r w:rsidR="000E0848">
          <w:rPr>
            <w:noProof/>
            <w:webHidden/>
          </w:rPr>
          <w:fldChar w:fldCharType="separate"/>
        </w:r>
        <w:r>
          <w:rPr>
            <w:noProof/>
            <w:webHidden/>
          </w:rPr>
          <w:t>36</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1" w:history="1">
        <w:r w:rsidR="000E0848" w:rsidRPr="00F5182D">
          <w:rPr>
            <w:rStyle w:val="Hyperlink"/>
            <w:noProof/>
          </w:rPr>
          <w:t>Table 6:</w:t>
        </w:r>
        <w:r w:rsidR="000E0848">
          <w:rPr>
            <w:rFonts w:asciiTheme="minorHAnsi" w:eastAsiaTheme="minorEastAsia" w:hAnsiTheme="minorHAnsi" w:cstheme="minorBidi"/>
            <w:noProof/>
            <w:sz w:val="22"/>
            <w:szCs w:val="22"/>
          </w:rPr>
          <w:tab/>
        </w:r>
        <w:r w:rsidR="000E0848" w:rsidRPr="00F5182D">
          <w:rPr>
            <w:rStyle w:val="Hyperlink"/>
            <w:noProof/>
          </w:rPr>
          <w:t>Changes to the DDO</w:t>
        </w:r>
        <w:r w:rsidR="000E0848">
          <w:rPr>
            <w:noProof/>
            <w:webHidden/>
          </w:rPr>
          <w:tab/>
        </w:r>
        <w:r w:rsidR="000E0848">
          <w:rPr>
            <w:noProof/>
            <w:webHidden/>
          </w:rPr>
          <w:fldChar w:fldCharType="begin"/>
        </w:r>
        <w:r w:rsidR="000E0848">
          <w:rPr>
            <w:noProof/>
            <w:webHidden/>
          </w:rPr>
          <w:instrText xml:space="preserve"> PAGEREF _Toc519719131 \h </w:instrText>
        </w:r>
        <w:r w:rsidR="000E0848">
          <w:rPr>
            <w:noProof/>
            <w:webHidden/>
          </w:rPr>
        </w:r>
        <w:r w:rsidR="000E0848">
          <w:rPr>
            <w:noProof/>
            <w:webHidden/>
          </w:rPr>
          <w:fldChar w:fldCharType="separate"/>
        </w:r>
        <w:r>
          <w:rPr>
            <w:noProof/>
            <w:webHidden/>
          </w:rPr>
          <w:t>38</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2" w:history="1">
        <w:r w:rsidR="000E0848" w:rsidRPr="00F5182D">
          <w:rPr>
            <w:rStyle w:val="Hyperlink"/>
            <w:noProof/>
          </w:rPr>
          <w:t>Table 7:</w:t>
        </w:r>
        <w:r w:rsidR="000E0848">
          <w:rPr>
            <w:rFonts w:asciiTheme="minorHAnsi" w:eastAsiaTheme="minorEastAsia" w:hAnsiTheme="minorHAnsi" w:cstheme="minorBidi"/>
            <w:noProof/>
            <w:sz w:val="22"/>
            <w:szCs w:val="22"/>
          </w:rPr>
          <w:tab/>
        </w:r>
        <w:r w:rsidR="000E0848" w:rsidRPr="00F5182D">
          <w:rPr>
            <w:rStyle w:val="Hyperlink"/>
            <w:noProof/>
          </w:rPr>
          <w:t>Changes to the DPO</w:t>
        </w:r>
        <w:r w:rsidR="000E0848">
          <w:rPr>
            <w:noProof/>
            <w:webHidden/>
          </w:rPr>
          <w:tab/>
        </w:r>
        <w:r w:rsidR="000E0848">
          <w:rPr>
            <w:noProof/>
            <w:webHidden/>
          </w:rPr>
          <w:fldChar w:fldCharType="begin"/>
        </w:r>
        <w:r w:rsidR="000E0848">
          <w:rPr>
            <w:noProof/>
            <w:webHidden/>
          </w:rPr>
          <w:instrText xml:space="preserve"> PAGEREF _Toc519719132 \h </w:instrText>
        </w:r>
        <w:r w:rsidR="000E0848">
          <w:rPr>
            <w:noProof/>
            <w:webHidden/>
          </w:rPr>
        </w:r>
        <w:r w:rsidR="000E0848">
          <w:rPr>
            <w:noProof/>
            <w:webHidden/>
          </w:rPr>
          <w:fldChar w:fldCharType="separate"/>
        </w:r>
        <w:r>
          <w:rPr>
            <w:noProof/>
            <w:webHidden/>
          </w:rPr>
          <w:t>41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3" w:history="1">
        <w:r w:rsidR="000E0848" w:rsidRPr="00F5182D">
          <w:rPr>
            <w:rStyle w:val="Hyperlink"/>
            <w:noProof/>
          </w:rPr>
          <w:t>Table 8:</w:t>
        </w:r>
        <w:r w:rsidR="000E0848">
          <w:rPr>
            <w:rFonts w:asciiTheme="minorHAnsi" w:eastAsiaTheme="minorEastAsia" w:hAnsiTheme="minorHAnsi" w:cstheme="minorBidi"/>
            <w:noProof/>
            <w:sz w:val="22"/>
            <w:szCs w:val="22"/>
          </w:rPr>
          <w:tab/>
        </w:r>
        <w:r w:rsidR="000E0848" w:rsidRPr="00F5182D">
          <w:rPr>
            <w:rStyle w:val="Hyperlink"/>
            <w:noProof/>
          </w:rPr>
          <w:t>Changes to the Parking Overlay</w:t>
        </w:r>
        <w:r w:rsidR="000E0848">
          <w:rPr>
            <w:noProof/>
            <w:webHidden/>
          </w:rPr>
          <w:tab/>
        </w:r>
        <w:r w:rsidR="000E0848">
          <w:rPr>
            <w:noProof/>
            <w:webHidden/>
          </w:rPr>
          <w:fldChar w:fldCharType="begin"/>
        </w:r>
        <w:r w:rsidR="000E0848">
          <w:rPr>
            <w:noProof/>
            <w:webHidden/>
          </w:rPr>
          <w:instrText xml:space="preserve"> PAGEREF _Toc519719133 \h </w:instrText>
        </w:r>
        <w:r w:rsidR="000E0848">
          <w:rPr>
            <w:noProof/>
            <w:webHidden/>
          </w:rPr>
        </w:r>
        <w:r w:rsidR="000E0848">
          <w:rPr>
            <w:noProof/>
            <w:webHidden/>
          </w:rPr>
          <w:fldChar w:fldCharType="separate"/>
        </w:r>
        <w:r>
          <w:rPr>
            <w:noProof/>
            <w:webHidden/>
          </w:rPr>
          <w:t>41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4" w:history="1">
        <w:r w:rsidR="000E0848" w:rsidRPr="00F5182D">
          <w:rPr>
            <w:rStyle w:val="Hyperlink"/>
            <w:noProof/>
          </w:rPr>
          <w:t>Table 9:</w:t>
        </w:r>
        <w:r w:rsidR="000E0848">
          <w:rPr>
            <w:rFonts w:asciiTheme="minorHAnsi" w:eastAsiaTheme="minorEastAsia" w:hAnsiTheme="minorHAnsi" w:cstheme="minorBidi"/>
            <w:noProof/>
            <w:sz w:val="22"/>
            <w:szCs w:val="22"/>
          </w:rPr>
          <w:tab/>
        </w:r>
        <w:r w:rsidR="000E0848" w:rsidRPr="00F5182D">
          <w:rPr>
            <w:rStyle w:val="Hyperlink"/>
            <w:noProof/>
          </w:rPr>
          <w:t>FARs presented in Part C version of the controls</w:t>
        </w:r>
        <w:r w:rsidR="000E0848">
          <w:rPr>
            <w:noProof/>
            <w:webHidden/>
          </w:rPr>
          <w:tab/>
        </w:r>
        <w:r w:rsidR="000E0848">
          <w:rPr>
            <w:noProof/>
            <w:webHidden/>
          </w:rPr>
          <w:fldChar w:fldCharType="begin"/>
        </w:r>
        <w:r w:rsidR="000E0848">
          <w:rPr>
            <w:noProof/>
            <w:webHidden/>
          </w:rPr>
          <w:instrText xml:space="preserve"> PAGEREF _Toc519719134 \h </w:instrText>
        </w:r>
        <w:r w:rsidR="000E0848">
          <w:rPr>
            <w:noProof/>
            <w:webHidden/>
          </w:rPr>
        </w:r>
        <w:r w:rsidR="000E0848">
          <w:rPr>
            <w:noProof/>
            <w:webHidden/>
          </w:rPr>
          <w:fldChar w:fldCharType="separate"/>
        </w:r>
        <w:r>
          <w:rPr>
            <w:noProof/>
            <w:webHidden/>
          </w:rPr>
          <w:t>61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5" w:history="1">
        <w:r w:rsidR="000E0848" w:rsidRPr="00F5182D">
          <w:rPr>
            <w:rStyle w:val="Hyperlink"/>
            <w:noProof/>
          </w:rPr>
          <w:t>Table 10:</w:t>
        </w:r>
        <w:r w:rsidR="000E0848">
          <w:rPr>
            <w:rFonts w:asciiTheme="minorHAnsi" w:eastAsiaTheme="minorEastAsia" w:hAnsiTheme="minorHAnsi" w:cstheme="minorBidi"/>
            <w:noProof/>
            <w:sz w:val="22"/>
            <w:szCs w:val="22"/>
          </w:rPr>
          <w:tab/>
        </w:r>
        <w:r w:rsidR="000E0848" w:rsidRPr="00F5182D">
          <w:rPr>
            <w:rStyle w:val="Hyperlink"/>
            <w:noProof/>
          </w:rPr>
          <w:t>How the FAR was calculated (as described by the Minister)</w:t>
        </w:r>
        <w:r w:rsidR="000E0848">
          <w:rPr>
            <w:noProof/>
            <w:webHidden/>
          </w:rPr>
          <w:tab/>
        </w:r>
        <w:r w:rsidR="000E0848">
          <w:rPr>
            <w:noProof/>
            <w:webHidden/>
          </w:rPr>
          <w:fldChar w:fldCharType="begin"/>
        </w:r>
        <w:r w:rsidR="000E0848">
          <w:rPr>
            <w:noProof/>
            <w:webHidden/>
          </w:rPr>
          <w:instrText xml:space="preserve"> PAGEREF _Toc519719135 \h </w:instrText>
        </w:r>
        <w:r w:rsidR="000E0848">
          <w:rPr>
            <w:noProof/>
            <w:webHidden/>
          </w:rPr>
        </w:r>
        <w:r w:rsidR="000E0848">
          <w:rPr>
            <w:noProof/>
            <w:webHidden/>
          </w:rPr>
          <w:fldChar w:fldCharType="separate"/>
        </w:r>
        <w:r>
          <w:rPr>
            <w:noProof/>
            <w:webHidden/>
          </w:rPr>
          <w:t>63</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6" w:history="1">
        <w:r w:rsidR="000E0848" w:rsidRPr="00F5182D">
          <w:rPr>
            <w:rStyle w:val="Hyperlink"/>
            <w:noProof/>
          </w:rPr>
          <w:t>Table 11:</w:t>
        </w:r>
        <w:r w:rsidR="000E0848">
          <w:rPr>
            <w:rFonts w:asciiTheme="minorHAnsi" w:eastAsiaTheme="minorEastAsia" w:hAnsiTheme="minorHAnsi" w:cstheme="minorBidi"/>
            <w:noProof/>
            <w:sz w:val="22"/>
            <w:szCs w:val="22"/>
          </w:rPr>
          <w:tab/>
        </w:r>
        <w:r w:rsidR="000E0848" w:rsidRPr="00F5182D">
          <w:rPr>
            <w:rStyle w:val="Hyperlink"/>
            <w:noProof/>
          </w:rPr>
          <w:t>Population used to derive FAR</w:t>
        </w:r>
        <w:r w:rsidR="000E0848">
          <w:rPr>
            <w:noProof/>
            <w:webHidden/>
          </w:rPr>
          <w:tab/>
        </w:r>
        <w:r w:rsidR="000E0848">
          <w:rPr>
            <w:noProof/>
            <w:webHidden/>
          </w:rPr>
          <w:fldChar w:fldCharType="begin"/>
        </w:r>
        <w:r w:rsidR="000E0848">
          <w:rPr>
            <w:noProof/>
            <w:webHidden/>
          </w:rPr>
          <w:instrText xml:space="preserve"> PAGEREF _Toc519719136 \h </w:instrText>
        </w:r>
        <w:r w:rsidR="000E0848">
          <w:rPr>
            <w:noProof/>
            <w:webHidden/>
          </w:rPr>
        </w:r>
        <w:r w:rsidR="000E0848">
          <w:rPr>
            <w:noProof/>
            <w:webHidden/>
          </w:rPr>
          <w:fldChar w:fldCharType="separate"/>
        </w:r>
        <w:r>
          <w:rPr>
            <w:noProof/>
            <w:webHidden/>
          </w:rPr>
          <w:t>64</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7" w:history="1">
        <w:r w:rsidR="000E0848" w:rsidRPr="00F5182D">
          <w:rPr>
            <w:rStyle w:val="Hyperlink"/>
            <w:noProof/>
          </w:rPr>
          <w:t>Table 12:</w:t>
        </w:r>
        <w:r w:rsidR="000E0848">
          <w:rPr>
            <w:rFonts w:asciiTheme="minorHAnsi" w:eastAsiaTheme="minorEastAsia" w:hAnsiTheme="minorHAnsi" w:cstheme="minorBidi"/>
            <w:noProof/>
            <w:sz w:val="22"/>
            <w:szCs w:val="22"/>
          </w:rPr>
          <w:tab/>
        </w:r>
        <w:r w:rsidR="000E0848" w:rsidRPr="00F5182D">
          <w:rPr>
            <w:rStyle w:val="Hyperlink"/>
            <w:noProof/>
          </w:rPr>
          <w:t>Assumptions in setting the FAR</w:t>
        </w:r>
        <w:r w:rsidR="000E0848">
          <w:rPr>
            <w:noProof/>
            <w:webHidden/>
          </w:rPr>
          <w:tab/>
        </w:r>
        <w:r w:rsidR="000E0848">
          <w:rPr>
            <w:noProof/>
            <w:webHidden/>
          </w:rPr>
          <w:fldChar w:fldCharType="begin"/>
        </w:r>
        <w:r w:rsidR="000E0848">
          <w:rPr>
            <w:noProof/>
            <w:webHidden/>
          </w:rPr>
          <w:instrText xml:space="preserve"> PAGEREF _Toc519719137 \h </w:instrText>
        </w:r>
        <w:r w:rsidR="000E0848">
          <w:rPr>
            <w:noProof/>
            <w:webHidden/>
          </w:rPr>
        </w:r>
        <w:r w:rsidR="000E0848">
          <w:rPr>
            <w:noProof/>
            <w:webHidden/>
          </w:rPr>
          <w:fldChar w:fldCharType="separate"/>
        </w:r>
        <w:r>
          <w:rPr>
            <w:noProof/>
            <w:webHidden/>
          </w:rPr>
          <w:t>64</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8" w:history="1">
        <w:r w:rsidR="000E0848" w:rsidRPr="00F5182D">
          <w:rPr>
            <w:rStyle w:val="Hyperlink"/>
            <w:noProof/>
          </w:rPr>
          <w:t>Table 13:</w:t>
        </w:r>
        <w:r w:rsidR="000E0848">
          <w:rPr>
            <w:rFonts w:asciiTheme="minorHAnsi" w:eastAsiaTheme="minorEastAsia" w:hAnsiTheme="minorHAnsi" w:cstheme="minorBidi"/>
            <w:noProof/>
            <w:sz w:val="22"/>
            <w:szCs w:val="22"/>
          </w:rPr>
          <w:tab/>
        </w:r>
        <w:r w:rsidR="000E0848" w:rsidRPr="00F5182D">
          <w:rPr>
            <w:rStyle w:val="Hyperlink"/>
            <w:noProof/>
          </w:rPr>
          <w:t>Relationship between recommended FARs and population and dwelling densities</w:t>
        </w:r>
        <w:r w:rsidR="000E0848">
          <w:rPr>
            <w:noProof/>
            <w:webHidden/>
          </w:rPr>
          <w:tab/>
        </w:r>
        <w:r w:rsidR="000E0848">
          <w:rPr>
            <w:noProof/>
            <w:webHidden/>
          </w:rPr>
          <w:fldChar w:fldCharType="begin"/>
        </w:r>
        <w:r w:rsidR="000E0848">
          <w:rPr>
            <w:noProof/>
            <w:webHidden/>
          </w:rPr>
          <w:instrText xml:space="preserve"> PAGEREF _Toc519719138 \h </w:instrText>
        </w:r>
        <w:r w:rsidR="000E0848">
          <w:rPr>
            <w:noProof/>
            <w:webHidden/>
          </w:rPr>
        </w:r>
        <w:r w:rsidR="000E0848">
          <w:rPr>
            <w:noProof/>
            <w:webHidden/>
          </w:rPr>
          <w:fldChar w:fldCharType="separate"/>
        </w:r>
        <w:r>
          <w:rPr>
            <w:noProof/>
            <w:webHidden/>
          </w:rPr>
          <w:t>66</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39" w:history="1">
        <w:r w:rsidR="000E0848" w:rsidRPr="00F5182D">
          <w:rPr>
            <w:rStyle w:val="Hyperlink"/>
            <w:noProof/>
          </w:rPr>
          <w:t>Table 14:</w:t>
        </w:r>
        <w:r w:rsidR="000E0848">
          <w:rPr>
            <w:rFonts w:asciiTheme="minorHAnsi" w:eastAsiaTheme="minorEastAsia" w:hAnsiTheme="minorHAnsi" w:cstheme="minorBidi"/>
            <w:noProof/>
            <w:sz w:val="22"/>
            <w:szCs w:val="22"/>
          </w:rPr>
          <w:tab/>
        </w:r>
        <w:r w:rsidR="000E0848" w:rsidRPr="00F5182D">
          <w:rPr>
            <w:rStyle w:val="Hyperlink"/>
            <w:noProof/>
          </w:rPr>
          <w:t>Character types from Urban Design Strategy</w:t>
        </w:r>
        <w:r w:rsidR="000E0848">
          <w:rPr>
            <w:noProof/>
            <w:webHidden/>
          </w:rPr>
          <w:tab/>
        </w:r>
        <w:r w:rsidR="000E0848">
          <w:rPr>
            <w:noProof/>
            <w:webHidden/>
          </w:rPr>
          <w:fldChar w:fldCharType="begin"/>
        </w:r>
        <w:r w:rsidR="000E0848">
          <w:rPr>
            <w:noProof/>
            <w:webHidden/>
          </w:rPr>
          <w:instrText xml:space="preserve"> PAGEREF _Toc519719139 \h </w:instrText>
        </w:r>
        <w:r w:rsidR="000E0848">
          <w:rPr>
            <w:noProof/>
            <w:webHidden/>
          </w:rPr>
        </w:r>
        <w:r w:rsidR="000E0848">
          <w:rPr>
            <w:noProof/>
            <w:webHidden/>
          </w:rPr>
          <w:fldChar w:fldCharType="separate"/>
        </w:r>
        <w:r>
          <w:rPr>
            <w:noProof/>
            <w:webHidden/>
          </w:rPr>
          <w:t>70</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0" w:history="1">
        <w:r w:rsidR="000E0848" w:rsidRPr="00F5182D">
          <w:rPr>
            <w:rStyle w:val="Hyperlink"/>
            <w:noProof/>
          </w:rPr>
          <w:t>Table 15:</w:t>
        </w:r>
        <w:r w:rsidR="000E0848">
          <w:rPr>
            <w:rFonts w:asciiTheme="minorHAnsi" w:eastAsiaTheme="minorEastAsia" w:hAnsiTheme="minorHAnsi" w:cstheme="minorBidi"/>
            <w:noProof/>
            <w:sz w:val="22"/>
            <w:szCs w:val="22"/>
          </w:rPr>
          <w:tab/>
        </w:r>
        <w:r w:rsidR="000E0848" w:rsidRPr="00F5182D">
          <w:rPr>
            <w:rStyle w:val="Hyperlink"/>
            <w:noProof/>
          </w:rPr>
          <w:t>Population increase associated with the FAU scheme</w:t>
        </w:r>
        <w:r w:rsidR="000E0848">
          <w:rPr>
            <w:noProof/>
            <w:webHidden/>
          </w:rPr>
          <w:tab/>
        </w:r>
        <w:r w:rsidR="000E0848">
          <w:rPr>
            <w:noProof/>
            <w:webHidden/>
          </w:rPr>
          <w:fldChar w:fldCharType="begin"/>
        </w:r>
        <w:r w:rsidR="000E0848">
          <w:rPr>
            <w:noProof/>
            <w:webHidden/>
          </w:rPr>
          <w:instrText xml:space="preserve"> PAGEREF _Toc519719140 \h </w:instrText>
        </w:r>
        <w:r w:rsidR="000E0848">
          <w:rPr>
            <w:noProof/>
            <w:webHidden/>
          </w:rPr>
        </w:r>
        <w:r w:rsidR="000E0848">
          <w:rPr>
            <w:noProof/>
            <w:webHidden/>
          </w:rPr>
          <w:fldChar w:fldCharType="separate"/>
        </w:r>
        <w:r>
          <w:rPr>
            <w:noProof/>
            <w:webHidden/>
          </w:rPr>
          <w:t>81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1" w:history="1">
        <w:r w:rsidR="000E0848" w:rsidRPr="00F5182D">
          <w:rPr>
            <w:rStyle w:val="Hyperlink"/>
            <w:noProof/>
          </w:rPr>
          <w:t>Table 16:</w:t>
        </w:r>
        <w:r w:rsidR="000E0848">
          <w:rPr>
            <w:rFonts w:asciiTheme="minorHAnsi" w:eastAsiaTheme="minorEastAsia" w:hAnsiTheme="minorHAnsi" w:cstheme="minorBidi"/>
            <w:noProof/>
            <w:sz w:val="22"/>
            <w:szCs w:val="22"/>
          </w:rPr>
          <w:tab/>
        </w:r>
        <w:r w:rsidR="000E0848" w:rsidRPr="00F5182D">
          <w:rPr>
            <w:rStyle w:val="Hyperlink"/>
            <w:noProof/>
          </w:rPr>
          <w:t>Part A dwelling densities adjusted for 75 per cent build out</w:t>
        </w:r>
        <w:r w:rsidR="000E0848">
          <w:rPr>
            <w:noProof/>
            <w:webHidden/>
          </w:rPr>
          <w:tab/>
        </w:r>
        <w:r w:rsidR="000E0848">
          <w:rPr>
            <w:noProof/>
            <w:webHidden/>
          </w:rPr>
          <w:fldChar w:fldCharType="begin"/>
        </w:r>
        <w:r w:rsidR="000E0848">
          <w:rPr>
            <w:noProof/>
            <w:webHidden/>
          </w:rPr>
          <w:instrText xml:space="preserve"> PAGEREF _Toc519719141 \h </w:instrText>
        </w:r>
        <w:r w:rsidR="000E0848">
          <w:rPr>
            <w:noProof/>
            <w:webHidden/>
          </w:rPr>
        </w:r>
        <w:r w:rsidR="000E0848">
          <w:rPr>
            <w:noProof/>
            <w:webHidden/>
          </w:rPr>
          <w:fldChar w:fldCharType="separate"/>
        </w:r>
        <w:r>
          <w:rPr>
            <w:noProof/>
            <w:webHidden/>
          </w:rPr>
          <w:t>85</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2" w:history="1">
        <w:r w:rsidR="000E0848" w:rsidRPr="00F5182D">
          <w:rPr>
            <w:rStyle w:val="Hyperlink"/>
            <w:noProof/>
          </w:rPr>
          <w:t>Table 17:</w:t>
        </w:r>
        <w:r w:rsidR="000E0848">
          <w:rPr>
            <w:rFonts w:asciiTheme="minorHAnsi" w:eastAsiaTheme="minorEastAsia" w:hAnsiTheme="minorHAnsi" w:cstheme="minorBidi"/>
            <w:noProof/>
            <w:sz w:val="22"/>
            <w:szCs w:val="22"/>
          </w:rPr>
          <w:tab/>
        </w:r>
        <w:r w:rsidR="000E0848" w:rsidRPr="00F5182D">
          <w:rPr>
            <w:rStyle w:val="Hyperlink"/>
            <w:noProof/>
          </w:rPr>
          <w:t>Review Panel recommended changes dwelling densities</w:t>
        </w:r>
        <w:r w:rsidR="000E0848">
          <w:rPr>
            <w:noProof/>
            <w:webHidden/>
          </w:rPr>
          <w:tab/>
        </w:r>
        <w:r w:rsidR="000E0848">
          <w:rPr>
            <w:noProof/>
            <w:webHidden/>
          </w:rPr>
          <w:fldChar w:fldCharType="begin"/>
        </w:r>
        <w:r w:rsidR="000E0848">
          <w:rPr>
            <w:noProof/>
            <w:webHidden/>
          </w:rPr>
          <w:instrText xml:space="preserve"> PAGEREF _Toc519719142 \h </w:instrText>
        </w:r>
        <w:r w:rsidR="000E0848">
          <w:rPr>
            <w:noProof/>
            <w:webHidden/>
          </w:rPr>
        </w:r>
        <w:r w:rsidR="000E0848">
          <w:rPr>
            <w:noProof/>
            <w:webHidden/>
          </w:rPr>
          <w:fldChar w:fldCharType="separate"/>
        </w:r>
        <w:r>
          <w:rPr>
            <w:noProof/>
            <w:webHidden/>
          </w:rPr>
          <w:t>85</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3" w:history="1">
        <w:r w:rsidR="000E0848" w:rsidRPr="00F5182D">
          <w:rPr>
            <w:rStyle w:val="Hyperlink"/>
            <w:noProof/>
          </w:rPr>
          <w:t>Table 18:</w:t>
        </w:r>
        <w:r w:rsidR="000E0848">
          <w:rPr>
            <w:rFonts w:asciiTheme="minorHAnsi" w:eastAsiaTheme="minorEastAsia" w:hAnsiTheme="minorHAnsi" w:cstheme="minorBidi"/>
            <w:noProof/>
            <w:sz w:val="22"/>
            <w:szCs w:val="22"/>
          </w:rPr>
          <w:tab/>
        </w:r>
        <w:r w:rsidR="000E0848" w:rsidRPr="00F5182D">
          <w:rPr>
            <w:rStyle w:val="Hyperlink"/>
            <w:noProof/>
          </w:rPr>
          <w:t>Affordable housing targets</w:t>
        </w:r>
        <w:r w:rsidR="000E0848">
          <w:rPr>
            <w:noProof/>
            <w:webHidden/>
          </w:rPr>
          <w:tab/>
        </w:r>
        <w:r w:rsidR="000E0848">
          <w:rPr>
            <w:noProof/>
            <w:webHidden/>
          </w:rPr>
          <w:fldChar w:fldCharType="begin"/>
        </w:r>
        <w:r w:rsidR="000E0848">
          <w:rPr>
            <w:noProof/>
            <w:webHidden/>
          </w:rPr>
          <w:instrText xml:space="preserve"> PAGEREF _Toc519719143 \h </w:instrText>
        </w:r>
        <w:r w:rsidR="000E0848">
          <w:rPr>
            <w:noProof/>
            <w:webHidden/>
          </w:rPr>
        </w:r>
        <w:r w:rsidR="000E0848">
          <w:rPr>
            <w:noProof/>
            <w:webHidden/>
          </w:rPr>
          <w:fldChar w:fldCharType="separate"/>
        </w:r>
        <w:r>
          <w:rPr>
            <w:noProof/>
            <w:webHidden/>
          </w:rPr>
          <w:t>90</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4" w:history="1">
        <w:r w:rsidR="000E0848" w:rsidRPr="00F5182D">
          <w:rPr>
            <w:rStyle w:val="Hyperlink"/>
            <w:noProof/>
          </w:rPr>
          <w:t>Table 19:</w:t>
        </w:r>
        <w:r w:rsidR="000E0848">
          <w:rPr>
            <w:rFonts w:asciiTheme="minorHAnsi" w:eastAsiaTheme="minorEastAsia" w:hAnsiTheme="minorHAnsi" w:cstheme="minorBidi"/>
            <w:noProof/>
            <w:sz w:val="22"/>
            <w:szCs w:val="22"/>
          </w:rPr>
          <w:tab/>
        </w:r>
        <w:r w:rsidR="000E0848" w:rsidRPr="00F5182D">
          <w:rPr>
            <w:rStyle w:val="Hyperlink"/>
            <w:noProof/>
          </w:rPr>
          <w:t>Effect of FAU cap based on an assumed 75 per cent build out</w:t>
        </w:r>
        <w:r w:rsidR="000E0848">
          <w:rPr>
            <w:noProof/>
            <w:webHidden/>
          </w:rPr>
          <w:tab/>
        </w:r>
        <w:r w:rsidR="000E0848">
          <w:rPr>
            <w:noProof/>
            <w:webHidden/>
          </w:rPr>
          <w:fldChar w:fldCharType="begin"/>
        </w:r>
        <w:r w:rsidR="000E0848">
          <w:rPr>
            <w:noProof/>
            <w:webHidden/>
          </w:rPr>
          <w:instrText xml:space="preserve"> PAGEREF _Toc519719144 \h </w:instrText>
        </w:r>
        <w:r w:rsidR="000E0848">
          <w:rPr>
            <w:noProof/>
            <w:webHidden/>
          </w:rPr>
        </w:r>
        <w:r w:rsidR="000E0848">
          <w:rPr>
            <w:noProof/>
            <w:webHidden/>
          </w:rPr>
          <w:fldChar w:fldCharType="separate"/>
        </w:r>
        <w:r>
          <w:rPr>
            <w:noProof/>
            <w:webHidden/>
          </w:rPr>
          <w:t>98</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5" w:history="1">
        <w:r w:rsidR="000E0848" w:rsidRPr="00F5182D">
          <w:rPr>
            <w:rStyle w:val="Hyperlink"/>
            <w:noProof/>
          </w:rPr>
          <w:t>Table 20:</w:t>
        </w:r>
        <w:r w:rsidR="000E0848">
          <w:rPr>
            <w:rFonts w:asciiTheme="minorHAnsi" w:eastAsiaTheme="minorEastAsia" w:hAnsiTheme="minorHAnsi" w:cstheme="minorBidi"/>
            <w:noProof/>
            <w:sz w:val="22"/>
            <w:szCs w:val="22"/>
          </w:rPr>
          <w:tab/>
        </w:r>
        <w:r w:rsidR="000E0848" w:rsidRPr="00F5182D">
          <w:rPr>
            <w:rStyle w:val="Hyperlink"/>
            <w:noProof/>
          </w:rPr>
          <w:t>Calculations of open space per resident/worker</w:t>
        </w:r>
        <w:r w:rsidR="000E0848">
          <w:rPr>
            <w:noProof/>
            <w:webHidden/>
          </w:rPr>
          <w:tab/>
        </w:r>
        <w:r w:rsidR="000E0848">
          <w:rPr>
            <w:noProof/>
            <w:webHidden/>
          </w:rPr>
          <w:fldChar w:fldCharType="begin"/>
        </w:r>
        <w:r w:rsidR="000E0848">
          <w:rPr>
            <w:noProof/>
            <w:webHidden/>
          </w:rPr>
          <w:instrText xml:space="preserve"> PAGEREF _Toc519719145 \h </w:instrText>
        </w:r>
        <w:r w:rsidR="000E0848">
          <w:rPr>
            <w:noProof/>
            <w:webHidden/>
          </w:rPr>
        </w:r>
        <w:r w:rsidR="000E0848">
          <w:rPr>
            <w:noProof/>
            <w:webHidden/>
          </w:rPr>
          <w:fldChar w:fldCharType="separate"/>
        </w:r>
        <w:r>
          <w:rPr>
            <w:noProof/>
            <w:webHidden/>
          </w:rPr>
          <w:t>103</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6" w:history="1">
        <w:r w:rsidR="000E0848" w:rsidRPr="00F5182D">
          <w:rPr>
            <w:rStyle w:val="Hyperlink"/>
            <w:noProof/>
          </w:rPr>
          <w:t>Table 21:</w:t>
        </w:r>
        <w:r w:rsidR="000E0848">
          <w:rPr>
            <w:rFonts w:asciiTheme="minorHAnsi" w:eastAsiaTheme="minorEastAsia" w:hAnsiTheme="minorHAnsi" w:cstheme="minorBidi"/>
            <w:noProof/>
            <w:sz w:val="22"/>
            <w:szCs w:val="22"/>
          </w:rPr>
          <w:tab/>
        </w:r>
        <w:r w:rsidR="000E0848" w:rsidRPr="00F5182D">
          <w:rPr>
            <w:rStyle w:val="Hyperlink"/>
            <w:noProof/>
          </w:rPr>
          <w:t>Review of Car Ownership Data (Average number of cars per dwelling)</w:t>
        </w:r>
        <w:r w:rsidR="000E0848">
          <w:rPr>
            <w:noProof/>
            <w:webHidden/>
          </w:rPr>
          <w:tab/>
        </w:r>
        <w:r w:rsidR="000E0848">
          <w:rPr>
            <w:noProof/>
            <w:webHidden/>
          </w:rPr>
          <w:fldChar w:fldCharType="begin"/>
        </w:r>
        <w:r w:rsidR="000E0848">
          <w:rPr>
            <w:noProof/>
            <w:webHidden/>
          </w:rPr>
          <w:instrText xml:space="preserve"> PAGEREF _Toc519719146 \h </w:instrText>
        </w:r>
        <w:r w:rsidR="000E0848">
          <w:rPr>
            <w:noProof/>
            <w:webHidden/>
          </w:rPr>
        </w:r>
        <w:r w:rsidR="000E0848">
          <w:rPr>
            <w:noProof/>
            <w:webHidden/>
          </w:rPr>
          <w:fldChar w:fldCharType="separate"/>
        </w:r>
        <w:r>
          <w:rPr>
            <w:noProof/>
            <w:webHidden/>
          </w:rPr>
          <w:t>125</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7" w:history="1">
        <w:r w:rsidR="000E0848" w:rsidRPr="00F5182D">
          <w:rPr>
            <w:rStyle w:val="Hyperlink"/>
            <w:noProof/>
          </w:rPr>
          <w:t>Table 22:</w:t>
        </w:r>
        <w:r w:rsidR="000E0848">
          <w:rPr>
            <w:rFonts w:asciiTheme="minorHAnsi" w:eastAsiaTheme="minorEastAsia" w:hAnsiTheme="minorHAnsi" w:cstheme="minorBidi"/>
            <w:noProof/>
            <w:sz w:val="22"/>
            <w:szCs w:val="22"/>
          </w:rPr>
          <w:tab/>
        </w:r>
        <w:r w:rsidR="000E0848" w:rsidRPr="00F5182D">
          <w:rPr>
            <w:rStyle w:val="Hyperlink"/>
            <w:noProof/>
          </w:rPr>
          <w:t>Summary of Part C exemptions</w:t>
        </w:r>
        <w:r w:rsidR="000E0848">
          <w:rPr>
            <w:noProof/>
            <w:webHidden/>
          </w:rPr>
          <w:tab/>
        </w:r>
        <w:r w:rsidR="000E0848">
          <w:rPr>
            <w:noProof/>
            <w:webHidden/>
          </w:rPr>
          <w:fldChar w:fldCharType="begin"/>
        </w:r>
        <w:r w:rsidR="000E0848">
          <w:rPr>
            <w:noProof/>
            <w:webHidden/>
          </w:rPr>
          <w:instrText xml:space="preserve"> PAGEREF _Toc519719147 \h </w:instrText>
        </w:r>
        <w:r w:rsidR="000E0848">
          <w:rPr>
            <w:noProof/>
            <w:webHidden/>
          </w:rPr>
        </w:r>
        <w:r w:rsidR="000E0848">
          <w:rPr>
            <w:noProof/>
            <w:webHidden/>
          </w:rPr>
          <w:fldChar w:fldCharType="separate"/>
        </w:r>
        <w:r>
          <w:rPr>
            <w:noProof/>
            <w:webHidden/>
          </w:rPr>
          <w:t>165</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48" w:history="1">
        <w:r w:rsidR="000E0848" w:rsidRPr="00F5182D">
          <w:rPr>
            <w:rStyle w:val="Hyperlink"/>
            <w:noProof/>
          </w:rPr>
          <w:t>Table 23:</w:t>
        </w:r>
        <w:r w:rsidR="000E0848">
          <w:rPr>
            <w:rFonts w:asciiTheme="minorHAnsi" w:eastAsiaTheme="minorEastAsia" w:hAnsiTheme="minorHAnsi" w:cstheme="minorBidi"/>
            <w:noProof/>
            <w:sz w:val="22"/>
            <w:szCs w:val="22"/>
          </w:rPr>
          <w:tab/>
        </w:r>
        <w:r w:rsidR="000E0848" w:rsidRPr="00F5182D">
          <w:rPr>
            <w:rStyle w:val="Hyperlink"/>
            <w:noProof/>
          </w:rPr>
          <w:t>Summary of response to Terms of Reference</w:t>
        </w:r>
        <w:r w:rsidR="000E0848">
          <w:rPr>
            <w:noProof/>
            <w:webHidden/>
          </w:rPr>
          <w:tab/>
        </w:r>
        <w:r w:rsidR="000E0848">
          <w:rPr>
            <w:noProof/>
            <w:webHidden/>
          </w:rPr>
          <w:fldChar w:fldCharType="begin"/>
        </w:r>
        <w:r w:rsidR="000E0848">
          <w:rPr>
            <w:noProof/>
            <w:webHidden/>
          </w:rPr>
          <w:instrText xml:space="preserve"> PAGEREF _Toc519719148 \h </w:instrText>
        </w:r>
        <w:r w:rsidR="000E0848">
          <w:rPr>
            <w:noProof/>
            <w:webHidden/>
          </w:rPr>
        </w:r>
        <w:r w:rsidR="000E0848">
          <w:rPr>
            <w:noProof/>
            <w:webHidden/>
          </w:rPr>
          <w:fldChar w:fldCharType="separate"/>
        </w:r>
        <w:r>
          <w:rPr>
            <w:noProof/>
            <w:webHidden/>
          </w:rPr>
          <w:t>198</w:t>
        </w:r>
        <w:r w:rsidR="000E0848">
          <w:rPr>
            <w:noProof/>
            <w:webHidden/>
          </w:rPr>
          <w:fldChar w:fldCharType="end"/>
        </w:r>
      </w:hyperlink>
    </w:p>
    <w:p w:rsidR="007C7956" w:rsidRPr="00A90F8A" w:rsidRDefault="00FD5693" w:rsidP="00FD5693">
      <w:pPr>
        <w:pStyle w:val="ZZPPVContentsPageNo"/>
        <w:spacing w:before="0"/>
        <w:rPr>
          <w:rFonts w:asciiTheme="minorHAnsi" w:hAnsiTheme="minorHAnsi"/>
        </w:rPr>
      </w:pPr>
      <w:r w:rsidRPr="00A90F8A">
        <w:rPr>
          <w:rStyle w:val="PPVBodyChar"/>
          <w:rFonts w:asciiTheme="minorHAnsi" w:eastAsia="Dotum" w:hAnsiTheme="minorHAnsi"/>
          <w:b w:val="0"/>
          <w:color w:val="000000" w:themeColor="text1"/>
        </w:rPr>
        <w:lastRenderedPageBreak/>
        <w:fldChar w:fldCharType="end"/>
      </w:r>
    </w:p>
    <w:p w:rsidR="00607994" w:rsidRPr="00A90F8A" w:rsidRDefault="007C7956" w:rsidP="00681DCE">
      <w:pPr>
        <w:pStyle w:val="ZZPPVContentsPage"/>
        <w:rPr>
          <w:rFonts w:asciiTheme="minorHAnsi" w:hAnsiTheme="minorHAnsi"/>
          <w:color w:val="auto"/>
          <w:sz w:val="32"/>
          <w:szCs w:val="32"/>
        </w:rPr>
      </w:pPr>
      <w:r w:rsidRPr="00A90F8A">
        <w:rPr>
          <w:rFonts w:asciiTheme="minorHAnsi" w:hAnsiTheme="minorHAnsi"/>
          <w:color w:val="auto"/>
          <w:sz w:val="32"/>
          <w:szCs w:val="32"/>
        </w:rPr>
        <w:t>List of Figures</w:t>
      </w:r>
    </w:p>
    <w:p w:rsidR="00E4734B" w:rsidRPr="00A90F8A" w:rsidRDefault="00E4734B" w:rsidP="00154B75">
      <w:pPr>
        <w:pStyle w:val="ZZPPVContentsPageNo"/>
        <w:spacing w:before="0"/>
        <w:rPr>
          <w:rFonts w:asciiTheme="minorHAnsi" w:hAnsiTheme="minorHAnsi"/>
          <w:color w:val="000000" w:themeColor="text1"/>
        </w:rPr>
      </w:pPr>
      <w:r w:rsidRPr="00A90F8A">
        <w:rPr>
          <w:rFonts w:asciiTheme="minorHAnsi" w:hAnsiTheme="minorHAnsi"/>
        </w:rPr>
        <w:tab/>
      </w:r>
      <w:r w:rsidRPr="00A90F8A">
        <w:rPr>
          <w:rFonts w:asciiTheme="minorHAnsi" w:hAnsiTheme="minorHAnsi"/>
          <w:color w:val="000000" w:themeColor="text1"/>
        </w:rPr>
        <w:t>Page</w:t>
      </w:r>
    </w:p>
    <w:p w:rsidR="000E0848" w:rsidRDefault="00263B06">
      <w:pPr>
        <w:pStyle w:val="TableofFigures"/>
        <w:rPr>
          <w:rFonts w:asciiTheme="minorHAnsi" w:eastAsiaTheme="minorEastAsia" w:hAnsiTheme="minorHAnsi" w:cstheme="minorBidi"/>
          <w:noProof/>
          <w:sz w:val="22"/>
          <w:szCs w:val="22"/>
        </w:rPr>
      </w:pPr>
      <w:r w:rsidRPr="00A90F8A">
        <w:rPr>
          <w:rStyle w:val="PPVBodyChar"/>
          <w:rFonts w:asciiTheme="minorHAnsi" w:eastAsia="Dotum" w:hAnsiTheme="minorHAnsi"/>
        </w:rPr>
        <w:fldChar w:fldCharType="begin"/>
      </w:r>
      <w:r w:rsidRPr="00A90F8A">
        <w:rPr>
          <w:rStyle w:val="PPVBodyChar"/>
          <w:rFonts w:asciiTheme="minorHAnsi" w:eastAsia="Dotum" w:hAnsiTheme="minorHAnsi"/>
        </w:rPr>
        <w:instrText xml:space="preserve"> TOC \h \z \c "Figure" </w:instrText>
      </w:r>
      <w:r w:rsidRPr="00A90F8A">
        <w:rPr>
          <w:rStyle w:val="PPVBodyChar"/>
          <w:rFonts w:asciiTheme="minorHAnsi" w:eastAsia="Dotum" w:hAnsiTheme="minorHAnsi"/>
        </w:rPr>
        <w:fldChar w:fldCharType="separate"/>
      </w:r>
      <w:hyperlink w:anchor="_Toc519719104" w:history="1">
        <w:r w:rsidR="000E0848" w:rsidRPr="005C30B4">
          <w:rPr>
            <w:rStyle w:val="Hyperlink"/>
            <w:noProof/>
          </w:rPr>
          <w:t>Figure 1:</w:t>
        </w:r>
        <w:r w:rsidR="000E0848">
          <w:rPr>
            <w:rFonts w:asciiTheme="minorHAnsi" w:eastAsiaTheme="minorEastAsia" w:hAnsiTheme="minorHAnsi" w:cstheme="minorBidi"/>
            <w:noProof/>
            <w:sz w:val="22"/>
            <w:szCs w:val="22"/>
          </w:rPr>
          <w:tab/>
        </w:r>
        <w:r w:rsidR="000E0848" w:rsidRPr="005C30B4">
          <w:rPr>
            <w:rStyle w:val="Hyperlink"/>
            <w:noProof/>
          </w:rPr>
          <w:t>Fishermans Bend Precincts</w:t>
        </w:r>
        <w:r w:rsidR="000E0848">
          <w:rPr>
            <w:noProof/>
            <w:webHidden/>
          </w:rPr>
          <w:tab/>
        </w:r>
        <w:r w:rsidR="000E0848">
          <w:rPr>
            <w:noProof/>
            <w:webHidden/>
          </w:rPr>
          <w:fldChar w:fldCharType="begin"/>
        </w:r>
        <w:r w:rsidR="000E0848">
          <w:rPr>
            <w:noProof/>
            <w:webHidden/>
          </w:rPr>
          <w:instrText xml:space="preserve"> PAGEREF _Toc519719104 \h </w:instrText>
        </w:r>
        <w:r w:rsidR="000E0848">
          <w:rPr>
            <w:noProof/>
            <w:webHidden/>
          </w:rPr>
        </w:r>
        <w:r w:rsidR="000E0848">
          <w:rPr>
            <w:noProof/>
            <w:webHidden/>
          </w:rPr>
          <w:fldChar w:fldCharType="separate"/>
        </w:r>
        <w:r w:rsidR="00A307EC">
          <w:rPr>
            <w:noProof/>
            <w:webHidden/>
          </w:rPr>
          <w:t>18</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05" w:history="1">
        <w:r w:rsidR="000E0848" w:rsidRPr="005C30B4">
          <w:rPr>
            <w:rStyle w:val="Hyperlink"/>
            <w:noProof/>
          </w:rPr>
          <w:t>Figure 2:</w:t>
        </w:r>
        <w:r w:rsidR="000E0848">
          <w:rPr>
            <w:rFonts w:asciiTheme="minorHAnsi" w:eastAsiaTheme="minorEastAsia" w:hAnsiTheme="minorHAnsi" w:cstheme="minorBidi"/>
            <w:noProof/>
            <w:sz w:val="22"/>
            <w:szCs w:val="22"/>
          </w:rPr>
          <w:tab/>
        </w:r>
        <w:r w:rsidR="000E0848" w:rsidRPr="005C30B4">
          <w:rPr>
            <w:rStyle w:val="Hyperlink"/>
            <w:noProof/>
          </w:rPr>
          <w:t>Melbourne at 2050 proposed structure</w:t>
        </w:r>
        <w:r w:rsidR="000E0848">
          <w:rPr>
            <w:noProof/>
            <w:webHidden/>
          </w:rPr>
          <w:tab/>
        </w:r>
        <w:r w:rsidR="000E0848">
          <w:rPr>
            <w:noProof/>
            <w:webHidden/>
          </w:rPr>
          <w:fldChar w:fldCharType="begin"/>
        </w:r>
        <w:r w:rsidR="000E0848">
          <w:rPr>
            <w:noProof/>
            <w:webHidden/>
          </w:rPr>
          <w:instrText xml:space="preserve"> PAGEREF _Toc519719105 \h </w:instrText>
        </w:r>
        <w:r w:rsidR="000E0848">
          <w:rPr>
            <w:noProof/>
            <w:webHidden/>
          </w:rPr>
        </w:r>
        <w:r w:rsidR="000E0848">
          <w:rPr>
            <w:noProof/>
            <w:webHidden/>
          </w:rPr>
          <w:fldChar w:fldCharType="separate"/>
        </w:r>
        <w:r>
          <w:rPr>
            <w:noProof/>
            <w:webHidden/>
          </w:rPr>
          <w:t>29</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06" w:history="1">
        <w:r w:rsidR="000E0848" w:rsidRPr="005C30B4">
          <w:rPr>
            <w:rStyle w:val="Hyperlink"/>
            <w:noProof/>
          </w:rPr>
          <w:t>Figure 3:</w:t>
        </w:r>
        <w:r w:rsidR="000E0848">
          <w:rPr>
            <w:rFonts w:asciiTheme="minorHAnsi" w:eastAsiaTheme="minorEastAsia" w:hAnsiTheme="minorHAnsi" w:cstheme="minorBidi"/>
            <w:noProof/>
            <w:sz w:val="22"/>
            <w:szCs w:val="22"/>
          </w:rPr>
          <w:tab/>
        </w:r>
        <w:r w:rsidR="000E0848" w:rsidRPr="005C30B4">
          <w:rPr>
            <w:rStyle w:val="Hyperlink"/>
            <w:noProof/>
          </w:rPr>
          <w:t>FAR illustrated (1:1 Ratio)</w:t>
        </w:r>
        <w:r w:rsidR="000E0848">
          <w:rPr>
            <w:noProof/>
            <w:webHidden/>
          </w:rPr>
          <w:tab/>
        </w:r>
        <w:r w:rsidR="000E0848">
          <w:rPr>
            <w:noProof/>
            <w:webHidden/>
          </w:rPr>
          <w:fldChar w:fldCharType="begin"/>
        </w:r>
        <w:r w:rsidR="000E0848">
          <w:rPr>
            <w:noProof/>
            <w:webHidden/>
          </w:rPr>
          <w:instrText xml:space="preserve"> PAGEREF _Toc519719106 \h </w:instrText>
        </w:r>
        <w:r w:rsidR="000E0848">
          <w:rPr>
            <w:noProof/>
            <w:webHidden/>
          </w:rPr>
        </w:r>
        <w:r w:rsidR="000E0848">
          <w:rPr>
            <w:noProof/>
            <w:webHidden/>
          </w:rPr>
          <w:fldChar w:fldCharType="separate"/>
        </w:r>
        <w:r>
          <w:rPr>
            <w:noProof/>
            <w:webHidden/>
          </w:rPr>
          <w:t>60</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07" w:history="1">
        <w:r w:rsidR="000E0848" w:rsidRPr="005C30B4">
          <w:rPr>
            <w:rStyle w:val="Hyperlink"/>
            <w:noProof/>
          </w:rPr>
          <w:t>Figure 4:</w:t>
        </w:r>
        <w:r w:rsidR="000E0848">
          <w:rPr>
            <w:rFonts w:asciiTheme="minorHAnsi" w:eastAsiaTheme="minorEastAsia" w:hAnsiTheme="minorHAnsi" w:cstheme="minorBidi"/>
            <w:noProof/>
            <w:sz w:val="22"/>
            <w:szCs w:val="22"/>
          </w:rPr>
          <w:tab/>
        </w:r>
        <w:r w:rsidR="000E0848" w:rsidRPr="005C30B4">
          <w:rPr>
            <w:rStyle w:val="Hyperlink"/>
            <w:noProof/>
          </w:rPr>
          <w:t>Urban Design Strategy character types</w:t>
        </w:r>
        <w:r w:rsidR="000E0848">
          <w:rPr>
            <w:noProof/>
            <w:webHidden/>
          </w:rPr>
          <w:tab/>
        </w:r>
        <w:r w:rsidR="000E0848">
          <w:rPr>
            <w:noProof/>
            <w:webHidden/>
          </w:rPr>
          <w:fldChar w:fldCharType="begin"/>
        </w:r>
        <w:r w:rsidR="000E0848">
          <w:rPr>
            <w:noProof/>
            <w:webHidden/>
          </w:rPr>
          <w:instrText xml:space="preserve"> PAGEREF _Toc519719107 \h </w:instrText>
        </w:r>
        <w:r w:rsidR="000E0848">
          <w:rPr>
            <w:noProof/>
            <w:webHidden/>
          </w:rPr>
        </w:r>
        <w:r w:rsidR="000E0848">
          <w:rPr>
            <w:noProof/>
            <w:webHidden/>
          </w:rPr>
          <w:fldChar w:fldCharType="separate"/>
        </w:r>
        <w:r>
          <w:rPr>
            <w:noProof/>
            <w:webHidden/>
          </w:rPr>
          <w:t>70</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08" w:history="1">
        <w:r w:rsidR="000E0848" w:rsidRPr="005C30B4">
          <w:rPr>
            <w:rStyle w:val="Hyperlink"/>
            <w:noProof/>
          </w:rPr>
          <w:t>Figure 5:</w:t>
        </w:r>
        <w:r w:rsidR="000E0848">
          <w:rPr>
            <w:rFonts w:asciiTheme="minorHAnsi" w:eastAsiaTheme="minorEastAsia" w:hAnsiTheme="minorHAnsi" w:cstheme="minorBidi"/>
            <w:noProof/>
            <w:sz w:val="22"/>
            <w:szCs w:val="22"/>
          </w:rPr>
          <w:tab/>
        </w:r>
        <w:r w:rsidR="000E0848" w:rsidRPr="005C30B4">
          <w:rPr>
            <w:rStyle w:val="Hyperlink"/>
            <w:noProof/>
          </w:rPr>
          <w:t>Part C Character typology</w:t>
        </w:r>
        <w:r w:rsidR="000E0848">
          <w:rPr>
            <w:noProof/>
            <w:webHidden/>
          </w:rPr>
          <w:tab/>
        </w:r>
        <w:r w:rsidR="000E0848">
          <w:rPr>
            <w:noProof/>
            <w:webHidden/>
          </w:rPr>
          <w:fldChar w:fldCharType="begin"/>
        </w:r>
        <w:r w:rsidR="000E0848">
          <w:rPr>
            <w:noProof/>
            <w:webHidden/>
          </w:rPr>
          <w:instrText xml:space="preserve"> PAGEREF _Toc519719108 \h </w:instrText>
        </w:r>
        <w:r w:rsidR="000E0848">
          <w:rPr>
            <w:noProof/>
            <w:webHidden/>
          </w:rPr>
        </w:r>
        <w:r w:rsidR="000E0848">
          <w:rPr>
            <w:noProof/>
            <w:webHidden/>
          </w:rPr>
          <w:fldChar w:fldCharType="separate"/>
        </w:r>
        <w:r>
          <w:rPr>
            <w:noProof/>
            <w:webHidden/>
          </w:rPr>
          <w:t>71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09" w:history="1">
        <w:r w:rsidR="000E0848" w:rsidRPr="005C30B4">
          <w:rPr>
            <w:rStyle w:val="Hyperlink"/>
            <w:noProof/>
          </w:rPr>
          <w:t>Figure 6:</w:t>
        </w:r>
        <w:r w:rsidR="000E0848">
          <w:rPr>
            <w:rFonts w:asciiTheme="minorHAnsi" w:eastAsiaTheme="minorEastAsia" w:hAnsiTheme="minorHAnsi" w:cstheme="minorBidi"/>
            <w:noProof/>
            <w:sz w:val="22"/>
            <w:szCs w:val="22"/>
          </w:rPr>
          <w:tab/>
        </w:r>
        <w:r w:rsidR="000E0848" w:rsidRPr="005C30B4">
          <w:rPr>
            <w:rStyle w:val="Hyperlink"/>
            <w:noProof/>
          </w:rPr>
          <w:t>FARs and heights for each subprecinct</w:t>
        </w:r>
        <w:r w:rsidR="000E0848">
          <w:rPr>
            <w:noProof/>
            <w:webHidden/>
          </w:rPr>
          <w:tab/>
        </w:r>
        <w:r w:rsidR="000E0848">
          <w:rPr>
            <w:noProof/>
            <w:webHidden/>
          </w:rPr>
          <w:fldChar w:fldCharType="begin"/>
        </w:r>
        <w:r w:rsidR="000E0848">
          <w:rPr>
            <w:noProof/>
            <w:webHidden/>
          </w:rPr>
          <w:instrText xml:space="preserve"> PAGEREF _Toc519719109 \h </w:instrText>
        </w:r>
        <w:r w:rsidR="000E0848">
          <w:rPr>
            <w:noProof/>
            <w:webHidden/>
          </w:rPr>
        </w:r>
        <w:r w:rsidR="000E0848">
          <w:rPr>
            <w:noProof/>
            <w:webHidden/>
          </w:rPr>
          <w:fldChar w:fldCharType="separate"/>
        </w:r>
        <w:r>
          <w:rPr>
            <w:noProof/>
            <w:webHidden/>
          </w:rPr>
          <w:t>73</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0" w:history="1">
        <w:r w:rsidR="000E0848" w:rsidRPr="005C30B4">
          <w:rPr>
            <w:rStyle w:val="Hyperlink"/>
            <w:noProof/>
          </w:rPr>
          <w:t>Figure 7:</w:t>
        </w:r>
        <w:r w:rsidR="000E0848">
          <w:rPr>
            <w:rFonts w:asciiTheme="minorHAnsi" w:eastAsiaTheme="minorEastAsia" w:hAnsiTheme="minorHAnsi" w:cstheme="minorBidi"/>
            <w:noProof/>
            <w:sz w:val="22"/>
            <w:szCs w:val="22"/>
          </w:rPr>
          <w:tab/>
        </w:r>
        <w:r w:rsidR="000E0848" w:rsidRPr="005C30B4">
          <w:rPr>
            <w:rStyle w:val="Hyperlink"/>
            <w:noProof/>
          </w:rPr>
          <w:t>Height permitted under the FAR for a building that covers 100 per cent of a site as a percentage of the tallest maximum height in the subprecincts</w:t>
        </w:r>
        <w:r w:rsidR="000E0848">
          <w:rPr>
            <w:noProof/>
            <w:webHidden/>
          </w:rPr>
          <w:tab/>
        </w:r>
        <w:r w:rsidR="000E0848">
          <w:rPr>
            <w:noProof/>
            <w:webHidden/>
          </w:rPr>
          <w:fldChar w:fldCharType="begin"/>
        </w:r>
        <w:r w:rsidR="000E0848">
          <w:rPr>
            <w:noProof/>
            <w:webHidden/>
          </w:rPr>
          <w:instrText xml:space="preserve"> PAGEREF _Toc519719110 \h </w:instrText>
        </w:r>
        <w:r w:rsidR="000E0848">
          <w:rPr>
            <w:noProof/>
            <w:webHidden/>
          </w:rPr>
        </w:r>
        <w:r w:rsidR="000E0848">
          <w:rPr>
            <w:noProof/>
            <w:webHidden/>
          </w:rPr>
          <w:fldChar w:fldCharType="separate"/>
        </w:r>
        <w:r>
          <w:rPr>
            <w:noProof/>
            <w:webHidden/>
          </w:rPr>
          <w:t>75</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1" w:history="1">
        <w:r w:rsidR="000E0848" w:rsidRPr="005C30B4">
          <w:rPr>
            <w:rStyle w:val="Hyperlink"/>
            <w:noProof/>
          </w:rPr>
          <w:t>Figure 8:</w:t>
        </w:r>
        <w:r w:rsidR="000E0848">
          <w:rPr>
            <w:rFonts w:asciiTheme="minorHAnsi" w:eastAsiaTheme="minorEastAsia" w:hAnsiTheme="minorHAnsi" w:cstheme="minorBidi"/>
            <w:noProof/>
            <w:sz w:val="22"/>
            <w:szCs w:val="22"/>
          </w:rPr>
          <w:tab/>
        </w:r>
        <w:r w:rsidR="000E0848" w:rsidRPr="005C30B4">
          <w:rPr>
            <w:rStyle w:val="Hyperlink"/>
            <w:noProof/>
          </w:rPr>
          <w:t>Urban Design Strategy explanation of why no compensation is needed</w:t>
        </w:r>
        <w:r w:rsidR="000E0848">
          <w:rPr>
            <w:noProof/>
            <w:webHidden/>
          </w:rPr>
          <w:tab/>
        </w:r>
        <w:r w:rsidR="000E0848">
          <w:rPr>
            <w:noProof/>
            <w:webHidden/>
          </w:rPr>
          <w:fldChar w:fldCharType="begin"/>
        </w:r>
        <w:r w:rsidR="000E0848">
          <w:rPr>
            <w:noProof/>
            <w:webHidden/>
          </w:rPr>
          <w:instrText xml:space="preserve"> PAGEREF _Toc519719111 \h </w:instrText>
        </w:r>
        <w:r w:rsidR="000E0848">
          <w:rPr>
            <w:noProof/>
            <w:webHidden/>
          </w:rPr>
        </w:r>
        <w:r w:rsidR="000E0848">
          <w:rPr>
            <w:noProof/>
            <w:webHidden/>
          </w:rPr>
          <w:fldChar w:fldCharType="separate"/>
        </w:r>
        <w:r>
          <w:rPr>
            <w:noProof/>
            <w:webHidden/>
          </w:rPr>
          <w:t>77</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2" w:history="1">
        <w:r w:rsidR="000E0848" w:rsidRPr="005C30B4">
          <w:rPr>
            <w:rStyle w:val="Hyperlink"/>
            <w:noProof/>
          </w:rPr>
          <w:t>Figure 9:</w:t>
        </w:r>
        <w:r w:rsidR="000E0848">
          <w:rPr>
            <w:rFonts w:asciiTheme="minorHAnsi" w:eastAsiaTheme="minorEastAsia" w:hAnsiTheme="minorHAnsi" w:cstheme="minorBidi"/>
            <w:noProof/>
            <w:sz w:val="22"/>
            <w:szCs w:val="22"/>
          </w:rPr>
          <w:tab/>
        </w:r>
        <w:r w:rsidR="000E0848" w:rsidRPr="005C30B4">
          <w:rPr>
            <w:rStyle w:val="Hyperlink"/>
            <w:noProof/>
          </w:rPr>
          <w:t>FAU required to deliver social housing target on estimated 29,819 additional dwellings</w:t>
        </w:r>
        <w:r w:rsidR="000E0848">
          <w:rPr>
            <w:noProof/>
            <w:webHidden/>
          </w:rPr>
          <w:tab/>
        </w:r>
        <w:r w:rsidR="000E0848">
          <w:rPr>
            <w:noProof/>
            <w:webHidden/>
          </w:rPr>
          <w:fldChar w:fldCharType="begin"/>
        </w:r>
        <w:r w:rsidR="000E0848">
          <w:rPr>
            <w:noProof/>
            <w:webHidden/>
          </w:rPr>
          <w:instrText xml:space="preserve"> PAGEREF _Toc519719112 \h </w:instrText>
        </w:r>
        <w:r w:rsidR="000E0848">
          <w:rPr>
            <w:noProof/>
            <w:webHidden/>
          </w:rPr>
        </w:r>
        <w:r w:rsidR="000E0848">
          <w:rPr>
            <w:noProof/>
            <w:webHidden/>
          </w:rPr>
          <w:fldChar w:fldCharType="separate"/>
        </w:r>
        <w:r>
          <w:rPr>
            <w:noProof/>
            <w:webHidden/>
          </w:rPr>
          <w:t>81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3" w:history="1">
        <w:r w:rsidR="000E0848" w:rsidRPr="005C30B4">
          <w:rPr>
            <w:rStyle w:val="Hyperlink"/>
            <w:noProof/>
          </w:rPr>
          <w:t>Figure 10:</w:t>
        </w:r>
        <w:r w:rsidR="000E0848">
          <w:rPr>
            <w:rFonts w:asciiTheme="minorHAnsi" w:eastAsiaTheme="minorEastAsia" w:hAnsiTheme="minorHAnsi" w:cstheme="minorBidi"/>
            <w:noProof/>
            <w:sz w:val="22"/>
            <w:szCs w:val="22"/>
          </w:rPr>
          <w:tab/>
        </w:r>
        <w:r w:rsidR="000E0848" w:rsidRPr="005C30B4">
          <w:rPr>
            <w:rStyle w:val="Hyperlink"/>
            <w:noProof/>
          </w:rPr>
          <w:t>Proposed linear park along Southbank Boulevard</w:t>
        </w:r>
        <w:r w:rsidR="000E0848">
          <w:rPr>
            <w:noProof/>
            <w:webHidden/>
          </w:rPr>
          <w:tab/>
        </w:r>
        <w:r w:rsidR="000E0848">
          <w:rPr>
            <w:noProof/>
            <w:webHidden/>
          </w:rPr>
          <w:fldChar w:fldCharType="begin"/>
        </w:r>
        <w:r w:rsidR="000E0848">
          <w:rPr>
            <w:noProof/>
            <w:webHidden/>
          </w:rPr>
          <w:instrText xml:space="preserve"> PAGEREF _Toc519719113 \h </w:instrText>
        </w:r>
        <w:r w:rsidR="000E0848">
          <w:rPr>
            <w:noProof/>
            <w:webHidden/>
          </w:rPr>
        </w:r>
        <w:r w:rsidR="000E0848">
          <w:rPr>
            <w:noProof/>
            <w:webHidden/>
          </w:rPr>
          <w:fldChar w:fldCharType="separate"/>
        </w:r>
        <w:r>
          <w:rPr>
            <w:noProof/>
            <w:webHidden/>
          </w:rPr>
          <w:t>105</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4" w:history="1">
        <w:r w:rsidR="000E0848" w:rsidRPr="005C30B4">
          <w:rPr>
            <w:rStyle w:val="Hyperlink"/>
            <w:noProof/>
          </w:rPr>
          <w:t>Figure 11:</w:t>
        </w:r>
        <w:r w:rsidR="000E0848">
          <w:rPr>
            <w:rFonts w:asciiTheme="minorHAnsi" w:eastAsiaTheme="minorEastAsia" w:hAnsiTheme="minorHAnsi" w:cstheme="minorBidi"/>
            <w:noProof/>
            <w:sz w:val="22"/>
            <w:szCs w:val="22"/>
          </w:rPr>
          <w:tab/>
        </w:r>
        <w:r w:rsidR="000E0848" w:rsidRPr="005C30B4">
          <w:rPr>
            <w:rStyle w:val="Hyperlink"/>
            <w:noProof/>
          </w:rPr>
          <w:t>Proposed road network changes (Port Phillip)</w:t>
        </w:r>
        <w:r w:rsidR="000E0848">
          <w:rPr>
            <w:noProof/>
            <w:webHidden/>
          </w:rPr>
          <w:tab/>
        </w:r>
        <w:r w:rsidR="000E0848">
          <w:rPr>
            <w:noProof/>
            <w:webHidden/>
          </w:rPr>
          <w:fldChar w:fldCharType="begin"/>
        </w:r>
        <w:r w:rsidR="000E0848">
          <w:rPr>
            <w:noProof/>
            <w:webHidden/>
          </w:rPr>
          <w:instrText xml:space="preserve"> PAGEREF _Toc519719114 \h </w:instrText>
        </w:r>
        <w:r w:rsidR="000E0848">
          <w:rPr>
            <w:noProof/>
            <w:webHidden/>
          </w:rPr>
        </w:r>
        <w:r w:rsidR="000E0848">
          <w:rPr>
            <w:noProof/>
            <w:webHidden/>
          </w:rPr>
          <w:fldChar w:fldCharType="separate"/>
        </w:r>
        <w:r>
          <w:rPr>
            <w:noProof/>
            <w:webHidden/>
          </w:rPr>
          <w:t>122</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5" w:history="1">
        <w:r w:rsidR="000E0848" w:rsidRPr="005C30B4">
          <w:rPr>
            <w:rStyle w:val="Hyperlink"/>
            <w:noProof/>
          </w:rPr>
          <w:t>Figure 12:</w:t>
        </w:r>
        <w:r w:rsidR="000E0848">
          <w:rPr>
            <w:rFonts w:asciiTheme="minorHAnsi" w:eastAsiaTheme="minorEastAsia" w:hAnsiTheme="minorHAnsi" w:cstheme="minorBidi"/>
            <w:noProof/>
            <w:sz w:val="22"/>
            <w:szCs w:val="22"/>
          </w:rPr>
          <w:tab/>
        </w:r>
        <w:r w:rsidR="000E0848" w:rsidRPr="005C30B4">
          <w:rPr>
            <w:rStyle w:val="Hyperlink"/>
            <w:noProof/>
          </w:rPr>
          <w:t>Land above (green) and below (blue) 2.4 metres AHD</w:t>
        </w:r>
        <w:r w:rsidR="000E0848">
          <w:rPr>
            <w:noProof/>
            <w:webHidden/>
          </w:rPr>
          <w:tab/>
        </w:r>
        <w:r w:rsidR="000E0848">
          <w:rPr>
            <w:noProof/>
            <w:webHidden/>
          </w:rPr>
          <w:fldChar w:fldCharType="begin"/>
        </w:r>
        <w:r w:rsidR="000E0848">
          <w:rPr>
            <w:noProof/>
            <w:webHidden/>
          </w:rPr>
          <w:instrText xml:space="preserve"> PAGEREF _Toc519719115 \h </w:instrText>
        </w:r>
        <w:r w:rsidR="000E0848">
          <w:rPr>
            <w:noProof/>
            <w:webHidden/>
          </w:rPr>
        </w:r>
        <w:r w:rsidR="000E0848">
          <w:rPr>
            <w:noProof/>
            <w:webHidden/>
          </w:rPr>
          <w:fldChar w:fldCharType="separate"/>
        </w:r>
        <w:r>
          <w:rPr>
            <w:noProof/>
            <w:webHidden/>
          </w:rPr>
          <w:t>131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6" w:history="1">
        <w:r w:rsidR="000E0848" w:rsidRPr="005C30B4">
          <w:rPr>
            <w:rStyle w:val="Hyperlink"/>
            <w:noProof/>
          </w:rPr>
          <w:t>Figure 13:</w:t>
        </w:r>
        <w:r w:rsidR="000E0848">
          <w:rPr>
            <w:rFonts w:asciiTheme="minorHAnsi" w:eastAsiaTheme="minorEastAsia" w:hAnsiTheme="minorHAnsi" w:cstheme="minorBidi"/>
            <w:noProof/>
            <w:sz w:val="22"/>
            <w:szCs w:val="22"/>
          </w:rPr>
          <w:tab/>
        </w:r>
        <w:r w:rsidR="000E0848" w:rsidRPr="005C30B4">
          <w:rPr>
            <w:rStyle w:val="Hyperlink"/>
            <w:noProof/>
          </w:rPr>
          <w:t>High pressure gas transmission pipeline locations (in green)</w:t>
        </w:r>
        <w:r w:rsidR="000E0848">
          <w:rPr>
            <w:noProof/>
            <w:webHidden/>
          </w:rPr>
          <w:tab/>
        </w:r>
        <w:r w:rsidR="000E0848">
          <w:rPr>
            <w:noProof/>
            <w:webHidden/>
          </w:rPr>
          <w:fldChar w:fldCharType="begin"/>
        </w:r>
        <w:r w:rsidR="000E0848">
          <w:rPr>
            <w:noProof/>
            <w:webHidden/>
          </w:rPr>
          <w:instrText xml:space="preserve"> PAGEREF _Toc519719116 \h </w:instrText>
        </w:r>
        <w:r w:rsidR="000E0848">
          <w:rPr>
            <w:noProof/>
            <w:webHidden/>
          </w:rPr>
        </w:r>
        <w:r w:rsidR="000E0848">
          <w:rPr>
            <w:noProof/>
            <w:webHidden/>
          </w:rPr>
          <w:fldChar w:fldCharType="separate"/>
        </w:r>
        <w:r>
          <w:rPr>
            <w:noProof/>
            <w:webHidden/>
          </w:rPr>
          <w:t>138</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7" w:history="1">
        <w:r w:rsidR="000E0848" w:rsidRPr="005C30B4">
          <w:rPr>
            <w:rStyle w:val="Hyperlink"/>
            <w:noProof/>
          </w:rPr>
          <w:t>Figure 14:</w:t>
        </w:r>
        <w:r w:rsidR="000E0848">
          <w:rPr>
            <w:rFonts w:asciiTheme="minorHAnsi" w:eastAsiaTheme="minorEastAsia" w:hAnsiTheme="minorHAnsi" w:cstheme="minorBidi"/>
            <w:noProof/>
            <w:sz w:val="22"/>
            <w:szCs w:val="22"/>
          </w:rPr>
          <w:tab/>
        </w:r>
        <w:r w:rsidR="000E0848" w:rsidRPr="005C30B4">
          <w:rPr>
            <w:rStyle w:val="Hyperlink"/>
            <w:noProof/>
          </w:rPr>
          <w:t>Amenity buffers</w:t>
        </w:r>
        <w:r w:rsidR="000E0848">
          <w:rPr>
            <w:noProof/>
            <w:webHidden/>
          </w:rPr>
          <w:tab/>
        </w:r>
        <w:r w:rsidR="000E0848">
          <w:rPr>
            <w:noProof/>
            <w:webHidden/>
          </w:rPr>
          <w:fldChar w:fldCharType="begin"/>
        </w:r>
        <w:r w:rsidR="000E0848">
          <w:rPr>
            <w:noProof/>
            <w:webHidden/>
          </w:rPr>
          <w:instrText xml:space="preserve"> PAGEREF _Toc519719117 \h </w:instrText>
        </w:r>
        <w:r w:rsidR="000E0848">
          <w:rPr>
            <w:noProof/>
            <w:webHidden/>
          </w:rPr>
        </w:r>
        <w:r w:rsidR="000E0848">
          <w:rPr>
            <w:noProof/>
            <w:webHidden/>
          </w:rPr>
          <w:fldChar w:fldCharType="separate"/>
        </w:r>
        <w:r>
          <w:rPr>
            <w:noProof/>
            <w:webHidden/>
          </w:rPr>
          <w:t>141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8" w:history="1">
        <w:r w:rsidR="000E0848" w:rsidRPr="005C30B4">
          <w:rPr>
            <w:rStyle w:val="Hyperlink"/>
            <w:noProof/>
          </w:rPr>
          <w:t>Figure 15:</w:t>
        </w:r>
        <w:r w:rsidR="000E0848">
          <w:rPr>
            <w:rFonts w:asciiTheme="minorHAnsi" w:eastAsiaTheme="minorEastAsia" w:hAnsiTheme="minorHAnsi" w:cstheme="minorBidi"/>
            <w:noProof/>
            <w:sz w:val="22"/>
            <w:szCs w:val="22"/>
          </w:rPr>
          <w:tab/>
        </w:r>
        <w:r w:rsidR="000E0848" w:rsidRPr="005C30B4">
          <w:rPr>
            <w:rStyle w:val="Hyperlink"/>
            <w:noProof/>
          </w:rPr>
          <w:t>The tooth and gap approach</w:t>
        </w:r>
        <w:r w:rsidR="000E0848">
          <w:rPr>
            <w:noProof/>
            <w:webHidden/>
          </w:rPr>
          <w:tab/>
        </w:r>
        <w:r w:rsidR="000E0848">
          <w:rPr>
            <w:noProof/>
            <w:webHidden/>
          </w:rPr>
          <w:fldChar w:fldCharType="begin"/>
        </w:r>
        <w:r w:rsidR="000E0848">
          <w:rPr>
            <w:noProof/>
            <w:webHidden/>
          </w:rPr>
          <w:instrText xml:space="preserve"> PAGEREF _Toc519719118 \h </w:instrText>
        </w:r>
        <w:r w:rsidR="000E0848">
          <w:rPr>
            <w:noProof/>
            <w:webHidden/>
          </w:rPr>
        </w:r>
        <w:r w:rsidR="000E0848">
          <w:rPr>
            <w:noProof/>
            <w:webHidden/>
          </w:rPr>
          <w:fldChar w:fldCharType="separate"/>
        </w:r>
        <w:r>
          <w:rPr>
            <w:noProof/>
            <w:webHidden/>
          </w:rPr>
          <w:t>191</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19" w:history="1">
        <w:r w:rsidR="000E0848" w:rsidRPr="005C30B4">
          <w:rPr>
            <w:rStyle w:val="Hyperlink"/>
            <w:noProof/>
          </w:rPr>
          <w:t>Figure 16:</w:t>
        </w:r>
        <w:r w:rsidR="000E0848">
          <w:rPr>
            <w:rFonts w:asciiTheme="minorHAnsi" w:eastAsiaTheme="minorEastAsia" w:hAnsiTheme="minorHAnsi" w:cstheme="minorBidi"/>
            <w:noProof/>
            <w:sz w:val="22"/>
            <w:szCs w:val="22"/>
          </w:rPr>
          <w:tab/>
        </w:r>
        <w:r w:rsidR="000E0848" w:rsidRPr="005C30B4">
          <w:rPr>
            <w:rStyle w:val="Hyperlink"/>
            <w:noProof/>
          </w:rPr>
          <w:t>Proposed application of the DPO2</w:t>
        </w:r>
        <w:r w:rsidR="000E0848">
          <w:rPr>
            <w:noProof/>
            <w:webHidden/>
          </w:rPr>
          <w:tab/>
        </w:r>
        <w:r w:rsidR="000E0848">
          <w:rPr>
            <w:noProof/>
            <w:webHidden/>
          </w:rPr>
          <w:fldChar w:fldCharType="begin"/>
        </w:r>
        <w:r w:rsidR="000E0848">
          <w:rPr>
            <w:noProof/>
            <w:webHidden/>
          </w:rPr>
          <w:instrText xml:space="preserve"> PAGEREF _Toc519719119 \h </w:instrText>
        </w:r>
        <w:r w:rsidR="000E0848">
          <w:rPr>
            <w:noProof/>
            <w:webHidden/>
          </w:rPr>
        </w:r>
        <w:r w:rsidR="000E0848">
          <w:rPr>
            <w:noProof/>
            <w:webHidden/>
          </w:rPr>
          <w:fldChar w:fldCharType="separate"/>
        </w:r>
        <w:r>
          <w:rPr>
            <w:noProof/>
            <w:webHidden/>
          </w:rPr>
          <w:t>193</w:t>
        </w:r>
        <w:r w:rsidR="000E0848">
          <w:rPr>
            <w:noProof/>
            <w:webHidden/>
          </w:rPr>
          <w:fldChar w:fldCharType="end"/>
        </w:r>
      </w:hyperlink>
    </w:p>
    <w:p w:rsidR="000E0848" w:rsidRDefault="00A307EC">
      <w:pPr>
        <w:pStyle w:val="TableofFigures"/>
        <w:rPr>
          <w:rFonts w:asciiTheme="minorHAnsi" w:eastAsiaTheme="minorEastAsia" w:hAnsiTheme="minorHAnsi" w:cstheme="minorBidi"/>
          <w:noProof/>
          <w:sz w:val="22"/>
          <w:szCs w:val="22"/>
        </w:rPr>
      </w:pPr>
      <w:hyperlink w:anchor="_Toc519719120" w:history="1">
        <w:r w:rsidR="000E0848" w:rsidRPr="005C30B4">
          <w:rPr>
            <w:rStyle w:val="Hyperlink"/>
            <w:noProof/>
          </w:rPr>
          <w:t>Figure 17:</w:t>
        </w:r>
        <w:r w:rsidR="000E0848">
          <w:rPr>
            <w:rFonts w:asciiTheme="minorHAnsi" w:eastAsiaTheme="minorEastAsia" w:hAnsiTheme="minorHAnsi" w:cstheme="minorBidi"/>
            <w:noProof/>
            <w:sz w:val="22"/>
            <w:szCs w:val="22"/>
          </w:rPr>
          <w:tab/>
        </w:r>
        <w:r w:rsidR="000E0848" w:rsidRPr="005C30B4">
          <w:rPr>
            <w:rStyle w:val="Hyperlink"/>
            <w:noProof/>
          </w:rPr>
          <w:t>Goodman landholdings within Fishermans Bend</w:t>
        </w:r>
        <w:r w:rsidR="000E0848">
          <w:rPr>
            <w:noProof/>
            <w:webHidden/>
          </w:rPr>
          <w:tab/>
        </w:r>
        <w:r w:rsidR="000E0848">
          <w:rPr>
            <w:noProof/>
            <w:webHidden/>
          </w:rPr>
          <w:fldChar w:fldCharType="begin"/>
        </w:r>
        <w:r w:rsidR="000E0848">
          <w:rPr>
            <w:noProof/>
            <w:webHidden/>
          </w:rPr>
          <w:instrText xml:space="preserve"> PAGEREF _Toc519719120 \h </w:instrText>
        </w:r>
        <w:r w:rsidR="000E0848">
          <w:rPr>
            <w:noProof/>
            <w:webHidden/>
          </w:rPr>
        </w:r>
        <w:r w:rsidR="000E0848">
          <w:rPr>
            <w:noProof/>
            <w:webHidden/>
          </w:rPr>
          <w:fldChar w:fldCharType="separate"/>
        </w:r>
        <w:r>
          <w:rPr>
            <w:noProof/>
            <w:webHidden/>
          </w:rPr>
          <w:t>195</w:t>
        </w:r>
        <w:r w:rsidR="000E0848">
          <w:rPr>
            <w:noProof/>
            <w:webHidden/>
          </w:rPr>
          <w:fldChar w:fldCharType="end"/>
        </w:r>
      </w:hyperlink>
    </w:p>
    <w:p w:rsidR="006C410F" w:rsidRDefault="00263B06" w:rsidP="006C410F">
      <w:pPr>
        <w:pStyle w:val="TableofFigures"/>
        <w:rPr>
          <w:rStyle w:val="PPVBodyChar"/>
          <w:rFonts w:asciiTheme="minorHAnsi" w:eastAsia="Dotum" w:hAnsiTheme="minorHAnsi"/>
        </w:rPr>
      </w:pPr>
      <w:r w:rsidRPr="00A90F8A">
        <w:rPr>
          <w:rStyle w:val="PPVBodyChar"/>
          <w:rFonts w:asciiTheme="minorHAnsi" w:eastAsia="Dotum" w:hAnsiTheme="minorHAnsi"/>
        </w:rPr>
        <w:fldChar w:fldCharType="end"/>
      </w:r>
      <w:r w:rsidR="006C410F">
        <w:rPr>
          <w:rStyle w:val="PPVBodyChar"/>
          <w:rFonts w:asciiTheme="minorHAnsi" w:eastAsia="Dotum" w:hAnsiTheme="minorHAnsi"/>
        </w:rPr>
        <w:br w:type="page"/>
      </w:r>
    </w:p>
    <w:p w:rsidR="00AC330D" w:rsidRDefault="007A7D08" w:rsidP="009A41AF">
      <w:pPr>
        <w:pStyle w:val="PPVBody"/>
        <w:rPr>
          <w:rFonts w:asciiTheme="minorHAnsi" w:hAnsiTheme="minorHAnsi"/>
          <w:b/>
          <w:sz w:val="32"/>
          <w:szCs w:val="32"/>
        </w:rPr>
      </w:pPr>
      <w:r w:rsidRPr="00A90F8A">
        <w:rPr>
          <w:rFonts w:asciiTheme="minorHAnsi" w:hAnsiTheme="minorHAnsi"/>
          <w:b/>
          <w:sz w:val="32"/>
          <w:szCs w:val="32"/>
        </w:rPr>
        <w:lastRenderedPageBreak/>
        <w:t>List of Abbreviations</w:t>
      </w:r>
    </w:p>
    <w:p w:rsidR="00A017BE" w:rsidRPr="00A017BE" w:rsidRDefault="00A017BE" w:rsidP="00A017BE">
      <w:pPr>
        <w:pStyle w:val="PPVBody"/>
      </w:pPr>
    </w:p>
    <w:tbl>
      <w:tblPr>
        <w:tblStyle w:val="TableGrid"/>
        <w:tblW w:w="0" w:type="auto"/>
        <w:tblInd w:w="250" w:type="dxa"/>
        <w:tblBorders>
          <w:top w:val="none" w:sz="0" w:space="0" w:color="auto"/>
          <w:left w:val="none" w:sz="0" w:space="0" w:color="auto"/>
          <w:bottom w:val="single" w:sz="12" w:space="0" w:color="215868"/>
          <w:right w:val="none" w:sz="0" w:space="0" w:color="auto"/>
          <w:insideH w:val="dotted" w:sz="4" w:space="0" w:color="auto"/>
          <w:insideV w:val="none" w:sz="0" w:space="0" w:color="auto"/>
        </w:tblBorders>
        <w:tblLayout w:type="fixed"/>
        <w:tblLook w:val="04A0" w:firstRow="1" w:lastRow="0" w:firstColumn="1" w:lastColumn="0" w:noHBand="0" w:noVBand="1"/>
      </w:tblPr>
      <w:tblGrid>
        <w:gridCol w:w="2093"/>
        <w:gridCol w:w="6673"/>
      </w:tblGrid>
      <w:tr w:rsidR="006B06DF" w:rsidRPr="005F328D" w:rsidTr="00A017BE">
        <w:trPr>
          <w:cantSplit/>
        </w:trPr>
        <w:tc>
          <w:tcPr>
            <w:tcW w:w="2093" w:type="dxa"/>
            <w:tcBorders>
              <w:top w:val="single" w:sz="12" w:space="0" w:color="215868" w:themeColor="accent5" w:themeShade="80"/>
              <w:bottom w:val="dotted" w:sz="4" w:space="0" w:color="auto"/>
            </w:tcBorders>
            <w:shd w:val="clear" w:color="auto" w:fill="auto"/>
          </w:tcPr>
          <w:p w:rsidR="006B06DF" w:rsidRPr="005F328D" w:rsidRDefault="006B06DF" w:rsidP="00A017BE">
            <w:pPr>
              <w:pStyle w:val="PPVTableText"/>
            </w:pPr>
            <w:r w:rsidRPr="005F328D">
              <w:t>AHD</w:t>
            </w:r>
          </w:p>
        </w:tc>
        <w:tc>
          <w:tcPr>
            <w:tcW w:w="6673" w:type="dxa"/>
            <w:tcBorders>
              <w:top w:val="single" w:sz="12" w:space="0" w:color="215868" w:themeColor="accent5" w:themeShade="80"/>
              <w:bottom w:val="dotted" w:sz="4" w:space="0" w:color="auto"/>
            </w:tcBorders>
            <w:shd w:val="clear" w:color="auto" w:fill="auto"/>
          </w:tcPr>
          <w:p w:rsidR="006B06DF" w:rsidRPr="005F328D" w:rsidRDefault="006B06DF" w:rsidP="00A017BE">
            <w:pPr>
              <w:pStyle w:val="PPVTableText"/>
            </w:pPr>
            <w:r w:rsidRPr="005F328D">
              <w:t>Australian Height Datum</w:t>
            </w:r>
          </w:p>
        </w:tc>
      </w:tr>
      <w:tr w:rsidR="006B06DF" w:rsidRPr="005F328D" w:rsidTr="00A017BE">
        <w:trPr>
          <w:cantSplit/>
        </w:trPr>
        <w:tc>
          <w:tcPr>
            <w:tcW w:w="2093" w:type="dxa"/>
            <w:tcBorders>
              <w:top w:val="dotted" w:sz="4" w:space="0" w:color="auto"/>
            </w:tcBorders>
            <w:shd w:val="clear" w:color="auto" w:fill="auto"/>
          </w:tcPr>
          <w:p w:rsidR="006B06DF" w:rsidRPr="005F328D" w:rsidRDefault="006B06DF" w:rsidP="00A017BE">
            <w:pPr>
              <w:pStyle w:val="PPVTableText"/>
            </w:pPr>
            <w:r w:rsidRPr="005F328D">
              <w:t>CBD</w:t>
            </w:r>
          </w:p>
        </w:tc>
        <w:tc>
          <w:tcPr>
            <w:tcW w:w="6673" w:type="dxa"/>
            <w:tcBorders>
              <w:top w:val="dotted" w:sz="4" w:space="0" w:color="auto"/>
            </w:tcBorders>
            <w:shd w:val="clear" w:color="auto" w:fill="auto"/>
          </w:tcPr>
          <w:p w:rsidR="006B06DF" w:rsidRPr="005F328D" w:rsidRDefault="006B06DF" w:rsidP="00A017BE">
            <w:pPr>
              <w:pStyle w:val="PPVTableText"/>
            </w:pPr>
            <w:r w:rsidRPr="005F328D">
              <w:t>Central Business District</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CCZ</w:t>
            </w:r>
          </w:p>
        </w:tc>
        <w:tc>
          <w:tcPr>
            <w:tcW w:w="6673" w:type="dxa"/>
            <w:shd w:val="clear" w:color="auto" w:fill="auto"/>
          </w:tcPr>
          <w:p w:rsidR="006B06DF" w:rsidRPr="005F328D" w:rsidRDefault="006B06DF" w:rsidP="00A017BE">
            <w:pPr>
              <w:pStyle w:val="PPVTableText"/>
            </w:pPr>
            <w:r w:rsidRPr="005F328D">
              <w:t>Capital City Zone</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D</w:t>
            </w:r>
          </w:p>
        </w:tc>
        <w:tc>
          <w:tcPr>
            <w:tcW w:w="6673" w:type="dxa"/>
            <w:shd w:val="clear" w:color="auto" w:fill="auto"/>
          </w:tcPr>
          <w:p w:rsidR="006B06DF" w:rsidRPr="005F328D" w:rsidRDefault="006B06DF" w:rsidP="00A017BE">
            <w:pPr>
              <w:pStyle w:val="PPVTableText"/>
            </w:pPr>
            <w:r w:rsidRPr="005F328D">
              <w:t>Document number</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DCP</w:t>
            </w:r>
          </w:p>
        </w:tc>
        <w:tc>
          <w:tcPr>
            <w:tcW w:w="6673" w:type="dxa"/>
            <w:shd w:val="clear" w:color="auto" w:fill="auto"/>
          </w:tcPr>
          <w:p w:rsidR="006B06DF" w:rsidRPr="005F328D" w:rsidRDefault="006B06DF" w:rsidP="00A017BE">
            <w:pPr>
              <w:pStyle w:val="PPVTableText"/>
            </w:pPr>
            <w:r w:rsidRPr="005F328D">
              <w:t>Development Contribution Plan</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DCPO</w:t>
            </w:r>
          </w:p>
        </w:tc>
        <w:tc>
          <w:tcPr>
            <w:tcW w:w="6673" w:type="dxa"/>
            <w:shd w:val="clear" w:color="auto" w:fill="auto"/>
          </w:tcPr>
          <w:p w:rsidR="006B06DF" w:rsidRPr="005F328D" w:rsidRDefault="006B06DF" w:rsidP="00A017BE">
            <w:pPr>
              <w:pStyle w:val="PPVTableText"/>
            </w:pPr>
            <w:r w:rsidRPr="005F328D">
              <w:t>Develop</w:t>
            </w:r>
            <w:r w:rsidR="00350ED7">
              <w:t>ment Contributions Plan Overlay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DDO</w:t>
            </w:r>
          </w:p>
        </w:tc>
        <w:tc>
          <w:tcPr>
            <w:tcW w:w="6673" w:type="dxa"/>
            <w:shd w:val="clear" w:color="auto" w:fill="auto"/>
          </w:tcPr>
          <w:p w:rsidR="006B06DF" w:rsidRPr="005F328D" w:rsidRDefault="006B06DF" w:rsidP="00A017BE">
            <w:pPr>
              <w:pStyle w:val="PPVTableText"/>
            </w:pPr>
            <w:r w:rsidRPr="005F328D">
              <w:t>Design and Development Overlay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DELWP</w:t>
            </w:r>
          </w:p>
        </w:tc>
        <w:tc>
          <w:tcPr>
            <w:tcW w:w="6673" w:type="dxa"/>
            <w:shd w:val="clear" w:color="auto" w:fill="auto"/>
          </w:tcPr>
          <w:p w:rsidR="006B06DF" w:rsidRPr="005F328D" w:rsidRDefault="006B06DF" w:rsidP="00A017BE">
            <w:pPr>
              <w:pStyle w:val="PPVTableText"/>
            </w:pPr>
            <w:r w:rsidRPr="005F328D">
              <w:t>Department of Enviro</w:t>
            </w:r>
            <w:r w:rsidR="00350ED7">
              <w:t>nment, Land, Water and Planning</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DPO</w:t>
            </w:r>
          </w:p>
        </w:tc>
        <w:tc>
          <w:tcPr>
            <w:tcW w:w="6673" w:type="dxa"/>
            <w:shd w:val="clear" w:color="auto" w:fill="auto"/>
          </w:tcPr>
          <w:p w:rsidR="006B06DF" w:rsidRPr="005F328D" w:rsidRDefault="006B06DF" w:rsidP="00A017BE">
            <w:pPr>
              <w:pStyle w:val="PPVTableText"/>
            </w:pPr>
            <w:r w:rsidRPr="005F328D">
              <w:t>Development Plan Overlay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draft Amendment</w:t>
            </w:r>
          </w:p>
        </w:tc>
        <w:tc>
          <w:tcPr>
            <w:tcW w:w="6673" w:type="dxa"/>
            <w:shd w:val="clear" w:color="auto" w:fill="auto"/>
          </w:tcPr>
          <w:p w:rsidR="006B06DF" w:rsidRPr="005F328D" w:rsidRDefault="006B06DF" w:rsidP="00A017BE">
            <w:pPr>
              <w:pStyle w:val="PPVTableText"/>
            </w:pPr>
            <w:r w:rsidRPr="005F328D">
              <w:t>draft Planning Scheme Amendment GC81</w:t>
            </w:r>
          </w:p>
        </w:tc>
      </w:tr>
      <w:tr w:rsidR="006B06DF" w:rsidRPr="005F328D" w:rsidTr="00A017BE">
        <w:trPr>
          <w:cantSplit/>
        </w:trPr>
        <w:tc>
          <w:tcPr>
            <w:tcW w:w="2093" w:type="dxa"/>
            <w:shd w:val="clear" w:color="auto" w:fill="auto"/>
          </w:tcPr>
          <w:p w:rsidR="006B06DF" w:rsidRPr="005F328D" w:rsidRDefault="006B06DF" w:rsidP="00A017BE">
            <w:pPr>
              <w:pStyle w:val="PPVTableText"/>
            </w:pPr>
            <w:r>
              <w:t>d</w:t>
            </w:r>
            <w:r w:rsidRPr="005F328D">
              <w:t>raft Framework</w:t>
            </w:r>
          </w:p>
        </w:tc>
        <w:tc>
          <w:tcPr>
            <w:tcW w:w="6673" w:type="dxa"/>
            <w:shd w:val="clear" w:color="auto" w:fill="auto"/>
          </w:tcPr>
          <w:p w:rsidR="006B06DF" w:rsidRPr="005F328D" w:rsidRDefault="006B06DF" w:rsidP="00A017BE">
            <w:pPr>
              <w:pStyle w:val="PPVTableText"/>
            </w:pPr>
            <w:r>
              <w:t>d</w:t>
            </w:r>
            <w:r w:rsidR="00350ED7">
              <w:t>raft Fishermans Bend Framework</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EAO</w:t>
            </w:r>
          </w:p>
        </w:tc>
        <w:tc>
          <w:tcPr>
            <w:tcW w:w="6673" w:type="dxa"/>
            <w:shd w:val="clear" w:color="auto" w:fill="auto"/>
          </w:tcPr>
          <w:p w:rsidR="006B06DF" w:rsidRPr="005F328D" w:rsidRDefault="006B06DF" w:rsidP="00A017BE">
            <w:pPr>
              <w:pStyle w:val="PPVTableText"/>
            </w:pPr>
            <w:r w:rsidRPr="005F328D">
              <w:t>Environmental Audit Overlay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EPA</w:t>
            </w:r>
          </w:p>
        </w:tc>
        <w:tc>
          <w:tcPr>
            <w:tcW w:w="6673" w:type="dxa"/>
            <w:shd w:val="clear" w:color="auto" w:fill="auto"/>
          </w:tcPr>
          <w:p w:rsidR="006B06DF" w:rsidRPr="005F328D" w:rsidRDefault="006B06DF" w:rsidP="00A017BE">
            <w:pPr>
              <w:pStyle w:val="PPVTableText"/>
            </w:pPr>
            <w:r w:rsidRPr="005F328D">
              <w:t>Environment Protection Authority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ESD</w:t>
            </w:r>
          </w:p>
        </w:tc>
        <w:tc>
          <w:tcPr>
            <w:tcW w:w="6673" w:type="dxa"/>
            <w:shd w:val="clear" w:color="auto" w:fill="auto"/>
          </w:tcPr>
          <w:p w:rsidR="006B06DF" w:rsidRPr="005F328D" w:rsidRDefault="006B06DF" w:rsidP="00A017BE">
            <w:pPr>
              <w:pStyle w:val="PPVTableText"/>
            </w:pPr>
            <w:r w:rsidRPr="005F328D">
              <w:t>Environmentally sustainable design</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FAR</w:t>
            </w:r>
          </w:p>
        </w:tc>
        <w:tc>
          <w:tcPr>
            <w:tcW w:w="6673" w:type="dxa"/>
            <w:shd w:val="clear" w:color="auto" w:fill="auto"/>
          </w:tcPr>
          <w:p w:rsidR="006B06DF" w:rsidRPr="005F328D" w:rsidRDefault="006B06DF" w:rsidP="00A017BE">
            <w:pPr>
              <w:pStyle w:val="PPVTableText"/>
            </w:pPr>
            <w:r w:rsidRPr="005F328D">
              <w:t>Floor Area Ratio</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FAU</w:t>
            </w:r>
          </w:p>
        </w:tc>
        <w:tc>
          <w:tcPr>
            <w:tcW w:w="6673" w:type="dxa"/>
            <w:shd w:val="clear" w:color="auto" w:fill="auto"/>
          </w:tcPr>
          <w:p w:rsidR="006B06DF" w:rsidRPr="005F328D" w:rsidRDefault="006B06DF" w:rsidP="00A017BE">
            <w:pPr>
              <w:pStyle w:val="PPVTableText"/>
            </w:pPr>
            <w:r w:rsidRPr="005F328D">
              <w:t>Floor Area Uplift</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FAU note</w:t>
            </w:r>
          </w:p>
        </w:tc>
        <w:tc>
          <w:tcPr>
            <w:tcW w:w="6673" w:type="dxa"/>
            <w:shd w:val="clear" w:color="auto" w:fill="auto"/>
          </w:tcPr>
          <w:p w:rsidR="006B06DF" w:rsidRPr="005F328D" w:rsidRDefault="006B06DF" w:rsidP="00A017BE">
            <w:pPr>
              <w:pStyle w:val="PPVTableText"/>
            </w:pPr>
            <w:r w:rsidRPr="005F328D">
              <w:t xml:space="preserve">Document titled </w:t>
            </w:r>
            <w:r w:rsidRPr="00025134">
              <w:rPr>
                <w:i/>
              </w:rPr>
              <w:t>How to calculate floor area uplifts and public benefits in Fishermans Bend</w:t>
            </w:r>
            <w:r w:rsidRPr="005F328D">
              <w:t>, exhibited with the draft Amendment</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GFA</w:t>
            </w:r>
          </w:p>
        </w:tc>
        <w:tc>
          <w:tcPr>
            <w:tcW w:w="6673" w:type="dxa"/>
            <w:shd w:val="clear" w:color="auto" w:fill="auto"/>
          </w:tcPr>
          <w:p w:rsidR="006B06DF" w:rsidRPr="005F328D" w:rsidRDefault="006B06DF" w:rsidP="00A017BE">
            <w:pPr>
              <w:pStyle w:val="PPVTableText"/>
            </w:pPr>
            <w:r w:rsidRPr="005F328D">
              <w:t>Gross Floor Area</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GIS</w:t>
            </w:r>
          </w:p>
        </w:tc>
        <w:tc>
          <w:tcPr>
            <w:tcW w:w="6673" w:type="dxa"/>
            <w:shd w:val="clear" w:color="auto" w:fill="auto"/>
          </w:tcPr>
          <w:p w:rsidR="006B06DF" w:rsidRPr="005F328D" w:rsidRDefault="006B06DF" w:rsidP="00A017BE">
            <w:pPr>
              <w:pStyle w:val="PPVTableText"/>
            </w:pPr>
            <w:r w:rsidRPr="005F328D">
              <w:t>Geographic information system</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ICO</w:t>
            </w:r>
          </w:p>
        </w:tc>
        <w:tc>
          <w:tcPr>
            <w:tcW w:w="6673" w:type="dxa"/>
            <w:shd w:val="clear" w:color="auto" w:fill="auto"/>
          </w:tcPr>
          <w:p w:rsidR="006B06DF" w:rsidRPr="005F328D" w:rsidRDefault="006B06DF" w:rsidP="00A017BE">
            <w:pPr>
              <w:pStyle w:val="PPVTableText"/>
            </w:pPr>
            <w:r w:rsidRPr="005F328D">
              <w:t>Incorporated Contributions Overlay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ICP</w:t>
            </w:r>
          </w:p>
        </w:tc>
        <w:tc>
          <w:tcPr>
            <w:tcW w:w="6673" w:type="dxa"/>
            <w:shd w:val="clear" w:color="auto" w:fill="auto"/>
          </w:tcPr>
          <w:p w:rsidR="006B06DF" w:rsidRPr="005F328D" w:rsidRDefault="006B06DF" w:rsidP="00A017BE">
            <w:pPr>
              <w:pStyle w:val="PPVTableText"/>
            </w:pPr>
            <w:r w:rsidRPr="005F328D">
              <w:t>Infrastructure Contribution Plan</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ICPO</w:t>
            </w:r>
          </w:p>
        </w:tc>
        <w:tc>
          <w:tcPr>
            <w:tcW w:w="6673" w:type="dxa"/>
            <w:shd w:val="clear" w:color="auto" w:fill="auto"/>
          </w:tcPr>
          <w:p w:rsidR="006B06DF" w:rsidRPr="005F328D" w:rsidRDefault="006B06DF" w:rsidP="00A017BE">
            <w:pPr>
              <w:pStyle w:val="PPVTableText"/>
            </w:pPr>
            <w:r w:rsidRPr="005F328D">
              <w:t>Infrastructure Contribution Plan Overlay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LACA</w:t>
            </w:r>
          </w:p>
        </w:tc>
        <w:tc>
          <w:tcPr>
            <w:tcW w:w="6673" w:type="dxa"/>
            <w:shd w:val="clear" w:color="auto" w:fill="auto"/>
          </w:tcPr>
          <w:p w:rsidR="006B06DF" w:rsidRPr="005F328D" w:rsidRDefault="006B06DF" w:rsidP="00A017BE">
            <w:pPr>
              <w:pStyle w:val="PPVTableText"/>
            </w:pPr>
            <w:r w:rsidRPr="005F328D">
              <w:t>L</w:t>
            </w:r>
            <w:r w:rsidRPr="001C77B5">
              <w:rPr>
                <w:i/>
              </w:rPr>
              <w:t>and Acquisition and Compensation Act 1986</w:t>
            </w:r>
            <w:r w:rsidRPr="005F328D">
              <w:t xml:space="preserve"> (Victoria)</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LPP</w:t>
            </w:r>
          </w:p>
        </w:tc>
        <w:tc>
          <w:tcPr>
            <w:tcW w:w="6673" w:type="dxa"/>
            <w:shd w:val="clear" w:color="auto" w:fill="auto"/>
          </w:tcPr>
          <w:p w:rsidR="006B06DF" w:rsidRPr="005F328D" w:rsidRDefault="006B06DF" w:rsidP="00A017BE">
            <w:pPr>
              <w:pStyle w:val="PPVTableText"/>
            </w:pPr>
            <w:r w:rsidRPr="005F328D">
              <w:t>Local Planning Policy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LPPF</w:t>
            </w:r>
          </w:p>
        </w:tc>
        <w:tc>
          <w:tcPr>
            <w:tcW w:w="6673" w:type="dxa"/>
            <w:shd w:val="clear" w:color="auto" w:fill="auto"/>
          </w:tcPr>
          <w:p w:rsidR="006B06DF" w:rsidRPr="005F328D" w:rsidRDefault="006B06DF" w:rsidP="00A017BE">
            <w:pPr>
              <w:pStyle w:val="PPVTableText"/>
            </w:pPr>
            <w:r w:rsidRPr="005F328D">
              <w:t>Local Planning Policy Framework</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MAC</w:t>
            </w:r>
          </w:p>
        </w:tc>
        <w:tc>
          <w:tcPr>
            <w:tcW w:w="6673" w:type="dxa"/>
            <w:shd w:val="clear" w:color="auto" w:fill="auto"/>
          </w:tcPr>
          <w:p w:rsidR="006B06DF" w:rsidRPr="005F328D" w:rsidRDefault="006B06DF" w:rsidP="00A017BE">
            <w:pPr>
              <w:pStyle w:val="PPVTableText"/>
            </w:pPr>
            <w:r w:rsidRPr="005F328D">
              <w:t>Ministerial Advisory Committee</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Minister</w:t>
            </w:r>
          </w:p>
        </w:tc>
        <w:tc>
          <w:tcPr>
            <w:tcW w:w="6673" w:type="dxa"/>
            <w:shd w:val="clear" w:color="auto" w:fill="auto"/>
          </w:tcPr>
          <w:p w:rsidR="006B06DF" w:rsidRPr="005F328D" w:rsidRDefault="006B06DF" w:rsidP="00A017BE">
            <w:pPr>
              <w:pStyle w:val="PPVTableText"/>
            </w:pPr>
            <w:r w:rsidRPr="005F328D">
              <w:t>Minister for Planning</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MPS</w:t>
            </w:r>
          </w:p>
        </w:tc>
        <w:tc>
          <w:tcPr>
            <w:tcW w:w="6673" w:type="dxa"/>
            <w:shd w:val="clear" w:color="auto" w:fill="auto"/>
          </w:tcPr>
          <w:p w:rsidR="006B06DF" w:rsidRPr="005F328D" w:rsidRDefault="006B06DF" w:rsidP="00A017BE">
            <w:pPr>
              <w:pStyle w:val="PPVTableText"/>
            </w:pPr>
            <w:r w:rsidRPr="005F328D">
              <w:t>Melbourne Planning Scheme</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MSS</w:t>
            </w:r>
          </w:p>
        </w:tc>
        <w:tc>
          <w:tcPr>
            <w:tcW w:w="6673" w:type="dxa"/>
            <w:shd w:val="clear" w:color="auto" w:fill="auto"/>
          </w:tcPr>
          <w:p w:rsidR="006B06DF" w:rsidRPr="005F328D" w:rsidRDefault="006B06DF" w:rsidP="00A017BE">
            <w:pPr>
              <w:pStyle w:val="PPVTableText"/>
            </w:pPr>
            <w:r w:rsidRPr="005F328D">
              <w:t>Municipal Strategic Statement</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MWRRG</w:t>
            </w:r>
          </w:p>
        </w:tc>
        <w:tc>
          <w:tcPr>
            <w:tcW w:w="6673" w:type="dxa"/>
            <w:shd w:val="clear" w:color="auto" w:fill="auto"/>
          </w:tcPr>
          <w:p w:rsidR="006B06DF" w:rsidRPr="005F328D" w:rsidRDefault="006B06DF" w:rsidP="00A017BE">
            <w:pPr>
              <w:pStyle w:val="PPVTableText"/>
            </w:pPr>
            <w:r w:rsidRPr="005F328D">
              <w:t>Metropolitan Waste and Resources Recovery Group</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PAO</w:t>
            </w:r>
          </w:p>
        </w:tc>
        <w:tc>
          <w:tcPr>
            <w:tcW w:w="6673" w:type="dxa"/>
            <w:shd w:val="clear" w:color="auto" w:fill="auto"/>
          </w:tcPr>
          <w:p w:rsidR="006B06DF" w:rsidRPr="005F328D" w:rsidRDefault="006B06DF" w:rsidP="00A017BE">
            <w:pPr>
              <w:pStyle w:val="PPVTableText"/>
            </w:pPr>
            <w:r w:rsidRPr="005F328D">
              <w:t>Public Acquisition Overlay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346B0A">
              <w:rPr>
                <w:i/>
              </w:rPr>
              <w:t>Plan Melbourne</w:t>
            </w:r>
          </w:p>
        </w:tc>
        <w:tc>
          <w:tcPr>
            <w:tcW w:w="6673" w:type="dxa"/>
            <w:shd w:val="clear" w:color="auto" w:fill="auto"/>
          </w:tcPr>
          <w:p w:rsidR="006B06DF" w:rsidRPr="00346B0A" w:rsidRDefault="006B06DF" w:rsidP="00A017BE">
            <w:pPr>
              <w:pStyle w:val="PPVTableText"/>
              <w:rPr>
                <w:i/>
              </w:rPr>
            </w:pPr>
            <w:r w:rsidRPr="00346B0A">
              <w:rPr>
                <w:i/>
              </w:rPr>
              <w:t>Plan Melbourne 2017–2050</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PPN</w:t>
            </w:r>
          </w:p>
        </w:tc>
        <w:tc>
          <w:tcPr>
            <w:tcW w:w="6673" w:type="dxa"/>
            <w:shd w:val="clear" w:color="auto" w:fill="auto"/>
          </w:tcPr>
          <w:p w:rsidR="006B06DF" w:rsidRPr="005F328D" w:rsidRDefault="006B06DF" w:rsidP="00A017BE">
            <w:pPr>
              <w:pStyle w:val="PPVTableText"/>
            </w:pPr>
            <w:r w:rsidRPr="005F328D">
              <w:t>Planning Practice Note</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lastRenderedPageBreak/>
              <w:t>PPPS</w:t>
            </w:r>
          </w:p>
        </w:tc>
        <w:tc>
          <w:tcPr>
            <w:tcW w:w="6673" w:type="dxa"/>
            <w:shd w:val="clear" w:color="auto" w:fill="auto"/>
          </w:tcPr>
          <w:p w:rsidR="006B06DF" w:rsidRPr="005F328D" w:rsidRDefault="006B06DF" w:rsidP="00A017BE">
            <w:pPr>
              <w:pStyle w:val="PPVTableText"/>
            </w:pPr>
            <w:r w:rsidRPr="005F328D">
              <w:t>Port Phillip Planning Scheme</w:t>
            </w:r>
          </w:p>
        </w:tc>
      </w:tr>
      <w:tr w:rsidR="006B06DF" w:rsidRPr="005F328D" w:rsidTr="00A017BE">
        <w:trPr>
          <w:cantSplit/>
        </w:trPr>
        <w:tc>
          <w:tcPr>
            <w:tcW w:w="2093" w:type="dxa"/>
            <w:shd w:val="clear" w:color="auto" w:fill="auto"/>
          </w:tcPr>
          <w:p w:rsidR="006B06DF" w:rsidRPr="005F328D" w:rsidRDefault="00350ED7" w:rsidP="00A017BE">
            <w:pPr>
              <w:pStyle w:val="PPVTableText"/>
            </w:pPr>
            <w:r>
              <w:t>PPV</w:t>
            </w:r>
          </w:p>
        </w:tc>
        <w:tc>
          <w:tcPr>
            <w:tcW w:w="6673" w:type="dxa"/>
            <w:shd w:val="clear" w:color="auto" w:fill="auto"/>
          </w:tcPr>
          <w:p w:rsidR="006B06DF" w:rsidRPr="005F328D" w:rsidRDefault="006B06DF" w:rsidP="00A017BE">
            <w:pPr>
              <w:pStyle w:val="PPVTableText"/>
            </w:pPr>
            <w:r w:rsidRPr="005F328D">
              <w:t>Planning Panels Victoria</w:t>
            </w:r>
          </w:p>
        </w:tc>
      </w:tr>
      <w:tr w:rsidR="00933421" w:rsidRPr="005F328D" w:rsidTr="00A017BE">
        <w:trPr>
          <w:cantSplit/>
        </w:trPr>
        <w:tc>
          <w:tcPr>
            <w:tcW w:w="2093" w:type="dxa"/>
            <w:shd w:val="clear" w:color="auto" w:fill="auto"/>
          </w:tcPr>
          <w:p w:rsidR="00933421" w:rsidRPr="005F328D" w:rsidRDefault="00933421" w:rsidP="00A017BE">
            <w:pPr>
              <w:pStyle w:val="PPVTableText"/>
            </w:pPr>
            <w:r>
              <w:t>Precinct</w:t>
            </w:r>
          </w:p>
        </w:tc>
        <w:tc>
          <w:tcPr>
            <w:tcW w:w="6673" w:type="dxa"/>
            <w:shd w:val="clear" w:color="auto" w:fill="auto"/>
          </w:tcPr>
          <w:p w:rsidR="00933421" w:rsidRPr="005F328D" w:rsidRDefault="00933421" w:rsidP="00A017BE">
            <w:pPr>
              <w:pStyle w:val="PPVTableText"/>
            </w:pPr>
            <w:r>
              <w:t>The defined precincts in Fishermans Bend</w:t>
            </w:r>
          </w:p>
        </w:tc>
      </w:tr>
      <w:tr w:rsidR="00933421" w:rsidRPr="005F328D" w:rsidTr="00A017BE">
        <w:trPr>
          <w:cantSplit/>
        </w:trPr>
        <w:tc>
          <w:tcPr>
            <w:tcW w:w="2093" w:type="dxa"/>
            <w:shd w:val="clear" w:color="auto" w:fill="auto"/>
          </w:tcPr>
          <w:p w:rsidR="00933421" w:rsidRDefault="00933421" w:rsidP="00A017BE">
            <w:pPr>
              <w:pStyle w:val="PPVTableText"/>
            </w:pPr>
            <w:r>
              <w:t xml:space="preserve">Precinct </w:t>
            </w:r>
            <w:r w:rsidR="008C3707">
              <w:t>P</w:t>
            </w:r>
            <w:r>
              <w:t>lan</w:t>
            </w:r>
          </w:p>
        </w:tc>
        <w:tc>
          <w:tcPr>
            <w:tcW w:w="6673" w:type="dxa"/>
            <w:shd w:val="clear" w:color="auto" w:fill="auto"/>
          </w:tcPr>
          <w:p w:rsidR="00933421" w:rsidRDefault="00933421" w:rsidP="00A017BE">
            <w:pPr>
              <w:pStyle w:val="PPVTableText"/>
            </w:pPr>
            <w:r>
              <w:t>Work to be undertaken to settle on a structure plan for each Precinct</w:t>
            </w:r>
          </w:p>
        </w:tc>
      </w:tr>
      <w:tr w:rsidR="00C1243D" w:rsidRPr="005F328D" w:rsidTr="00A017BE">
        <w:trPr>
          <w:cantSplit/>
        </w:trPr>
        <w:tc>
          <w:tcPr>
            <w:tcW w:w="2093" w:type="dxa"/>
            <w:shd w:val="clear" w:color="auto" w:fill="auto"/>
          </w:tcPr>
          <w:p w:rsidR="00C1243D" w:rsidRPr="005F328D" w:rsidRDefault="00C1243D" w:rsidP="00A017BE">
            <w:pPr>
              <w:pStyle w:val="PPVTableText"/>
            </w:pPr>
            <w:r>
              <w:t>s</w:t>
            </w:r>
          </w:p>
        </w:tc>
        <w:tc>
          <w:tcPr>
            <w:tcW w:w="6673" w:type="dxa"/>
            <w:shd w:val="clear" w:color="auto" w:fill="auto"/>
          </w:tcPr>
          <w:p w:rsidR="00C1243D" w:rsidRPr="005F328D" w:rsidRDefault="00C1243D" w:rsidP="00A017BE">
            <w:pPr>
              <w:pStyle w:val="PPVTableText"/>
            </w:pPr>
            <w:r>
              <w:t>Section (of an Act)</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S</w:t>
            </w:r>
          </w:p>
        </w:tc>
        <w:tc>
          <w:tcPr>
            <w:tcW w:w="6673" w:type="dxa"/>
            <w:shd w:val="clear" w:color="auto" w:fill="auto"/>
          </w:tcPr>
          <w:p w:rsidR="006B06DF" w:rsidRPr="005F328D" w:rsidRDefault="006B06DF" w:rsidP="00A017BE">
            <w:pPr>
              <w:pStyle w:val="PPVTableText"/>
            </w:pPr>
            <w:r w:rsidRPr="005F328D">
              <w:t>Submission number</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SIN</w:t>
            </w:r>
          </w:p>
        </w:tc>
        <w:tc>
          <w:tcPr>
            <w:tcW w:w="6673" w:type="dxa"/>
            <w:shd w:val="clear" w:color="auto" w:fill="auto"/>
          </w:tcPr>
          <w:p w:rsidR="006B06DF" w:rsidRPr="005F328D" w:rsidRDefault="006B06DF" w:rsidP="00A017BE">
            <w:pPr>
              <w:pStyle w:val="PPVTableText"/>
            </w:pPr>
            <w:r w:rsidRPr="005F328D">
              <w:t>Supplementary Information Note</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SPPF</w:t>
            </w:r>
          </w:p>
        </w:tc>
        <w:tc>
          <w:tcPr>
            <w:tcW w:w="6673" w:type="dxa"/>
            <w:shd w:val="clear" w:color="auto" w:fill="auto"/>
          </w:tcPr>
          <w:p w:rsidR="006B06DF" w:rsidRPr="005F328D" w:rsidRDefault="006B06DF" w:rsidP="00A017BE">
            <w:pPr>
              <w:pStyle w:val="PPVTableText"/>
            </w:pPr>
            <w:r w:rsidRPr="005F328D">
              <w:t>State Planning Policy Framework</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TEU</w:t>
            </w:r>
          </w:p>
        </w:tc>
        <w:tc>
          <w:tcPr>
            <w:tcW w:w="6673" w:type="dxa"/>
            <w:shd w:val="clear" w:color="auto" w:fill="auto"/>
          </w:tcPr>
          <w:p w:rsidR="006B06DF" w:rsidRPr="005F328D" w:rsidRDefault="00C1243D" w:rsidP="00A017BE">
            <w:pPr>
              <w:pStyle w:val="PPVTableText"/>
            </w:pPr>
            <w:r>
              <w:t>Twenty-</w:t>
            </w:r>
            <w:r w:rsidR="006B06DF" w:rsidRPr="005F328D">
              <w:t>foot Equivalent Units</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TfV</w:t>
            </w:r>
          </w:p>
        </w:tc>
        <w:tc>
          <w:tcPr>
            <w:tcW w:w="6673" w:type="dxa"/>
            <w:shd w:val="clear" w:color="auto" w:fill="auto"/>
          </w:tcPr>
          <w:p w:rsidR="006B06DF" w:rsidRPr="005F328D" w:rsidRDefault="006B06DF" w:rsidP="00A017BE">
            <w:pPr>
              <w:pStyle w:val="PPVTableText"/>
            </w:pPr>
            <w:r w:rsidRPr="005F328D">
              <w:t>Transport for Victoria</w:t>
            </w:r>
          </w:p>
        </w:tc>
      </w:tr>
      <w:tr w:rsidR="006B06DF" w:rsidRPr="005F328D" w:rsidTr="00A017BE">
        <w:trPr>
          <w:cantSplit/>
        </w:trPr>
        <w:tc>
          <w:tcPr>
            <w:tcW w:w="2093" w:type="dxa"/>
            <w:shd w:val="clear" w:color="auto" w:fill="auto"/>
          </w:tcPr>
          <w:p w:rsidR="006B06DF" w:rsidRPr="005F328D" w:rsidRDefault="00C1243D" w:rsidP="00A017BE">
            <w:pPr>
              <w:pStyle w:val="PPVTableText"/>
            </w:pPr>
            <w:r>
              <w:t>t</w:t>
            </w:r>
            <w:r w:rsidR="006B06DF" w:rsidRPr="005F328D">
              <w:t>he Act</w:t>
            </w:r>
          </w:p>
        </w:tc>
        <w:tc>
          <w:tcPr>
            <w:tcW w:w="6673" w:type="dxa"/>
            <w:shd w:val="clear" w:color="auto" w:fill="auto"/>
          </w:tcPr>
          <w:p w:rsidR="006B06DF" w:rsidRPr="005F328D" w:rsidRDefault="006B06DF" w:rsidP="00A017BE">
            <w:pPr>
              <w:pStyle w:val="PPVTableText"/>
            </w:pPr>
            <w:r w:rsidRPr="001C77B5">
              <w:rPr>
                <w:i/>
              </w:rPr>
              <w:t>Planning and Environment Act 1987</w:t>
            </w:r>
            <w:r w:rsidRPr="005F328D">
              <w:t xml:space="preserve"> (Victoria)</w:t>
            </w:r>
          </w:p>
        </w:tc>
      </w:tr>
      <w:tr w:rsidR="006B06DF" w:rsidRPr="005F328D" w:rsidTr="00A017BE">
        <w:trPr>
          <w:cantSplit/>
        </w:trPr>
        <w:tc>
          <w:tcPr>
            <w:tcW w:w="2093" w:type="dxa"/>
            <w:shd w:val="clear" w:color="auto" w:fill="auto"/>
          </w:tcPr>
          <w:p w:rsidR="006B06DF" w:rsidRPr="005F328D" w:rsidRDefault="00C1243D" w:rsidP="00A017BE">
            <w:pPr>
              <w:pStyle w:val="PPVTableText"/>
            </w:pPr>
            <w:r>
              <w:t>t</w:t>
            </w:r>
            <w:r w:rsidR="006B06DF" w:rsidRPr="005F328D">
              <w:t>he Review Panel</w:t>
            </w:r>
          </w:p>
        </w:tc>
        <w:tc>
          <w:tcPr>
            <w:tcW w:w="6673" w:type="dxa"/>
            <w:shd w:val="clear" w:color="auto" w:fill="auto"/>
          </w:tcPr>
          <w:p w:rsidR="006B06DF" w:rsidRPr="005F328D" w:rsidRDefault="006B06DF" w:rsidP="00A017BE">
            <w:pPr>
              <w:pStyle w:val="PPVTableText"/>
            </w:pPr>
            <w:r w:rsidRPr="005F328D">
              <w:t>Fishermans Bend Planning Review Panel</w:t>
            </w:r>
          </w:p>
        </w:tc>
      </w:tr>
      <w:tr w:rsidR="006B06DF" w:rsidRPr="005F328D" w:rsidTr="00A017BE">
        <w:trPr>
          <w:cantSplit/>
        </w:trPr>
        <w:tc>
          <w:tcPr>
            <w:tcW w:w="2093" w:type="dxa"/>
            <w:shd w:val="clear" w:color="auto" w:fill="auto"/>
          </w:tcPr>
          <w:p w:rsidR="006B06DF" w:rsidRPr="005F328D" w:rsidRDefault="00C1243D" w:rsidP="00A017BE">
            <w:pPr>
              <w:pStyle w:val="PPVTableText"/>
            </w:pPr>
            <w:r>
              <w:t>t</w:t>
            </w:r>
            <w:r w:rsidR="006B06DF" w:rsidRPr="005F328D">
              <w:t>he Taskforce</w:t>
            </w:r>
          </w:p>
        </w:tc>
        <w:tc>
          <w:tcPr>
            <w:tcW w:w="6673" w:type="dxa"/>
            <w:shd w:val="clear" w:color="auto" w:fill="auto"/>
          </w:tcPr>
          <w:p w:rsidR="006B06DF" w:rsidRPr="005F328D" w:rsidRDefault="006B06DF" w:rsidP="00A017BE">
            <w:pPr>
              <w:pStyle w:val="PPVTableText"/>
            </w:pPr>
            <w:r w:rsidRPr="005F328D">
              <w:t>Fishermans Bend Taskforce</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VCAT</w:t>
            </w:r>
          </w:p>
        </w:tc>
        <w:tc>
          <w:tcPr>
            <w:tcW w:w="6673" w:type="dxa"/>
            <w:shd w:val="clear" w:color="auto" w:fill="auto"/>
          </w:tcPr>
          <w:p w:rsidR="006B06DF" w:rsidRPr="005F328D" w:rsidRDefault="006B06DF" w:rsidP="00A017BE">
            <w:pPr>
              <w:pStyle w:val="PPVTableText"/>
            </w:pPr>
            <w:r w:rsidRPr="005F328D">
              <w:t>Victorian Civil and Administrative Tribunal</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Vision</w:t>
            </w:r>
          </w:p>
        </w:tc>
        <w:tc>
          <w:tcPr>
            <w:tcW w:w="6673" w:type="dxa"/>
            <w:shd w:val="clear" w:color="auto" w:fill="auto"/>
          </w:tcPr>
          <w:p w:rsidR="006B06DF" w:rsidRPr="005F328D" w:rsidRDefault="006B06DF" w:rsidP="00A017BE">
            <w:pPr>
              <w:pStyle w:val="PPVTableText"/>
            </w:pPr>
            <w:r w:rsidRPr="005F328D">
              <w:t>Fishermans Bend Vision (September 2016)</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VPA</w:t>
            </w:r>
          </w:p>
        </w:tc>
        <w:tc>
          <w:tcPr>
            <w:tcW w:w="6673" w:type="dxa"/>
            <w:shd w:val="clear" w:color="auto" w:fill="auto"/>
          </w:tcPr>
          <w:p w:rsidR="006B06DF" w:rsidRPr="005F328D" w:rsidRDefault="006B06DF" w:rsidP="00A017BE">
            <w:pPr>
              <w:pStyle w:val="PPVTableText"/>
            </w:pPr>
            <w:r w:rsidRPr="005F328D">
              <w:t>Victorian Planning Authority</w:t>
            </w:r>
          </w:p>
        </w:tc>
      </w:tr>
      <w:tr w:rsidR="006B06DF" w:rsidRPr="005F328D" w:rsidTr="00A017BE">
        <w:trPr>
          <w:cantSplit/>
        </w:trPr>
        <w:tc>
          <w:tcPr>
            <w:tcW w:w="2093" w:type="dxa"/>
            <w:shd w:val="clear" w:color="auto" w:fill="auto"/>
          </w:tcPr>
          <w:p w:rsidR="006B06DF" w:rsidRPr="005F328D" w:rsidRDefault="006B06DF" w:rsidP="00A017BE">
            <w:pPr>
              <w:pStyle w:val="PPVTableText"/>
            </w:pPr>
            <w:r w:rsidRPr="005F328D">
              <w:t>VPP</w:t>
            </w:r>
          </w:p>
        </w:tc>
        <w:tc>
          <w:tcPr>
            <w:tcW w:w="6673" w:type="dxa"/>
            <w:shd w:val="clear" w:color="auto" w:fill="auto"/>
          </w:tcPr>
          <w:p w:rsidR="006B06DF" w:rsidRPr="005F328D" w:rsidRDefault="006B06DF" w:rsidP="00A017BE">
            <w:pPr>
              <w:pStyle w:val="PPVTableText"/>
            </w:pPr>
            <w:r w:rsidRPr="005F328D">
              <w:t>Victoria Planning Provisions</w:t>
            </w:r>
          </w:p>
        </w:tc>
      </w:tr>
    </w:tbl>
    <w:p w:rsidR="006B7FA2" w:rsidRPr="00431492" w:rsidRDefault="006B7FA2" w:rsidP="000C5DD2">
      <w:pPr>
        <w:pStyle w:val="PPVBody"/>
        <w:rPr>
          <w:rFonts w:asciiTheme="minorHAnsi" w:hAnsiTheme="minorHAnsi"/>
        </w:rPr>
      </w:pPr>
      <w:r w:rsidRPr="00431492">
        <w:rPr>
          <w:rFonts w:asciiTheme="minorHAnsi" w:hAnsiTheme="minorHAnsi"/>
        </w:rPr>
        <w:br w:type="page"/>
      </w:r>
    </w:p>
    <w:p w:rsidR="00245F42" w:rsidRPr="00A90F8A" w:rsidRDefault="00245F42" w:rsidP="000C5DD2">
      <w:pPr>
        <w:pStyle w:val="PPVBody"/>
        <w:rPr>
          <w:rFonts w:asciiTheme="minorHAnsi" w:hAnsiTheme="minorHAnsi"/>
        </w:rPr>
        <w:sectPr w:rsidR="00245F42" w:rsidRPr="00A90F8A" w:rsidSect="00454572">
          <w:headerReference w:type="default" r:id="rId22"/>
          <w:footerReference w:type="default" r:id="rId23"/>
          <w:pgSz w:w="11906" w:h="16838"/>
          <w:pgMar w:top="1701" w:right="1418" w:bottom="1134" w:left="1418" w:header="720" w:footer="448" w:gutter="0"/>
          <w:pgNumType w:fmt="lowerRoman" w:start="1"/>
          <w:cols w:space="708"/>
          <w:docGrid w:linePitch="360"/>
        </w:sectPr>
      </w:pPr>
    </w:p>
    <w:bookmarkEnd w:id="8"/>
    <w:bookmarkEnd w:id="9"/>
    <w:p w:rsidR="00EE461B" w:rsidRDefault="00F3421A" w:rsidP="00DD6314">
      <w:pPr>
        <w:pStyle w:val="PPVAppendixHeading2"/>
        <w:ind w:left="0" w:firstLine="0"/>
      </w:pPr>
      <w:r w:rsidRPr="00A90F8A">
        <w:lastRenderedPageBreak/>
        <w:t>Executive s</w:t>
      </w:r>
      <w:r w:rsidR="00BF45DA" w:rsidRPr="00A90F8A">
        <w:t>ummary</w:t>
      </w:r>
    </w:p>
    <w:p w:rsidR="00374E11" w:rsidRDefault="007F4086" w:rsidP="00186075">
      <w:pPr>
        <w:pStyle w:val="Heading4"/>
        <w:rPr>
          <w:rFonts w:asciiTheme="minorHAnsi" w:hAnsiTheme="minorHAnsi"/>
        </w:rPr>
      </w:pPr>
      <w:r>
        <w:rPr>
          <w:rFonts w:asciiTheme="minorHAnsi" w:hAnsiTheme="minorHAnsi"/>
        </w:rPr>
        <w:t xml:space="preserve">Review Panel </w:t>
      </w:r>
      <w:r w:rsidR="003634D6">
        <w:rPr>
          <w:rFonts w:asciiTheme="minorHAnsi" w:hAnsiTheme="minorHAnsi"/>
        </w:rPr>
        <w:t>summary</w:t>
      </w:r>
    </w:p>
    <w:p w:rsidR="00013A1C" w:rsidRPr="00013A1C" w:rsidRDefault="00013A1C" w:rsidP="00993842">
      <w:pPr>
        <w:pStyle w:val="Heading5"/>
      </w:pPr>
      <w:r w:rsidRPr="00013A1C">
        <w:t>Background</w:t>
      </w:r>
    </w:p>
    <w:p w:rsidR="000A5990" w:rsidRDefault="00CC27DD" w:rsidP="00947781">
      <w:pPr>
        <w:rPr>
          <w:rFonts w:asciiTheme="minorHAnsi" w:hAnsiTheme="minorHAnsi"/>
        </w:rPr>
      </w:pPr>
      <w:r>
        <w:rPr>
          <w:rFonts w:asciiTheme="minorHAnsi" w:hAnsiTheme="minorHAnsi"/>
        </w:rPr>
        <w:t xml:space="preserve">The renewal of </w:t>
      </w:r>
      <w:r w:rsidR="00C166F2" w:rsidRPr="00A90F8A">
        <w:rPr>
          <w:rFonts w:asciiTheme="minorHAnsi" w:hAnsiTheme="minorHAnsi"/>
        </w:rPr>
        <w:t xml:space="preserve">Fishermans Bend is a bold and ambitious project for </w:t>
      </w:r>
      <w:r w:rsidR="00A03DD2" w:rsidRPr="00A90F8A">
        <w:rPr>
          <w:rFonts w:asciiTheme="minorHAnsi" w:hAnsiTheme="minorHAnsi"/>
        </w:rPr>
        <w:t>Victoria</w:t>
      </w:r>
      <w:r w:rsidR="00C166F2" w:rsidRPr="00A90F8A">
        <w:rPr>
          <w:rFonts w:asciiTheme="minorHAnsi" w:hAnsiTheme="minorHAnsi"/>
        </w:rPr>
        <w:t xml:space="preserve">.  Its delivery will require coordinated action </w:t>
      </w:r>
      <w:r w:rsidR="00257E46">
        <w:rPr>
          <w:rFonts w:asciiTheme="minorHAnsi" w:hAnsiTheme="minorHAnsi"/>
        </w:rPr>
        <w:t>and proactive partnership between State G</w:t>
      </w:r>
      <w:r w:rsidR="00C166F2" w:rsidRPr="00A90F8A">
        <w:rPr>
          <w:rFonts w:asciiTheme="minorHAnsi" w:hAnsiTheme="minorHAnsi"/>
        </w:rPr>
        <w:t xml:space="preserve">overnment, </w:t>
      </w:r>
      <w:r w:rsidR="00576336">
        <w:rPr>
          <w:rFonts w:asciiTheme="minorHAnsi" w:hAnsiTheme="minorHAnsi"/>
        </w:rPr>
        <w:t>C</w:t>
      </w:r>
      <w:r w:rsidR="00C166F2" w:rsidRPr="00A90F8A">
        <w:rPr>
          <w:rFonts w:asciiTheme="minorHAnsi" w:hAnsiTheme="minorHAnsi"/>
        </w:rPr>
        <w:t>ouncils, private developers and the community.  The proposed planning controls are one component of delivering this project.</w:t>
      </w:r>
    </w:p>
    <w:p w:rsidR="00B57642" w:rsidRDefault="00B57642" w:rsidP="00B57642">
      <w:pPr>
        <w:pStyle w:val="PPVBody"/>
        <w:rPr>
          <w:rFonts w:asciiTheme="minorHAnsi" w:hAnsiTheme="minorHAnsi"/>
        </w:rPr>
      </w:pPr>
      <w:r>
        <w:rPr>
          <w:rFonts w:asciiTheme="minorHAnsi" w:hAnsiTheme="minorHAnsi"/>
        </w:rPr>
        <w:t xml:space="preserve">Fishermans Bend </w:t>
      </w:r>
      <w:r w:rsidRPr="00D666FE">
        <w:rPr>
          <w:rFonts w:asciiTheme="minorHAnsi" w:hAnsiTheme="minorHAnsi"/>
        </w:rPr>
        <w:t>has had a short</w:t>
      </w:r>
      <w:r>
        <w:rPr>
          <w:rFonts w:asciiTheme="minorHAnsi" w:hAnsiTheme="minorHAnsi"/>
        </w:rPr>
        <w:t xml:space="preserve"> but detailed planning history.  </w:t>
      </w:r>
      <w:r w:rsidR="000124BB">
        <w:rPr>
          <w:rFonts w:asciiTheme="minorHAnsi" w:hAnsiTheme="minorHAnsi"/>
        </w:rPr>
        <w:t xml:space="preserve">The Lorimer, Montague, Sandridge and Wirraway Precincts were rezoned to Capital City Zone by the (former) Minister in July 2012, at around the same time that he declared </w:t>
      </w:r>
      <w:r w:rsidRPr="00D666FE">
        <w:rPr>
          <w:rFonts w:asciiTheme="minorHAnsi" w:hAnsiTheme="minorHAnsi"/>
        </w:rPr>
        <w:t>Fishermans Bend a ‘Project of State Significance</w:t>
      </w:r>
      <w:r w:rsidR="00363FB4">
        <w:rPr>
          <w:rFonts w:asciiTheme="minorHAnsi" w:hAnsiTheme="minorHAnsi"/>
        </w:rPr>
        <w:t>’</w:t>
      </w:r>
      <w:r w:rsidR="000124BB">
        <w:rPr>
          <w:rFonts w:asciiTheme="minorHAnsi" w:hAnsiTheme="minorHAnsi"/>
        </w:rPr>
        <w:t xml:space="preserve"> under Part 9A of the </w:t>
      </w:r>
      <w:r w:rsidR="000124BB" w:rsidRPr="00CD1B37">
        <w:rPr>
          <w:rFonts w:asciiTheme="minorHAnsi" w:hAnsiTheme="minorHAnsi"/>
          <w:i/>
        </w:rPr>
        <w:t>Planning and Environment Act</w:t>
      </w:r>
      <w:r w:rsidR="000124BB">
        <w:rPr>
          <w:rFonts w:asciiTheme="minorHAnsi" w:hAnsiTheme="minorHAnsi"/>
        </w:rPr>
        <w:t xml:space="preserve"> </w:t>
      </w:r>
      <w:r w:rsidR="000124BB" w:rsidRPr="00CD1B37">
        <w:rPr>
          <w:rFonts w:asciiTheme="minorHAnsi" w:hAnsiTheme="minorHAnsi"/>
          <w:i/>
        </w:rPr>
        <w:t>1987</w:t>
      </w:r>
      <w:r w:rsidR="000124BB">
        <w:rPr>
          <w:rFonts w:asciiTheme="minorHAnsi" w:hAnsiTheme="minorHAnsi"/>
        </w:rPr>
        <w:t xml:space="preserve">.  It is widely recognised that insufficient </w:t>
      </w:r>
      <w:r>
        <w:rPr>
          <w:rFonts w:asciiTheme="minorHAnsi" w:hAnsiTheme="minorHAnsi"/>
        </w:rPr>
        <w:t xml:space="preserve">background strategic work </w:t>
      </w:r>
      <w:r w:rsidR="000124BB">
        <w:rPr>
          <w:rFonts w:asciiTheme="minorHAnsi" w:hAnsiTheme="minorHAnsi"/>
        </w:rPr>
        <w:t>had been undertaken prior to the rezoning</w:t>
      </w:r>
      <w:r>
        <w:rPr>
          <w:rFonts w:asciiTheme="minorHAnsi" w:hAnsiTheme="minorHAnsi"/>
        </w:rPr>
        <w:t xml:space="preserve">.  This has resulted in some problems, and the Review Panel accepts that there is a need to put Fishermans Bend </w:t>
      </w:r>
      <w:r w:rsidR="006E4CD4">
        <w:rPr>
          <w:rFonts w:asciiTheme="minorHAnsi" w:hAnsiTheme="minorHAnsi"/>
        </w:rPr>
        <w:t>‘</w:t>
      </w:r>
      <w:r>
        <w:rPr>
          <w:rFonts w:asciiTheme="minorHAnsi" w:hAnsiTheme="minorHAnsi"/>
        </w:rPr>
        <w:t>back on track</w:t>
      </w:r>
      <w:r w:rsidR="006E4CD4">
        <w:rPr>
          <w:rFonts w:asciiTheme="minorHAnsi" w:hAnsiTheme="minorHAnsi"/>
        </w:rPr>
        <w:t>’</w:t>
      </w:r>
      <w:r>
        <w:rPr>
          <w:rFonts w:asciiTheme="minorHAnsi" w:hAnsiTheme="minorHAnsi"/>
        </w:rPr>
        <w:t xml:space="preserve"> by putting </w:t>
      </w:r>
      <w:r w:rsidR="000124BB">
        <w:rPr>
          <w:rFonts w:asciiTheme="minorHAnsi" w:hAnsiTheme="minorHAnsi"/>
        </w:rPr>
        <w:t xml:space="preserve">in place </w:t>
      </w:r>
      <w:r>
        <w:rPr>
          <w:rFonts w:asciiTheme="minorHAnsi" w:hAnsiTheme="minorHAnsi"/>
        </w:rPr>
        <w:t>a clear strategic framework, matched with appropriate controls</w:t>
      </w:r>
      <w:r w:rsidR="008E065F">
        <w:rPr>
          <w:rFonts w:asciiTheme="minorHAnsi" w:hAnsiTheme="minorHAnsi"/>
        </w:rPr>
        <w:t>, to support the transition of Fishermans Bend from an industrial precinct to a high density mixed use precinct</w:t>
      </w:r>
      <w:r>
        <w:rPr>
          <w:rFonts w:asciiTheme="minorHAnsi" w:hAnsiTheme="minorHAnsi"/>
        </w:rPr>
        <w:t>.</w:t>
      </w:r>
    </w:p>
    <w:p w:rsidR="00374E11" w:rsidRDefault="006A64B4" w:rsidP="006A64B4">
      <w:pPr>
        <w:pStyle w:val="PPVBody"/>
        <w:rPr>
          <w:rFonts w:asciiTheme="minorHAnsi" w:hAnsiTheme="minorHAnsi"/>
        </w:rPr>
      </w:pPr>
      <w:r w:rsidRPr="00A90F8A">
        <w:rPr>
          <w:rFonts w:asciiTheme="minorHAnsi" w:hAnsiTheme="minorHAnsi"/>
        </w:rPr>
        <w:t xml:space="preserve">The Fishermans Bend Vision was prepared by the </w:t>
      </w:r>
      <w:r w:rsidR="00257E46">
        <w:rPr>
          <w:rFonts w:asciiTheme="minorHAnsi" w:hAnsiTheme="minorHAnsi"/>
        </w:rPr>
        <w:t xml:space="preserve">Fishermans Bend </w:t>
      </w:r>
      <w:r w:rsidRPr="00A90F8A">
        <w:rPr>
          <w:rFonts w:asciiTheme="minorHAnsi" w:hAnsiTheme="minorHAnsi"/>
        </w:rPr>
        <w:t xml:space="preserve">Taskforce and released in September 2016.  </w:t>
      </w:r>
      <w:r>
        <w:rPr>
          <w:rFonts w:asciiTheme="minorHAnsi" w:hAnsiTheme="minorHAnsi"/>
        </w:rPr>
        <w:t>The Vision</w:t>
      </w:r>
      <w:r w:rsidRPr="00A90F8A">
        <w:rPr>
          <w:rFonts w:asciiTheme="minorHAnsi" w:hAnsiTheme="minorHAnsi"/>
        </w:rPr>
        <w:t xml:space="preserve"> set</w:t>
      </w:r>
      <w:r>
        <w:rPr>
          <w:rFonts w:asciiTheme="minorHAnsi" w:hAnsiTheme="minorHAnsi"/>
        </w:rPr>
        <w:t>s</w:t>
      </w:r>
      <w:r w:rsidRPr="00A90F8A">
        <w:rPr>
          <w:rFonts w:asciiTheme="minorHAnsi" w:hAnsiTheme="minorHAnsi"/>
        </w:rPr>
        <w:t xml:space="preserve"> out </w:t>
      </w:r>
      <w:r>
        <w:rPr>
          <w:rFonts w:asciiTheme="minorHAnsi" w:hAnsiTheme="minorHAnsi"/>
        </w:rPr>
        <w:t>that</w:t>
      </w:r>
      <w:r w:rsidRPr="00A90F8A">
        <w:rPr>
          <w:rFonts w:asciiTheme="minorHAnsi" w:hAnsiTheme="minorHAnsi"/>
        </w:rPr>
        <w:t xml:space="preserve"> Fishermans Bend </w:t>
      </w:r>
      <w:r>
        <w:rPr>
          <w:rFonts w:asciiTheme="minorHAnsi" w:hAnsiTheme="minorHAnsi"/>
        </w:rPr>
        <w:t>will</w:t>
      </w:r>
      <w:r w:rsidRPr="00A90F8A">
        <w:rPr>
          <w:rFonts w:asciiTheme="minorHAnsi" w:hAnsiTheme="minorHAnsi"/>
        </w:rPr>
        <w:t xml:space="preserve"> evolve from a predominately industrial area to a high quality, high density, walkable</w:t>
      </w:r>
      <w:r w:rsidR="00E97CA8">
        <w:rPr>
          <w:rFonts w:asciiTheme="minorHAnsi" w:hAnsiTheme="minorHAnsi"/>
        </w:rPr>
        <w:t>,</w:t>
      </w:r>
      <w:r w:rsidR="00453EB3">
        <w:rPr>
          <w:rFonts w:asciiTheme="minorHAnsi" w:hAnsiTheme="minorHAnsi"/>
        </w:rPr>
        <w:t xml:space="preserve"> mixed use urban renewal area</w:t>
      </w:r>
      <w:r w:rsidRPr="00A90F8A">
        <w:rPr>
          <w:rFonts w:asciiTheme="minorHAnsi" w:hAnsiTheme="minorHAnsi"/>
        </w:rPr>
        <w:t xml:space="preserve"> </w:t>
      </w:r>
      <w:r w:rsidR="003634D6">
        <w:rPr>
          <w:rFonts w:asciiTheme="minorHAnsi" w:hAnsiTheme="minorHAnsi"/>
        </w:rPr>
        <w:t>that</w:t>
      </w:r>
      <w:r w:rsidRPr="00A90F8A">
        <w:rPr>
          <w:rFonts w:asciiTheme="minorHAnsi" w:hAnsiTheme="minorHAnsi"/>
        </w:rPr>
        <w:t xml:space="preserve"> provides a world</w:t>
      </w:r>
      <w:r w:rsidR="007C1417">
        <w:rPr>
          <w:rFonts w:asciiTheme="minorHAnsi" w:hAnsiTheme="minorHAnsi"/>
        </w:rPr>
        <w:t xml:space="preserve"> </w:t>
      </w:r>
      <w:r w:rsidRPr="00A90F8A">
        <w:rPr>
          <w:rFonts w:asciiTheme="minorHAnsi" w:hAnsiTheme="minorHAnsi"/>
        </w:rPr>
        <w:t>class location for technology, education and research jobs.</w:t>
      </w:r>
      <w:r w:rsidR="003634D6">
        <w:rPr>
          <w:rFonts w:asciiTheme="minorHAnsi" w:hAnsiTheme="minorHAnsi"/>
        </w:rPr>
        <w:t xml:space="preserve">  </w:t>
      </w:r>
      <w:r w:rsidR="008D5B1C">
        <w:rPr>
          <w:rFonts w:asciiTheme="minorHAnsi" w:hAnsiTheme="minorHAnsi"/>
        </w:rPr>
        <w:t xml:space="preserve">The draft Framework was released for consultation in 2017, followed by a draft Amendment to facilitate </w:t>
      </w:r>
      <w:r w:rsidR="00257E46">
        <w:rPr>
          <w:rFonts w:asciiTheme="minorHAnsi" w:hAnsiTheme="minorHAnsi"/>
        </w:rPr>
        <w:t xml:space="preserve">and implement </w:t>
      </w:r>
      <w:r w:rsidR="008D5B1C">
        <w:rPr>
          <w:rFonts w:asciiTheme="minorHAnsi" w:hAnsiTheme="minorHAnsi"/>
        </w:rPr>
        <w:t xml:space="preserve">the Vision and </w:t>
      </w:r>
      <w:r w:rsidR="002F63B1">
        <w:rPr>
          <w:rFonts w:asciiTheme="minorHAnsi" w:hAnsiTheme="minorHAnsi"/>
        </w:rPr>
        <w:t>long</w:t>
      </w:r>
      <w:r w:rsidR="00165DB1">
        <w:rPr>
          <w:rFonts w:asciiTheme="minorHAnsi" w:hAnsiTheme="minorHAnsi"/>
        </w:rPr>
        <w:t>-</w:t>
      </w:r>
      <w:r w:rsidR="002F63B1">
        <w:rPr>
          <w:rFonts w:asciiTheme="minorHAnsi" w:hAnsiTheme="minorHAnsi"/>
        </w:rPr>
        <w:t>term strategic plan for the development of Fishermans Bend to 2050.</w:t>
      </w:r>
    </w:p>
    <w:p w:rsidR="008D5B1C" w:rsidRDefault="00257E46" w:rsidP="006A64B4">
      <w:pPr>
        <w:pStyle w:val="PPVBody"/>
        <w:rPr>
          <w:rFonts w:asciiTheme="minorHAnsi" w:hAnsiTheme="minorHAnsi"/>
        </w:rPr>
      </w:pPr>
      <w:r>
        <w:rPr>
          <w:rFonts w:asciiTheme="minorHAnsi" w:hAnsiTheme="minorHAnsi"/>
        </w:rPr>
        <w:t>The Minister for Planning appointed the Fishermans Bend Planning Review Panel (the Review Panel) to consider submissions made to the public</w:t>
      </w:r>
      <w:r w:rsidR="000B5766">
        <w:rPr>
          <w:rFonts w:asciiTheme="minorHAnsi" w:hAnsiTheme="minorHAnsi"/>
        </w:rPr>
        <w:t>ly exhibited</w:t>
      </w:r>
      <w:r>
        <w:rPr>
          <w:rFonts w:asciiTheme="minorHAnsi" w:hAnsiTheme="minorHAnsi"/>
        </w:rPr>
        <w:t xml:space="preserve"> </w:t>
      </w:r>
      <w:r w:rsidR="000B5766">
        <w:rPr>
          <w:rFonts w:asciiTheme="minorHAnsi" w:hAnsiTheme="minorHAnsi"/>
        </w:rPr>
        <w:t>draft Framework and draft Amendment</w:t>
      </w:r>
      <w:r>
        <w:rPr>
          <w:rFonts w:asciiTheme="minorHAnsi" w:hAnsiTheme="minorHAnsi"/>
        </w:rPr>
        <w:t>, hold a public Hearing and provide advice on the planning controls to realise the Vision and implement the draft Framework.</w:t>
      </w:r>
    </w:p>
    <w:p w:rsidR="000B5766" w:rsidRDefault="000B5766" w:rsidP="000B5766">
      <w:pPr>
        <w:pStyle w:val="PPVBody"/>
      </w:pPr>
      <w:r>
        <w:t>This is a milestone in a long and iterative process to refine and co</w:t>
      </w:r>
      <w:r w:rsidR="00453EB3">
        <w:t>ntinue</w:t>
      </w:r>
      <w:r>
        <w:t xml:space="preserve"> the strategic planning for Fishermans Bend.  There is significant work to be undertaken and resolved, much of which needs to occur with robust third party involvement and engagement.</w:t>
      </w:r>
    </w:p>
    <w:p w:rsidR="00785416" w:rsidRDefault="00013A1C" w:rsidP="00993842">
      <w:pPr>
        <w:pStyle w:val="Heading5"/>
      </w:pPr>
      <w:r w:rsidRPr="00013A1C">
        <w:t>Engagement</w:t>
      </w:r>
    </w:p>
    <w:p w:rsidR="00257E46" w:rsidRPr="00A90F8A" w:rsidRDefault="00257E46" w:rsidP="006A64B4">
      <w:pPr>
        <w:pStyle w:val="PPVBody"/>
        <w:rPr>
          <w:rFonts w:asciiTheme="minorHAnsi" w:hAnsiTheme="minorHAnsi"/>
        </w:rPr>
      </w:pPr>
      <w:r>
        <w:rPr>
          <w:rFonts w:asciiTheme="minorHAnsi" w:hAnsiTheme="minorHAnsi"/>
        </w:rPr>
        <w:t xml:space="preserve">The Review Panel convened an extensive and inclusive hearing process, it considered all submissions and supporting evidence and </w:t>
      </w:r>
      <w:r w:rsidR="002F63B1">
        <w:rPr>
          <w:rFonts w:asciiTheme="minorHAnsi" w:hAnsiTheme="minorHAnsi"/>
        </w:rPr>
        <w:t xml:space="preserve">it </w:t>
      </w:r>
      <w:r>
        <w:rPr>
          <w:rFonts w:asciiTheme="minorHAnsi" w:hAnsiTheme="minorHAnsi"/>
        </w:rPr>
        <w:t>reviewed the planning controls.</w:t>
      </w:r>
    </w:p>
    <w:p w:rsidR="00785416" w:rsidRDefault="002F63B1" w:rsidP="006016A4">
      <w:pPr>
        <w:pStyle w:val="PPVBody"/>
      </w:pPr>
      <w:r>
        <w:t>The Review Panel</w:t>
      </w:r>
      <w:r w:rsidR="006016A4">
        <w:t xml:space="preserve"> </w:t>
      </w:r>
      <w:r>
        <w:t>commends the</w:t>
      </w:r>
      <w:r w:rsidR="006016A4">
        <w:t xml:space="preserve"> significant involvement by the </w:t>
      </w:r>
      <w:r w:rsidR="00960BCF">
        <w:t>Taskforce</w:t>
      </w:r>
      <w:r w:rsidR="00257E46">
        <w:t>, the Cities of Melbourne and Port Phillip</w:t>
      </w:r>
      <w:r w:rsidR="006016A4">
        <w:t xml:space="preserve">, </w:t>
      </w:r>
      <w:r w:rsidR="0079402A">
        <w:t>g</w:t>
      </w:r>
      <w:r w:rsidR="006016A4">
        <w:t>overnment agencies, neighbouring communities through community groups and local residents, and others with an interest in the urban renewal area.</w:t>
      </w:r>
    </w:p>
    <w:p w:rsidR="00785416" w:rsidRDefault="000B5766" w:rsidP="000B5766">
      <w:pPr>
        <w:pStyle w:val="PPVBody"/>
      </w:pPr>
      <w:r>
        <w:t xml:space="preserve">It was put to the Review Panel that there was active engagement of all relevant parties in development of the draft Framework and draft Amendment.  While it is clear that the Councils, </w:t>
      </w:r>
      <w:r w:rsidR="0079402A">
        <w:t>g</w:t>
      </w:r>
      <w:r>
        <w:t>overnment agencies and community groups were actively engaged, the active involvement of landholders within Fishermans Bend is less clear.</w:t>
      </w:r>
    </w:p>
    <w:p w:rsidR="006016A4" w:rsidRDefault="006016A4" w:rsidP="006016A4">
      <w:pPr>
        <w:pStyle w:val="PPVBody"/>
      </w:pPr>
      <w:r>
        <w:lastRenderedPageBreak/>
        <w:t>It would appear that the focus on engagement was about how Fishermans Bend should look by 2050, who its community should be, and how will it function as a key part of inner metropolitan Melbourne.</w:t>
      </w:r>
    </w:p>
    <w:p w:rsidR="00785416" w:rsidRDefault="000B5766" w:rsidP="000B5766">
      <w:pPr>
        <w:pStyle w:val="PPVBody"/>
      </w:pPr>
      <w:r>
        <w:t xml:space="preserve">This is admirable and there is little wrong with that.  However, such scenario building must </w:t>
      </w:r>
      <w:r w:rsidR="00453EB3">
        <w:t xml:space="preserve">also </w:t>
      </w:r>
      <w:r>
        <w:t>include the very people who own the land to make it happen.  It appeared to the Review Panel that the Taskforce did not fully appreciate the critical role of landholders in contributing to development of Fishermans Bend.  Without capital investment and a willingness to develop land, little will happen.  The Review Panel appreciates the visionary aspect of planning for Fishermans Bend, but those putting in the land and capital to make it happen must be part of the journey, in conjunction with the State Government, Councils, agencies and adjacent communities.</w:t>
      </w:r>
    </w:p>
    <w:p w:rsidR="006016A4" w:rsidRDefault="006016A4" w:rsidP="006016A4">
      <w:pPr>
        <w:pStyle w:val="PPVBody"/>
      </w:pPr>
      <w:r>
        <w:t xml:space="preserve">The Review Panel was advised that approximately 200 residents currently live in Fishermans Bend.  </w:t>
      </w:r>
      <w:r w:rsidR="00453EB3">
        <w:t xml:space="preserve">Current population projections </w:t>
      </w:r>
      <w:r w:rsidR="006E4CD4">
        <w:t xml:space="preserve">(as provided for in the Vision) </w:t>
      </w:r>
      <w:r w:rsidR="00453EB3">
        <w:t>anticipate in the order of</w:t>
      </w:r>
      <w:r>
        <w:t xml:space="preserve"> 80,000</w:t>
      </w:r>
      <w:r w:rsidR="003634D6">
        <w:t xml:space="preserve"> </w:t>
      </w:r>
      <w:r w:rsidR="00453EB3">
        <w:t xml:space="preserve">residents </w:t>
      </w:r>
      <w:r w:rsidR="000B5766">
        <w:t>by 2050.  They</w:t>
      </w:r>
      <w:r>
        <w:t xml:space="preserve"> will need to have access to a range of social and physical infrastructure, including public transport, shops, parks, schools, </w:t>
      </w:r>
      <w:r w:rsidR="00257E46">
        <w:t xml:space="preserve">retail and business services, </w:t>
      </w:r>
      <w:r w:rsidR="00816801">
        <w:t xml:space="preserve">community services and jobs. </w:t>
      </w:r>
      <w:r w:rsidR="002F63B1">
        <w:t xml:space="preserve"> To make this happen, s</w:t>
      </w:r>
      <w:r>
        <w:t>ignificant investment by developers who are prepared to input into Fisherma</w:t>
      </w:r>
      <w:r w:rsidR="002F63B1">
        <w:t>ns Bend needs to occur.</w:t>
      </w:r>
    </w:p>
    <w:p w:rsidR="00013A1C" w:rsidRPr="00013A1C" w:rsidRDefault="00013A1C" w:rsidP="00993842">
      <w:pPr>
        <w:pStyle w:val="Heading5"/>
      </w:pPr>
      <w:r w:rsidRPr="00013A1C">
        <w:t>Planning controls</w:t>
      </w:r>
    </w:p>
    <w:p w:rsidR="006016A4" w:rsidRDefault="006016A4" w:rsidP="006016A4">
      <w:pPr>
        <w:pStyle w:val="PPVBody"/>
      </w:pPr>
      <w:r>
        <w:t xml:space="preserve">This current planning process has been difficult and somewhat frustrating.  </w:t>
      </w:r>
      <w:r w:rsidR="000B5766">
        <w:t xml:space="preserve">The exhibited draft Amendment was </w:t>
      </w:r>
      <w:r>
        <w:t>poorly conceived and complex.  In a time whe</w:t>
      </w:r>
      <w:r w:rsidR="008A576B">
        <w:t>n</w:t>
      </w:r>
      <w:r>
        <w:t xml:space="preserve"> planning is proposed to be simplified and easier to use, the </w:t>
      </w:r>
      <w:r w:rsidR="00453EB3">
        <w:t xml:space="preserve">Review Panel found the </w:t>
      </w:r>
      <w:r>
        <w:t>set of controls to deliver Fishermans Bend convol</w:t>
      </w:r>
      <w:r w:rsidR="00257E46">
        <w:t xml:space="preserve">uted and difficult to navigate.  </w:t>
      </w:r>
      <w:r>
        <w:t xml:space="preserve">The Review Panel questions how a planner assessing an application could </w:t>
      </w:r>
      <w:r w:rsidR="000B5766">
        <w:t>apply the exhibited controls</w:t>
      </w:r>
      <w:r>
        <w:t xml:space="preserve"> in a coherent manner.</w:t>
      </w:r>
    </w:p>
    <w:p w:rsidR="006016A4" w:rsidRDefault="00257E46" w:rsidP="006016A4">
      <w:pPr>
        <w:pStyle w:val="PPVBody"/>
      </w:pPr>
      <w:r>
        <w:t>The Review Panel was provided with the exhibition version of the planning controls, a Part A version at the commencement of the Hearing, revised Part B version, and a comprehensively revised Part C version</w:t>
      </w:r>
      <w:r w:rsidR="00453EB3">
        <w:t xml:space="preserve"> on 14 May 2018</w:t>
      </w:r>
      <w:r>
        <w:t>.</w:t>
      </w:r>
      <w:r w:rsidR="003634D6">
        <w:t xml:space="preserve">  </w:t>
      </w:r>
      <w:r w:rsidR="002F63B1">
        <w:t>The revised</w:t>
      </w:r>
      <w:r>
        <w:t xml:space="preserve"> Part C </w:t>
      </w:r>
      <w:r w:rsidR="002F63B1">
        <w:t>controls were</w:t>
      </w:r>
      <w:r w:rsidR="006016A4">
        <w:t xml:space="preserve"> quite different to th</w:t>
      </w:r>
      <w:r w:rsidR="000B5766">
        <w:t xml:space="preserve">e </w:t>
      </w:r>
      <w:r w:rsidR="006016A4">
        <w:t>exhibited</w:t>
      </w:r>
      <w:r w:rsidR="000B5766">
        <w:t xml:space="preserve"> controls</w:t>
      </w:r>
      <w:r w:rsidR="00F94E08">
        <w:t>, and were presented late in the Hearing</w:t>
      </w:r>
      <w:r w:rsidR="006016A4">
        <w:t xml:space="preserve">.  </w:t>
      </w:r>
      <w:r w:rsidR="000124BB">
        <w:t xml:space="preserve">The Review Panel did the best it could to ensure that affected parties had the opportunity to respond to the </w:t>
      </w:r>
      <w:r w:rsidR="00F94E08">
        <w:t xml:space="preserve">Part C controls, including convening </w:t>
      </w:r>
      <w:r w:rsidR="006E4CD4">
        <w:t xml:space="preserve">a </w:t>
      </w:r>
      <w:r w:rsidR="00F94E08">
        <w:t>drafting workshop, and two extra days (after a month long break) for submissions on the Part C controls.  However</w:t>
      </w:r>
      <w:r w:rsidR="00A90D8B">
        <w:t>,</w:t>
      </w:r>
      <w:r w:rsidR="00F94E08">
        <w:t xml:space="preserve"> some parties remained of the view that they had been given insufficient opportunity to properly consider the Part C controls and their impacts</w:t>
      </w:r>
      <w:r w:rsidR="00350ED7">
        <w:t xml:space="preserve">.  </w:t>
      </w:r>
      <w:r w:rsidR="006016A4" w:rsidRPr="008E065F">
        <w:t>There were key changes that could be conceived a</w:t>
      </w:r>
      <w:r w:rsidR="00DD1F54" w:rsidRPr="008E065F">
        <w:t>s a transformation.  If this were</w:t>
      </w:r>
      <w:r w:rsidR="006016A4" w:rsidRPr="008E065F">
        <w:t xml:space="preserve"> a </w:t>
      </w:r>
      <w:r w:rsidR="00DD1F54" w:rsidRPr="008E065F">
        <w:t>p</w:t>
      </w:r>
      <w:r w:rsidR="006016A4" w:rsidRPr="008E065F">
        <w:t xml:space="preserve">lanning </w:t>
      </w:r>
      <w:r w:rsidR="00DD1F54" w:rsidRPr="008E065F">
        <w:t>s</w:t>
      </w:r>
      <w:r w:rsidR="006016A4" w:rsidRPr="008E065F">
        <w:t xml:space="preserve">cheme </w:t>
      </w:r>
      <w:r w:rsidR="00DD1F54" w:rsidRPr="008E065F">
        <w:t>a</w:t>
      </w:r>
      <w:r w:rsidR="006016A4" w:rsidRPr="008E065F">
        <w:t xml:space="preserve">mendment exhibited under </w:t>
      </w:r>
      <w:r w:rsidR="00CC27DD" w:rsidRPr="008E065F">
        <w:t>section</w:t>
      </w:r>
      <w:r w:rsidR="00C449B2" w:rsidRPr="008E065F">
        <w:t xml:space="preserve"> </w:t>
      </w:r>
      <w:r w:rsidR="00DD1F54" w:rsidRPr="008E065F">
        <w:t>20</w:t>
      </w:r>
      <w:r w:rsidR="00CC27DD" w:rsidRPr="008E065F">
        <w:t xml:space="preserve"> of the </w:t>
      </w:r>
      <w:r w:rsidR="00CC27DD" w:rsidRPr="008E065F">
        <w:rPr>
          <w:i/>
        </w:rPr>
        <w:t>Planning and Environment Act 1987</w:t>
      </w:r>
      <w:r w:rsidR="006016A4" w:rsidRPr="008E065F">
        <w:t xml:space="preserve"> </w:t>
      </w:r>
      <w:r w:rsidR="00CC27DD" w:rsidRPr="008E065F">
        <w:t xml:space="preserve">(the Act), </w:t>
      </w:r>
      <w:r w:rsidR="000B5766" w:rsidRPr="008E065F">
        <w:t>the Review Panel would likely have recommended it be abandoned</w:t>
      </w:r>
      <w:r w:rsidR="000B5766">
        <w:t>.</w:t>
      </w:r>
    </w:p>
    <w:p w:rsidR="000B5766" w:rsidRDefault="000B5766" w:rsidP="000B5766">
      <w:pPr>
        <w:pStyle w:val="PPVBody"/>
      </w:pPr>
      <w:r>
        <w:t>Both Melbourne and Port Phillip had some involvement with the Taskforce’s development of the draft Framework and draft Amendment.  Despite this, while both Councils supported the high level Vision and draft Framework, both had significant concerns with the structure and workability of planning controls proposed.  These concerns, along with many of the concerns expressed by landholders, had significant merit.</w:t>
      </w:r>
    </w:p>
    <w:p w:rsidR="008F5D1D" w:rsidRDefault="008F5D1D" w:rsidP="008F5D1D">
      <w:pPr>
        <w:pStyle w:val="PPVBody"/>
      </w:pPr>
      <w:r>
        <w:t xml:space="preserve">Given the extent of reviews and studies undertaken and the clear and compelling recommendations of the Fishermans Bend Ministerial Advisory Committee, the Review Panel is surprised at the lack of </w:t>
      </w:r>
      <w:r w:rsidRPr="008F5D1D">
        <w:t>resolution</w:t>
      </w:r>
      <w:r>
        <w:t xml:space="preserve"> in matters such as public transport, funding </w:t>
      </w:r>
      <w:r>
        <w:lastRenderedPageBreak/>
        <w:t>mechanisms, structure planning, location of core retail, flooding and governance through the planning framework and controls.</w:t>
      </w:r>
    </w:p>
    <w:p w:rsidR="006016A4" w:rsidRDefault="006016A4" w:rsidP="006016A4">
      <w:pPr>
        <w:pStyle w:val="PPVBody"/>
      </w:pPr>
      <w:r>
        <w:t xml:space="preserve">As an Advisory Committee under the provisions of s151 of the Act, the Review Panel has a broader remit.  Its Terms of Reference specifically provide that it is to provide advice to the Minister for Planning on the </w:t>
      </w:r>
      <w:r w:rsidR="00BA14A2">
        <w:t xml:space="preserve">appropriateness of proposed </w:t>
      </w:r>
      <w:r>
        <w:t xml:space="preserve">planning </w:t>
      </w:r>
      <w:r w:rsidR="00BA14A2">
        <w:t>scheme amendment GC81</w:t>
      </w:r>
      <w:r w:rsidR="00F94E08">
        <w:t>,</w:t>
      </w:r>
      <w:r w:rsidR="00BA14A2">
        <w:t xml:space="preserve"> including any recommendations for amendments to the proposed controls</w:t>
      </w:r>
      <w:r>
        <w:t>.</w:t>
      </w:r>
    </w:p>
    <w:p w:rsidR="000B5766" w:rsidRDefault="000B5766" w:rsidP="000B5766">
      <w:r>
        <w:t xml:space="preserve">The Review Panel is conscious that inconsistences in the draft Amendment, together with the Review Panel’s findings and recommendations, are likely to lead to changes in the population in Fishermans Bend.  The population could be significantly larger than the 80,000 population target which has been the basis of much of the planning to date.  In an ideal world, much of that planning would be reviewed, to assess the impacts of a larger population.  </w:t>
      </w:r>
      <w:r w:rsidR="008E065F">
        <w:t>However</w:t>
      </w:r>
      <w:r w:rsidR="00A90D8B">
        <w:t>,</w:t>
      </w:r>
      <w:r w:rsidR="008E065F">
        <w:t xml:space="preserve"> t</w:t>
      </w:r>
      <w:r>
        <w:t xml:space="preserve">he history of planning for Fishermans Bend over the last six years, since the initial rezoning was undertaken, has created significant uncertainty which </w:t>
      </w:r>
      <w:r w:rsidR="00F94E08">
        <w:t>should</w:t>
      </w:r>
      <w:r w:rsidR="00BA14A2">
        <w:t xml:space="preserve"> not </w:t>
      </w:r>
      <w:r>
        <w:t>be allowed to continue.</w:t>
      </w:r>
    </w:p>
    <w:p w:rsidR="00785416" w:rsidRDefault="000B5766" w:rsidP="000B5766">
      <w:r>
        <w:t xml:space="preserve">The Review Panel has </w:t>
      </w:r>
      <w:r w:rsidR="00BA14A2">
        <w:t xml:space="preserve">recommended </w:t>
      </w:r>
      <w:r>
        <w:t xml:space="preserve">a substantially revised set of controls that can be implemented immediately.  These revised controls, together with other recommendations and findings the Review Panel has made, can form the basis of the further work that needs to be undertaken, including the preparation of </w:t>
      </w:r>
      <w:r w:rsidR="00FC563B">
        <w:t>Precinct Plans</w:t>
      </w:r>
      <w:r>
        <w:t xml:space="preserve">.  </w:t>
      </w:r>
      <w:r w:rsidR="00F94E08">
        <w:t>T</w:t>
      </w:r>
      <w:r w:rsidR="00BA14A2">
        <w:t xml:space="preserve">his should not be seen as an endorsement </w:t>
      </w:r>
      <w:r w:rsidR="00F94E08">
        <w:t xml:space="preserve">by the Review Panel </w:t>
      </w:r>
      <w:r w:rsidR="00BA14A2">
        <w:t xml:space="preserve">of the approach that was taken.  The Review Panel considers that the better approach would have been to present </w:t>
      </w:r>
      <w:r w:rsidR="00F94E08">
        <w:t xml:space="preserve">the draft Amendment as part of a complete (or at least more complete) </w:t>
      </w:r>
      <w:r w:rsidR="00BA14A2">
        <w:t xml:space="preserve">package, including </w:t>
      </w:r>
      <w:r w:rsidR="00F94E08">
        <w:t xml:space="preserve">(critically) </w:t>
      </w:r>
      <w:r w:rsidR="00BA14A2">
        <w:t xml:space="preserve">infrastructure </w:t>
      </w:r>
      <w:r w:rsidR="00F94E08">
        <w:t xml:space="preserve">and funding </w:t>
      </w:r>
      <w:r w:rsidR="00BA14A2">
        <w:t>plans.</w:t>
      </w:r>
    </w:p>
    <w:p w:rsidR="00013A1C" w:rsidRPr="00013A1C" w:rsidRDefault="00013A1C" w:rsidP="00993842">
      <w:pPr>
        <w:pStyle w:val="Heading5"/>
      </w:pPr>
      <w:r w:rsidRPr="00013A1C">
        <w:t>Floor Area Ratio and Floor Area Uplift</w:t>
      </w:r>
    </w:p>
    <w:p w:rsidR="00785416" w:rsidRDefault="000B5766" w:rsidP="000B5766">
      <w:r>
        <w:t xml:space="preserve">A critical issue in the draft Amendment was the use of a Floor Area Ratio (FAR).  The </w:t>
      </w:r>
      <w:r w:rsidR="00BA14A2">
        <w:t xml:space="preserve">Minister submitted that the </w:t>
      </w:r>
      <w:r>
        <w:t>FAR had multiple purposes, including to ‘eliminate’ the need for compensation when land was set aside for public purposes, to achieve desired and diverse built form outcomes and precinct characters, to limit residential population and density, to secure employment generating uses, and to support a Floor Area Uplift (FAU) scheme to deliver public benefit.</w:t>
      </w:r>
    </w:p>
    <w:p w:rsidR="00785416" w:rsidRDefault="000B5766" w:rsidP="008E065F">
      <w:r>
        <w:t>The Review Panel considers th</w:t>
      </w:r>
      <w:r w:rsidR="00893811">
        <w:t>at a more conventional approach</w:t>
      </w:r>
      <w:r>
        <w:t xml:space="preserve"> such as an Infrastructure (or Development) Contributions Plan and Public Acquisition Overlays, is more appropriate to manage the acquisition of land for public purposes, and the associated compensation of affected landowners.</w:t>
      </w:r>
      <w:r w:rsidRPr="009F7B5D">
        <w:t xml:space="preserve"> </w:t>
      </w:r>
      <w:r>
        <w:t xml:space="preserve"> </w:t>
      </w:r>
      <w:r w:rsidR="00BC5D60">
        <w:t>The s</w:t>
      </w:r>
      <w:r w:rsidR="00BA14A2">
        <w:t>ubmission by the Minister that accompanie</w:t>
      </w:r>
      <w:r w:rsidR="00F94E08">
        <w:t>d</w:t>
      </w:r>
      <w:r w:rsidR="00BA14A2">
        <w:t xml:space="preserve"> t</w:t>
      </w:r>
      <w:r>
        <w:t xml:space="preserve">he Part C version of the draft Amendment recognised this.  </w:t>
      </w:r>
      <w:r w:rsidR="008E065F">
        <w:t xml:space="preserve">No Infrastructure (or Development) Contributions Plan or Public Acquisition Overlays were put before the Review Panel.  The Review Panel’s recommendations that the </w:t>
      </w:r>
      <w:r w:rsidR="006E4CD4">
        <w:t xml:space="preserve">draft </w:t>
      </w:r>
      <w:r w:rsidR="008E065F">
        <w:t xml:space="preserve">Amendment be progressed are made on the understanding that an Infrastructure (or Development) Contributions Plan </w:t>
      </w:r>
      <w:r w:rsidR="00BC5D60">
        <w:t xml:space="preserve">is proposed to </w:t>
      </w:r>
      <w:r w:rsidR="008E065F">
        <w:t xml:space="preserve">be prepared promptly.  Until these mechanisms are in place, </w:t>
      </w:r>
      <w:r w:rsidR="00BA14A2">
        <w:t xml:space="preserve">uncertainty </w:t>
      </w:r>
      <w:r w:rsidR="00087F61">
        <w:t xml:space="preserve">will remain </w:t>
      </w:r>
      <w:r w:rsidR="00BA14A2">
        <w:t xml:space="preserve">as to what land is to be acquired, and </w:t>
      </w:r>
      <w:r w:rsidR="00087F61">
        <w:t xml:space="preserve">the </w:t>
      </w:r>
      <w:r w:rsidR="00BA14A2">
        <w:t>associated acquisition mechanisms.  This may lead to compensation claims, including for ‘planning blight’ under Part 5 of the Act.</w:t>
      </w:r>
    </w:p>
    <w:p w:rsidR="00785416" w:rsidRDefault="000B5766" w:rsidP="000B5766">
      <w:r>
        <w:t xml:space="preserve">In terms of limiting density, there was a mismatch between the FAR derived from the Vision’s 80,000 residential population target and the maximum population possible within the built form envelopes and preferred character typologies of the various Precincts.  The </w:t>
      </w:r>
      <w:r>
        <w:lastRenderedPageBreak/>
        <w:t xml:space="preserve">FAU scheme created the potential for a population significantly larger than 80,000.  The Review Panel considers that using a FAR to limit residential floorspace, instead of limiting the number of dwellings directly, is an unnecessarily complex approach that is likely to have adverse unintended consequences.  The Review Panel has </w:t>
      </w:r>
      <w:r w:rsidR="00BA14A2">
        <w:t xml:space="preserve">recommended </w:t>
      </w:r>
      <w:r>
        <w:t>the approach of limiting dwelling density directly, but has adjusted the proposed density limits to better reflect to preferred character of each Precinct, while recognising the potential of Fishermans Bend to accommodate much needed inner city growth.</w:t>
      </w:r>
    </w:p>
    <w:p w:rsidR="000B5766" w:rsidRDefault="000B5766" w:rsidP="000B5766">
      <w:r>
        <w:t>While the exhibited version of the controls required a minimum FAR for employment generating uses, the Part C version effectively converted the minimum requirement into a capped maximum.  The Review Panel does not support this change, and has recommended an approach more consistent with the exhibited controls.</w:t>
      </w:r>
    </w:p>
    <w:p w:rsidR="000B5766" w:rsidRDefault="000B5766" w:rsidP="000B5766">
      <w:r>
        <w:t>The exhibited controls allowed a FAU for three forms of public benefit – social housing, additional open space and the delivery of community hubs.  In the Part C version, FAU was limited to social housing.  The Review Panel supports the use of an uplift scheme to deliver social housing, but given the changes made in the Part C version, and the further changes recommended by the Review Panel, this scheme would be clearer if it were explicitly named a ‘Social housing uplift’.</w:t>
      </w:r>
    </w:p>
    <w:p w:rsidR="00013A1C" w:rsidRPr="00013A1C" w:rsidRDefault="00013A1C" w:rsidP="00993842">
      <w:pPr>
        <w:pStyle w:val="Heading5"/>
      </w:pPr>
      <w:r>
        <w:t>Going forward</w:t>
      </w:r>
    </w:p>
    <w:p w:rsidR="00785416" w:rsidRDefault="000B5766" w:rsidP="000B5766">
      <w:r>
        <w:t xml:space="preserve">The Review Panel considers that a population the range of </w:t>
      </w:r>
      <w:r w:rsidR="008C663B">
        <w:t>80</w:t>
      </w:r>
      <w:r w:rsidR="00087F61">
        <w:t>,000</w:t>
      </w:r>
      <w:r>
        <w:t xml:space="preserve"> to 120,000 to 2050 is likely to be supportable without major implications for infrastructure decisions in the </w:t>
      </w:r>
      <w:r w:rsidR="00B40278">
        <w:t>short term</w:t>
      </w:r>
      <w:r w:rsidR="00087F61">
        <w:t xml:space="preserve">, for the reasons set out in Chapters </w:t>
      </w:r>
      <w:r w:rsidR="00087F61">
        <w:fldChar w:fldCharType="begin"/>
      </w:r>
      <w:r w:rsidR="00087F61">
        <w:instrText xml:space="preserve"> REF _Ref519685498 \r \h </w:instrText>
      </w:r>
      <w:r w:rsidR="00087F61">
        <w:fldChar w:fldCharType="separate"/>
      </w:r>
      <w:r w:rsidR="00A307EC">
        <w:t>6</w:t>
      </w:r>
      <w:r w:rsidR="00087F61">
        <w:fldChar w:fldCharType="end"/>
      </w:r>
      <w:r w:rsidR="00087F61">
        <w:t xml:space="preserve"> and </w:t>
      </w:r>
      <w:r w:rsidR="00087F61">
        <w:fldChar w:fldCharType="begin"/>
      </w:r>
      <w:r w:rsidR="00087F61">
        <w:instrText xml:space="preserve"> REF _Ref519685506 \r \h </w:instrText>
      </w:r>
      <w:r w:rsidR="00087F61">
        <w:fldChar w:fldCharType="separate"/>
      </w:r>
      <w:r w:rsidR="00A307EC">
        <w:t>7.8</w:t>
      </w:r>
      <w:r w:rsidR="00087F61">
        <w:fldChar w:fldCharType="end"/>
      </w:r>
      <w:r>
        <w:t>.</w:t>
      </w:r>
    </w:p>
    <w:p w:rsidR="000B5766" w:rsidRDefault="000B5766" w:rsidP="000B5766">
      <w:r>
        <w:t xml:space="preserve">The Review Panel does not see an urgent need for any further review of the population target.  </w:t>
      </w:r>
      <w:r w:rsidR="00087F61">
        <w:t xml:space="preserve">A population in the </w:t>
      </w:r>
      <w:r w:rsidR="00087F61" w:rsidRPr="00CD1B37">
        <w:t xml:space="preserve">range of </w:t>
      </w:r>
      <w:r w:rsidR="008C663B" w:rsidRPr="00CD1B37">
        <w:t>80</w:t>
      </w:r>
      <w:r w:rsidR="00087F61" w:rsidRPr="00CD1B37">
        <w:t>,000 to 120,000 is</w:t>
      </w:r>
      <w:r w:rsidR="00087F61">
        <w:t xml:space="preserve"> unlikely to impact m</w:t>
      </w:r>
      <w:r>
        <w:t>any of the infrastructure decisions which are foreshadowed in the draft Framework – such as providing a new tram service crossing the Yarra River, enhancing bus services or the location of a fixed rail route</w:t>
      </w:r>
      <w:r w:rsidR="00350ED7">
        <w:t>.</w:t>
      </w:r>
      <w:r w:rsidR="00087F61">
        <w:t xml:space="preserve">  </w:t>
      </w:r>
      <w:r w:rsidR="00B13277">
        <w:t>However, if a population significantly larger than this is to eventuate, infrastructure planning will need to be revisited</w:t>
      </w:r>
      <w:r w:rsidR="006E4CD4">
        <w:t>.</w:t>
      </w:r>
    </w:p>
    <w:p w:rsidR="00785416" w:rsidRDefault="000B5766" w:rsidP="000B5766">
      <w:r>
        <w:t xml:space="preserve">Similarly the Review Panel sees little impediment to continuing the preparation of the </w:t>
      </w:r>
      <w:r w:rsidR="00FC563B">
        <w:t>Precinct Plans</w:t>
      </w:r>
      <w:r>
        <w:t>.  Its recommendations are not a reason for significant change in this direction or emphasis in this process.</w:t>
      </w:r>
    </w:p>
    <w:p w:rsidR="00785416" w:rsidRDefault="000B5766" w:rsidP="000B5766">
      <w:r>
        <w:t xml:space="preserve">The Review Panel considers that a review of the planning for Fishermans Bend should be undertaken </w:t>
      </w:r>
      <w:r w:rsidR="008C663B">
        <w:t xml:space="preserve">approximately </w:t>
      </w:r>
      <w:r w:rsidR="00A26DCD">
        <w:t xml:space="preserve">five years after settlement of the planning controls and </w:t>
      </w:r>
      <w:r w:rsidR="00FC563B">
        <w:t>Precinct Plans</w:t>
      </w:r>
      <w:r w:rsidR="00A26DCD">
        <w:t>.</w:t>
      </w:r>
      <w:r>
        <w:t xml:space="preserve">  Such a review </w:t>
      </w:r>
      <w:r w:rsidR="00B13277">
        <w:t>would represent</w:t>
      </w:r>
      <w:r>
        <w:t xml:space="preserve"> both good planning and good public policy.  Infrastructure planning should be reviewed and revised leading up to that review.  Population targets or projections could be reviewed at that time.</w:t>
      </w:r>
    </w:p>
    <w:p w:rsidR="000B5766" w:rsidRDefault="000B5766" w:rsidP="000B5766">
      <w:r>
        <w:t>The Review Panel is conscious that in suggesting this approach, there is some risk that population growth will move ahead of planning and infrastructure provision.  Th</w:t>
      </w:r>
      <w:r w:rsidR="00B13277">
        <w:t>is</w:t>
      </w:r>
      <w:r>
        <w:t xml:space="preserve"> risk exists even if the</w:t>
      </w:r>
      <w:r w:rsidR="00FD2400">
        <w:t xml:space="preserve"> draft Amendment as exhibited i</w:t>
      </w:r>
      <w:r>
        <w:t>s implemented.  It believes that on balance the pathway proposed involves less risk than either doing nothing, or implementing the controls as proposed in the exhibited draft Amendment or the Part C version.</w:t>
      </w:r>
    </w:p>
    <w:p w:rsidR="000B5766" w:rsidRDefault="000B5766" w:rsidP="000B5766">
      <w:r>
        <w:t>The pathway forward involves a number of challenges, which include:</w:t>
      </w:r>
    </w:p>
    <w:p w:rsidR="000B5766" w:rsidRDefault="000B5766" w:rsidP="000B5766">
      <w:pPr>
        <w:pStyle w:val="PPVBullet1"/>
      </w:pPr>
      <w:r>
        <w:lastRenderedPageBreak/>
        <w:t>specifying and costing projects to be included in a (yet to be prepared) Infrastructure Contributions Plan (or similar), which will need to be based on a detailed infrastructure plan</w:t>
      </w:r>
    </w:p>
    <w:p w:rsidR="00785416" w:rsidRDefault="000B5766" w:rsidP="000B5766">
      <w:pPr>
        <w:pStyle w:val="PPVBullet1"/>
      </w:pPr>
      <w:r>
        <w:t xml:space="preserve">the possibility that when planning in Fishermans Bend is reviewed in 2025 or thereabouts, some adjustment may need to be made </w:t>
      </w:r>
      <w:r w:rsidR="00B13277">
        <w:t>to provide</w:t>
      </w:r>
      <w:r>
        <w:t xml:space="preserve"> community infrastructure.</w:t>
      </w:r>
    </w:p>
    <w:p w:rsidR="00785416" w:rsidRDefault="000B5766" w:rsidP="000B5766">
      <w:r>
        <w:t>The Review Panel is less concerned about open space provision as there is a significant amount of high quality open space external to Fishermans Bend which can be utilised by residents.</w:t>
      </w:r>
    </w:p>
    <w:p w:rsidR="00785416" w:rsidRDefault="00087F61" w:rsidP="000B5766">
      <w:r>
        <w:t>As noted</w:t>
      </w:r>
      <w:r w:rsidR="00A26DCD">
        <w:t>,</w:t>
      </w:r>
      <w:r>
        <w:t xml:space="preserve"> significant changes were made to the controls through the Hearing process, and late in the process.  The Review Panel has made recommendations about increasing the population range, and substituting the FARs </w:t>
      </w:r>
      <w:r w:rsidR="00BC5D60">
        <w:t>with</w:t>
      </w:r>
      <w:r>
        <w:t xml:space="preserve"> a dwelling density control.  These issues were ventilated at the Hearing, but there was limited opportunity to ventilate the metrics proposed by the Review Panel.</w:t>
      </w:r>
    </w:p>
    <w:p w:rsidR="00785416" w:rsidRDefault="00F94E08" w:rsidP="000B5766">
      <w:r>
        <w:t>The Act provides a process in sections 33 and 34 for further notice to be given of changes to planning scheme amendments, including taking submissions on the changes and referring them to a panel.  While the draft Amendment is not a formal planning scheme amendment, a similar approach could be applied if that was thought appropriate or necessary.</w:t>
      </w:r>
    </w:p>
    <w:p w:rsidR="00785416" w:rsidRDefault="000B5766" w:rsidP="00993842">
      <w:pPr>
        <w:pStyle w:val="Heading5"/>
      </w:pPr>
      <w:r w:rsidRPr="00013A1C">
        <w:t>Response to Terms of Reference</w:t>
      </w:r>
    </w:p>
    <w:p w:rsidR="000B5766" w:rsidRDefault="000B5766" w:rsidP="000B5766">
      <w:pPr>
        <w:rPr>
          <w:rFonts w:asciiTheme="minorHAnsi" w:hAnsiTheme="minorHAnsi"/>
        </w:rPr>
      </w:pPr>
      <w:r>
        <w:rPr>
          <w:rFonts w:asciiTheme="minorHAnsi" w:hAnsiTheme="minorHAnsi"/>
        </w:rPr>
        <w:t xml:space="preserve">In accordance with its Terms of Reference, the Review Panel has provided primary recommendations which go to delivering a workable set of planning controls, based on the Minister’s Part C controls, that will assist to realise the Vision for Fishermans Bend and implement the draft Framework.  In this regard, the </w:t>
      </w:r>
      <w:r w:rsidRPr="00A90F8A">
        <w:rPr>
          <w:rFonts w:asciiTheme="minorHAnsi" w:hAnsiTheme="minorHAnsi"/>
        </w:rPr>
        <w:t xml:space="preserve">Review Panel </w:t>
      </w:r>
      <w:r>
        <w:rPr>
          <w:rFonts w:asciiTheme="minorHAnsi" w:hAnsiTheme="minorHAnsi"/>
        </w:rPr>
        <w:t>provides a summary of the planning controls it recommends</w:t>
      </w:r>
      <w:r w:rsidRPr="00A90F8A">
        <w:rPr>
          <w:rFonts w:asciiTheme="minorHAnsi" w:hAnsiTheme="minorHAnsi"/>
        </w:rPr>
        <w:t>:</w:t>
      </w:r>
    </w:p>
    <w:p w:rsidR="00F466F2" w:rsidRPr="00CE35F3" w:rsidRDefault="00F466F2" w:rsidP="00F466F2">
      <w:pPr>
        <w:pStyle w:val="Caption"/>
      </w:pPr>
      <w:bookmarkStart w:id="10" w:name="_Toc519719126"/>
      <w:bookmarkStart w:id="11" w:name="_Toc519710349"/>
      <w:r>
        <w:t xml:space="preserve">Table </w:t>
      </w:r>
      <w:fldSimple w:instr=" SEQ Table \* ARABIC ">
        <w:r w:rsidR="00A307EC">
          <w:rPr>
            <w:noProof/>
          </w:rPr>
          <w:t>1</w:t>
        </w:r>
      </w:fldSimple>
      <w:r>
        <w:t>:</w:t>
      </w:r>
      <w:r>
        <w:tab/>
        <w:t xml:space="preserve">Summary of </w:t>
      </w:r>
      <w:r w:rsidR="007F4086">
        <w:t xml:space="preserve">Vision, draft Framework and </w:t>
      </w:r>
      <w:r>
        <w:t>controls</w:t>
      </w:r>
      <w:bookmarkEnd w:id="10"/>
      <w:bookmarkEnd w:id="11"/>
      <w:r>
        <w:t xml:space="preserve"> </w:t>
      </w:r>
    </w:p>
    <w:tbl>
      <w:tblPr>
        <w:tblW w:w="9180" w:type="dxa"/>
        <w:tblBorders>
          <w:bottom w:val="single" w:sz="12" w:space="0" w:color="215868"/>
          <w:insideH w:val="dotted" w:sz="4" w:space="0" w:color="auto"/>
        </w:tblBorders>
        <w:tblLayout w:type="fixed"/>
        <w:tblLook w:val="04A0" w:firstRow="1" w:lastRow="0" w:firstColumn="1" w:lastColumn="0" w:noHBand="0" w:noVBand="1"/>
      </w:tblPr>
      <w:tblGrid>
        <w:gridCol w:w="2235"/>
        <w:gridCol w:w="6945"/>
      </w:tblGrid>
      <w:tr w:rsidR="00F466F2" w:rsidTr="008D5B1C">
        <w:trPr>
          <w:cantSplit/>
          <w:tblHeader/>
        </w:trPr>
        <w:tc>
          <w:tcPr>
            <w:tcW w:w="2235" w:type="dxa"/>
            <w:tcBorders>
              <w:top w:val="nil"/>
              <w:bottom w:val="dotted" w:sz="4" w:space="0" w:color="auto"/>
            </w:tcBorders>
            <w:shd w:val="clear" w:color="auto" w:fill="215868"/>
            <w:vAlign w:val="bottom"/>
          </w:tcPr>
          <w:p w:rsidR="00F466F2" w:rsidRPr="00D4049C" w:rsidRDefault="00CC27DD" w:rsidP="008D5B1C">
            <w:pPr>
              <w:pStyle w:val="PPVTableHeader"/>
              <w:rPr>
                <w:szCs w:val="20"/>
              </w:rPr>
            </w:pPr>
            <w:r>
              <w:rPr>
                <w:szCs w:val="20"/>
              </w:rPr>
              <w:t>Control</w:t>
            </w:r>
          </w:p>
        </w:tc>
        <w:tc>
          <w:tcPr>
            <w:tcW w:w="6945" w:type="dxa"/>
            <w:tcBorders>
              <w:top w:val="nil"/>
              <w:bottom w:val="dotted" w:sz="4" w:space="0" w:color="auto"/>
            </w:tcBorders>
            <w:shd w:val="clear" w:color="auto" w:fill="215868"/>
            <w:vAlign w:val="bottom"/>
          </w:tcPr>
          <w:p w:rsidR="00F466F2" w:rsidRPr="00F4133B" w:rsidRDefault="00CC27DD" w:rsidP="00F4133B">
            <w:pPr>
              <w:pStyle w:val="PPVTableHeader"/>
              <w:rPr>
                <w:szCs w:val="20"/>
              </w:rPr>
            </w:pPr>
            <w:r>
              <w:rPr>
                <w:szCs w:val="20"/>
              </w:rPr>
              <w:t xml:space="preserve">Review Panel </w:t>
            </w:r>
            <w:r w:rsidR="00F466F2" w:rsidRPr="00D4049C">
              <w:rPr>
                <w:szCs w:val="20"/>
              </w:rPr>
              <w:t xml:space="preserve">Comment </w:t>
            </w:r>
          </w:p>
        </w:tc>
      </w:tr>
      <w:tr w:rsidR="00D97090" w:rsidTr="008D5B1C">
        <w:trPr>
          <w:cantSplit/>
        </w:trPr>
        <w:tc>
          <w:tcPr>
            <w:tcW w:w="2235" w:type="dxa"/>
            <w:tcBorders>
              <w:top w:val="dotted" w:sz="4" w:space="0" w:color="auto"/>
            </w:tcBorders>
            <w:shd w:val="clear" w:color="auto" w:fill="auto"/>
          </w:tcPr>
          <w:p w:rsidR="00D97090" w:rsidRPr="00D4049C" w:rsidRDefault="00D97090" w:rsidP="00D97090">
            <w:pPr>
              <w:pStyle w:val="PPVTableText"/>
              <w:rPr>
                <w:szCs w:val="20"/>
              </w:rPr>
            </w:pPr>
            <w:r w:rsidRPr="00D4049C">
              <w:rPr>
                <w:szCs w:val="20"/>
              </w:rPr>
              <w:t xml:space="preserve">Vision </w:t>
            </w:r>
          </w:p>
        </w:tc>
        <w:tc>
          <w:tcPr>
            <w:tcW w:w="6945" w:type="dxa"/>
            <w:tcBorders>
              <w:top w:val="dotted" w:sz="4" w:space="0" w:color="auto"/>
            </w:tcBorders>
            <w:shd w:val="clear" w:color="auto" w:fill="auto"/>
          </w:tcPr>
          <w:p w:rsidR="00D97090" w:rsidRPr="00F4133B" w:rsidRDefault="00D97090" w:rsidP="00F4133B">
            <w:pPr>
              <w:pStyle w:val="PPVTableText"/>
              <w:rPr>
                <w:szCs w:val="20"/>
              </w:rPr>
            </w:pPr>
            <w:r w:rsidRPr="00D4049C">
              <w:rPr>
                <w:szCs w:val="20"/>
              </w:rPr>
              <w:t xml:space="preserve">The overall Vision for Fishermans Bend is </w:t>
            </w:r>
            <w:r>
              <w:rPr>
                <w:szCs w:val="20"/>
              </w:rPr>
              <w:t xml:space="preserve">generally </w:t>
            </w:r>
            <w:r w:rsidRPr="00D4049C">
              <w:rPr>
                <w:szCs w:val="20"/>
              </w:rPr>
              <w:t xml:space="preserve">sound, and the </w:t>
            </w:r>
            <w:r>
              <w:rPr>
                <w:szCs w:val="20"/>
              </w:rPr>
              <w:t xml:space="preserve">high level </w:t>
            </w:r>
            <w:r w:rsidR="00FD2400">
              <w:rPr>
                <w:szCs w:val="20"/>
              </w:rPr>
              <w:t>D</w:t>
            </w:r>
            <w:r w:rsidRPr="00D4049C">
              <w:rPr>
                <w:szCs w:val="20"/>
              </w:rPr>
              <w:t xml:space="preserve">irections for each </w:t>
            </w:r>
            <w:r>
              <w:rPr>
                <w:szCs w:val="20"/>
              </w:rPr>
              <w:t>P</w:t>
            </w:r>
            <w:r w:rsidRPr="00D4049C">
              <w:rPr>
                <w:szCs w:val="20"/>
              </w:rPr>
              <w:t xml:space="preserve">recinct </w:t>
            </w:r>
            <w:r>
              <w:rPr>
                <w:szCs w:val="20"/>
              </w:rPr>
              <w:t>are</w:t>
            </w:r>
            <w:r w:rsidRPr="00D4049C">
              <w:rPr>
                <w:szCs w:val="20"/>
              </w:rPr>
              <w:t xml:space="preserve"> supported.  The </w:t>
            </w:r>
            <w:r>
              <w:rPr>
                <w:szCs w:val="20"/>
              </w:rPr>
              <w:t xml:space="preserve">residential </w:t>
            </w:r>
            <w:r w:rsidRPr="00D4049C">
              <w:rPr>
                <w:szCs w:val="20"/>
              </w:rPr>
              <w:t xml:space="preserve">population needs to be adjusted to be </w:t>
            </w:r>
            <w:r>
              <w:rPr>
                <w:szCs w:val="20"/>
              </w:rPr>
              <w:t xml:space="preserve">within the range of </w:t>
            </w:r>
            <w:r w:rsidRPr="00D4049C">
              <w:rPr>
                <w:szCs w:val="20"/>
              </w:rPr>
              <w:t>80,000 to 1</w:t>
            </w:r>
            <w:r>
              <w:rPr>
                <w:szCs w:val="20"/>
              </w:rPr>
              <w:t>2</w:t>
            </w:r>
            <w:r w:rsidRPr="00D4049C">
              <w:rPr>
                <w:szCs w:val="20"/>
              </w:rPr>
              <w:t xml:space="preserve">0,000 </w:t>
            </w:r>
            <w:r>
              <w:rPr>
                <w:szCs w:val="20"/>
              </w:rPr>
              <w:t>by</w:t>
            </w:r>
            <w:r w:rsidRPr="00D4049C">
              <w:rPr>
                <w:szCs w:val="20"/>
              </w:rPr>
              <w:t xml:space="preserve"> 2050.  The employment target</w:t>
            </w:r>
            <w:r>
              <w:rPr>
                <w:szCs w:val="20"/>
              </w:rPr>
              <w:t xml:space="preserve"> of</w:t>
            </w:r>
            <w:r w:rsidRPr="00D4049C">
              <w:rPr>
                <w:szCs w:val="20"/>
              </w:rPr>
              <w:t xml:space="preserve"> 80,000 jobs </w:t>
            </w:r>
            <w:r>
              <w:rPr>
                <w:szCs w:val="20"/>
              </w:rPr>
              <w:t>by</w:t>
            </w:r>
            <w:r w:rsidRPr="00D4049C">
              <w:rPr>
                <w:szCs w:val="20"/>
              </w:rPr>
              <w:t xml:space="preserve"> 2050 </w:t>
            </w:r>
            <w:r>
              <w:rPr>
                <w:szCs w:val="20"/>
              </w:rPr>
              <w:t>is supported</w:t>
            </w:r>
            <w:r w:rsidRPr="00D4049C">
              <w:rPr>
                <w:szCs w:val="20"/>
              </w:rPr>
              <w:t>.</w:t>
            </w:r>
          </w:p>
        </w:tc>
      </w:tr>
      <w:tr w:rsidR="00D97090" w:rsidTr="008D5B1C">
        <w:trPr>
          <w:cantSplit/>
        </w:trPr>
        <w:tc>
          <w:tcPr>
            <w:tcW w:w="2235" w:type="dxa"/>
            <w:shd w:val="clear" w:color="auto" w:fill="auto"/>
          </w:tcPr>
          <w:p w:rsidR="00D97090" w:rsidRPr="00D4049C" w:rsidRDefault="00D97090" w:rsidP="00D97090">
            <w:pPr>
              <w:pStyle w:val="PPVTableText"/>
              <w:rPr>
                <w:szCs w:val="20"/>
              </w:rPr>
            </w:pPr>
            <w:r>
              <w:rPr>
                <w:szCs w:val="20"/>
              </w:rPr>
              <w:t>Draft Framework</w:t>
            </w:r>
          </w:p>
        </w:tc>
        <w:tc>
          <w:tcPr>
            <w:tcW w:w="6945" w:type="dxa"/>
            <w:shd w:val="clear" w:color="auto" w:fill="auto"/>
          </w:tcPr>
          <w:p w:rsidR="00D97090" w:rsidRPr="00F4133B" w:rsidRDefault="00D97090" w:rsidP="00F4133B">
            <w:pPr>
              <w:pStyle w:val="PPVTableText"/>
              <w:rPr>
                <w:szCs w:val="20"/>
              </w:rPr>
            </w:pPr>
            <w:r w:rsidRPr="00D4049C">
              <w:rPr>
                <w:szCs w:val="20"/>
              </w:rPr>
              <w:t>The draft Framework</w:t>
            </w:r>
            <w:r>
              <w:rPr>
                <w:szCs w:val="20"/>
              </w:rPr>
              <w:t>, in particular the</w:t>
            </w:r>
            <w:r w:rsidRPr="00D4049C">
              <w:rPr>
                <w:szCs w:val="20"/>
              </w:rPr>
              <w:t xml:space="preserve"> general urban structure</w:t>
            </w:r>
            <w:r>
              <w:rPr>
                <w:szCs w:val="20"/>
              </w:rPr>
              <w:t>,</w:t>
            </w:r>
            <w:r w:rsidRPr="00D4049C">
              <w:rPr>
                <w:szCs w:val="20"/>
              </w:rPr>
              <w:t xml:space="preserve"> is </w:t>
            </w:r>
            <w:r>
              <w:rPr>
                <w:szCs w:val="20"/>
              </w:rPr>
              <w:t xml:space="preserve">largely </w:t>
            </w:r>
            <w:r w:rsidRPr="00D4049C">
              <w:rPr>
                <w:szCs w:val="20"/>
              </w:rPr>
              <w:t xml:space="preserve">supported and provides a reasonable strategic basis for the planning controls.  </w:t>
            </w:r>
            <w:r>
              <w:rPr>
                <w:szCs w:val="20"/>
              </w:rPr>
              <w:t xml:space="preserve">The draft Framework </w:t>
            </w:r>
            <w:r w:rsidRPr="00D4049C">
              <w:rPr>
                <w:szCs w:val="20"/>
              </w:rPr>
              <w:t xml:space="preserve">will need to be </w:t>
            </w:r>
            <w:r>
              <w:rPr>
                <w:szCs w:val="20"/>
              </w:rPr>
              <w:t>modified</w:t>
            </w:r>
            <w:r w:rsidRPr="00D4049C">
              <w:rPr>
                <w:szCs w:val="20"/>
              </w:rPr>
              <w:t xml:space="preserve"> to reflect the </w:t>
            </w:r>
            <w:r>
              <w:rPr>
                <w:szCs w:val="20"/>
              </w:rPr>
              <w:t xml:space="preserve">Review Panel’s </w:t>
            </w:r>
            <w:r w:rsidRPr="00D4049C">
              <w:rPr>
                <w:szCs w:val="20"/>
              </w:rPr>
              <w:t>recommendations</w:t>
            </w:r>
            <w:r>
              <w:rPr>
                <w:szCs w:val="20"/>
              </w:rPr>
              <w:t xml:space="preserve">, as it will be a </w:t>
            </w:r>
            <w:r w:rsidR="0079402A">
              <w:rPr>
                <w:szCs w:val="20"/>
              </w:rPr>
              <w:t>R</w:t>
            </w:r>
            <w:r>
              <w:rPr>
                <w:szCs w:val="20"/>
              </w:rPr>
              <w:t xml:space="preserve">eference </w:t>
            </w:r>
            <w:r w:rsidR="0079402A">
              <w:rPr>
                <w:szCs w:val="20"/>
              </w:rPr>
              <w:t>D</w:t>
            </w:r>
            <w:r>
              <w:rPr>
                <w:szCs w:val="20"/>
              </w:rPr>
              <w:t>ocument in the planning schemes</w:t>
            </w:r>
            <w:r w:rsidRPr="00D4049C">
              <w:rPr>
                <w:szCs w:val="20"/>
              </w:rPr>
              <w:t xml:space="preserve">.  This work can occur after the preparation of the </w:t>
            </w:r>
            <w:r w:rsidR="00FC563B">
              <w:rPr>
                <w:szCs w:val="20"/>
              </w:rPr>
              <w:t>Precinct Plans</w:t>
            </w:r>
            <w:r w:rsidRPr="00D4049C">
              <w:rPr>
                <w:szCs w:val="20"/>
              </w:rPr>
              <w:t xml:space="preserve"> to ensure ongoing consistency.</w:t>
            </w:r>
          </w:p>
        </w:tc>
      </w:tr>
      <w:tr w:rsidR="00D97090" w:rsidTr="008D5B1C">
        <w:trPr>
          <w:cantSplit/>
        </w:trPr>
        <w:tc>
          <w:tcPr>
            <w:tcW w:w="2235" w:type="dxa"/>
            <w:shd w:val="clear" w:color="auto" w:fill="auto"/>
          </w:tcPr>
          <w:p w:rsidR="00D97090" w:rsidRPr="00D4049C" w:rsidRDefault="0060322C" w:rsidP="00D97090">
            <w:pPr>
              <w:pStyle w:val="PPVTableText"/>
              <w:rPr>
                <w:szCs w:val="20"/>
              </w:rPr>
            </w:pPr>
            <w:r>
              <w:rPr>
                <w:szCs w:val="20"/>
              </w:rPr>
              <w:t>Local policy</w:t>
            </w:r>
          </w:p>
        </w:tc>
        <w:tc>
          <w:tcPr>
            <w:tcW w:w="6945" w:type="dxa"/>
            <w:shd w:val="clear" w:color="auto" w:fill="auto"/>
          </w:tcPr>
          <w:p w:rsidR="00D97090" w:rsidRPr="00D4049C" w:rsidRDefault="00D97090" w:rsidP="00D97090">
            <w:pPr>
              <w:pStyle w:val="PPVTableText"/>
              <w:rPr>
                <w:szCs w:val="20"/>
              </w:rPr>
            </w:pPr>
            <w:r>
              <w:rPr>
                <w:szCs w:val="20"/>
              </w:rPr>
              <w:t>Clause 21</w:t>
            </w:r>
            <w:r w:rsidRPr="00D4049C">
              <w:rPr>
                <w:szCs w:val="20"/>
              </w:rPr>
              <w:t xml:space="preserve"> and Clause 22 </w:t>
            </w:r>
            <w:r>
              <w:rPr>
                <w:szCs w:val="20"/>
              </w:rPr>
              <w:t xml:space="preserve">are </w:t>
            </w:r>
            <w:r w:rsidRPr="00D4049C">
              <w:rPr>
                <w:szCs w:val="20"/>
              </w:rPr>
              <w:t xml:space="preserve">supported </w:t>
            </w:r>
            <w:r>
              <w:rPr>
                <w:szCs w:val="20"/>
              </w:rPr>
              <w:t>as providing</w:t>
            </w:r>
            <w:r w:rsidRPr="00D4049C">
              <w:rPr>
                <w:szCs w:val="20"/>
              </w:rPr>
              <w:t xml:space="preserve"> the overall strategic vision and guidance to allow for the exercise of discretion</w:t>
            </w:r>
            <w:r>
              <w:rPr>
                <w:szCs w:val="20"/>
              </w:rPr>
              <w:t>, subject to modifications</w:t>
            </w:r>
            <w:r w:rsidRPr="00D4049C">
              <w:rPr>
                <w:szCs w:val="20"/>
              </w:rPr>
              <w:t xml:space="preserve">.  </w:t>
            </w:r>
          </w:p>
        </w:tc>
      </w:tr>
      <w:tr w:rsidR="00D97090" w:rsidTr="008D5B1C">
        <w:trPr>
          <w:cantSplit/>
        </w:trPr>
        <w:tc>
          <w:tcPr>
            <w:tcW w:w="2235" w:type="dxa"/>
            <w:shd w:val="clear" w:color="auto" w:fill="auto"/>
          </w:tcPr>
          <w:p w:rsidR="00D97090" w:rsidRPr="00D4049C" w:rsidRDefault="0060322C" w:rsidP="00D97090">
            <w:pPr>
              <w:pStyle w:val="PPVTableText"/>
              <w:rPr>
                <w:szCs w:val="20"/>
              </w:rPr>
            </w:pPr>
            <w:r>
              <w:rPr>
                <w:szCs w:val="20"/>
              </w:rPr>
              <w:t>Capital City Zone</w:t>
            </w:r>
          </w:p>
        </w:tc>
        <w:tc>
          <w:tcPr>
            <w:tcW w:w="6945" w:type="dxa"/>
            <w:shd w:val="clear" w:color="auto" w:fill="auto"/>
          </w:tcPr>
          <w:p w:rsidR="00D97090" w:rsidRPr="00D4049C" w:rsidRDefault="00D97090" w:rsidP="00D97090">
            <w:pPr>
              <w:pStyle w:val="PPVTableText"/>
              <w:rPr>
                <w:szCs w:val="20"/>
              </w:rPr>
            </w:pPr>
            <w:r w:rsidRPr="00D4049C">
              <w:rPr>
                <w:szCs w:val="20"/>
              </w:rPr>
              <w:t xml:space="preserve">The Capital City Zone is supported, subject to modifications.  </w:t>
            </w:r>
          </w:p>
        </w:tc>
      </w:tr>
      <w:tr w:rsidR="00D97090" w:rsidTr="008D5B1C">
        <w:trPr>
          <w:cantSplit/>
        </w:trPr>
        <w:tc>
          <w:tcPr>
            <w:tcW w:w="2235" w:type="dxa"/>
            <w:shd w:val="clear" w:color="auto" w:fill="auto"/>
          </w:tcPr>
          <w:p w:rsidR="00D97090" w:rsidRPr="00D4049C" w:rsidRDefault="00D97090" w:rsidP="00D97090">
            <w:pPr>
              <w:pStyle w:val="PPVTableText"/>
              <w:rPr>
                <w:szCs w:val="20"/>
              </w:rPr>
            </w:pPr>
            <w:r w:rsidRPr="00D4049C">
              <w:rPr>
                <w:szCs w:val="20"/>
              </w:rPr>
              <w:t xml:space="preserve">Parking Overlay </w:t>
            </w:r>
          </w:p>
        </w:tc>
        <w:tc>
          <w:tcPr>
            <w:tcW w:w="6945" w:type="dxa"/>
            <w:shd w:val="clear" w:color="auto" w:fill="auto"/>
          </w:tcPr>
          <w:p w:rsidR="00D97090" w:rsidRPr="00D4049C" w:rsidRDefault="00D97090" w:rsidP="00D97090">
            <w:pPr>
              <w:pStyle w:val="PPVTableText"/>
              <w:rPr>
                <w:szCs w:val="20"/>
              </w:rPr>
            </w:pPr>
            <w:r>
              <w:rPr>
                <w:szCs w:val="20"/>
              </w:rPr>
              <w:t>The</w:t>
            </w:r>
            <w:r w:rsidRPr="00D4049C">
              <w:rPr>
                <w:szCs w:val="20"/>
              </w:rPr>
              <w:t xml:space="preserve"> Parking </w:t>
            </w:r>
            <w:r>
              <w:rPr>
                <w:szCs w:val="20"/>
              </w:rPr>
              <w:t>O</w:t>
            </w:r>
            <w:r w:rsidRPr="00D4049C">
              <w:rPr>
                <w:szCs w:val="20"/>
              </w:rPr>
              <w:t>verlay is supported</w:t>
            </w:r>
            <w:r>
              <w:rPr>
                <w:szCs w:val="20"/>
              </w:rPr>
              <w:t>, subject to modifications</w:t>
            </w:r>
            <w:r w:rsidRPr="00D4049C">
              <w:rPr>
                <w:szCs w:val="20"/>
              </w:rPr>
              <w:t>.</w:t>
            </w:r>
          </w:p>
        </w:tc>
      </w:tr>
      <w:tr w:rsidR="00D97090" w:rsidTr="008D5B1C">
        <w:trPr>
          <w:cantSplit/>
        </w:trPr>
        <w:tc>
          <w:tcPr>
            <w:tcW w:w="2235" w:type="dxa"/>
            <w:shd w:val="clear" w:color="auto" w:fill="auto"/>
          </w:tcPr>
          <w:p w:rsidR="00D97090" w:rsidRPr="00D4049C" w:rsidRDefault="0060322C" w:rsidP="00D97090">
            <w:pPr>
              <w:pStyle w:val="PPVTableText"/>
              <w:rPr>
                <w:szCs w:val="20"/>
              </w:rPr>
            </w:pPr>
            <w:r>
              <w:rPr>
                <w:szCs w:val="20"/>
              </w:rPr>
              <w:t>Design and Development Overlay</w:t>
            </w:r>
          </w:p>
        </w:tc>
        <w:tc>
          <w:tcPr>
            <w:tcW w:w="6945" w:type="dxa"/>
            <w:shd w:val="clear" w:color="auto" w:fill="auto"/>
          </w:tcPr>
          <w:p w:rsidR="00D97090" w:rsidRPr="00D4049C" w:rsidRDefault="00D97090" w:rsidP="00D97090">
            <w:pPr>
              <w:pStyle w:val="PPVTableText"/>
              <w:rPr>
                <w:szCs w:val="20"/>
              </w:rPr>
            </w:pPr>
            <w:r w:rsidRPr="00D4049C">
              <w:rPr>
                <w:szCs w:val="20"/>
              </w:rPr>
              <w:t>The Design and Development Overlay is supported as the princip</w:t>
            </w:r>
            <w:r>
              <w:rPr>
                <w:szCs w:val="20"/>
              </w:rPr>
              <w:t>al</w:t>
            </w:r>
            <w:r w:rsidRPr="00D4049C">
              <w:rPr>
                <w:szCs w:val="20"/>
              </w:rPr>
              <w:t xml:space="preserve"> tool to guide built form</w:t>
            </w:r>
            <w:r>
              <w:rPr>
                <w:szCs w:val="20"/>
              </w:rPr>
              <w:t>, subject to modifications</w:t>
            </w:r>
            <w:r w:rsidRPr="00D4049C">
              <w:rPr>
                <w:szCs w:val="20"/>
              </w:rPr>
              <w:t xml:space="preserve">.  Due to the </w:t>
            </w:r>
            <w:r>
              <w:rPr>
                <w:szCs w:val="20"/>
              </w:rPr>
              <w:t xml:space="preserve">varying </w:t>
            </w:r>
            <w:r w:rsidRPr="00D4049C">
              <w:rPr>
                <w:szCs w:val="20"/>
              </w:rPr>
              <w:t xml:space="preserve">nature of each of the </w:t>
            </w:r>
            <w:r>
              <w:rPr>
                <w:szCs w:val="20"/>
              </w:rPr>
              <w:t>P</w:t>
            </w:r>
            <w:r w:rsidRPr="00D4049C">
              <w:rPr>
                <w:szCs w:val="20"/>
              </w:rPr>
              <w:t xml:space="preserve">recincts, </w:t>
            </w:r>
            <w:r>
              <w:rPr>
                <w:szCs w:val="20"/>
              </w:rPr>
              <w:t>the Review Panel supports</w:t>
            </w:r>
            <w:r w:rsidRPr="00D4049C">
              <w:rPr>
                <w:szCs w:val="20"/>
              </w:rPr>
              <w:t xml:space="preserve"> separate Design an</w:t>
            </w:r>
            <w:r>
              <w:rPr>
                <w:szCs w:val="20"/>
              </w:rPr>
              <w:t>d Development Overlays for each.</w:t>
            </w:r>
          </w:p>
        </w:tc>
      </w:tr>
      <w:tr w:rsidR="00D97090" w:rsidTr="008D5B1C">
        <w:trPr>
          <w:cantSplit/>
        </w:trPr>
        <w:tc>
          <w:tcPr>
            <w:tcW w:w="2235" w:type="dxa"/>
            <w:shd w:val="clear" w:color="auto" w:fill="auto"/>
          </w:tcPr>
          <w:p w:rsidR="00D97090" w:rsidRPr="00D4049C" w:rsidRDefault="0060322C" w:rsidP="00D97090">
            <w:pPr>
              <w:pStyle w:val="PPVTableText"/>
              <w:rPr>
                <w:szCs w:val="20"/>
              </w:rPr>
            </w:pPr>
            <w:r>
              <w:rPr>
                <w:szCs w:val="20"/>
              </w:rPr>
              <w:lastRenderedPageBreak/>
              <w:t>Development Plan Overlay</w:t>
            </w:r>
          </w:p>
        </w:tc>
        <w:tc>
          <w:tcPr>
            <w:tcW w:w="6945" w:type="dxa"/>
            <w:shd w:val="clear" w:color="auto" w:fill="auto"/>
          </w:tcPr>
          <w:p w:rsidR="00D97090" w:rsidRPr="00D4049C" w:rsidRDefault="00D97090" w:rsidP="00D97090">
            <w:pPr>
              <w:pStyle w:val="PPVTableText"/>
              <w:rPr>
                <w:szCs w:val="20"/>
              </w:rPr>
            </w:pPr>
            <w:r>
              <w:rPr>
                <w:szCs w:val="20"/>
              </w:rPr>
              <w:t>The exhibited Development Plan Overlay is no longer being pursued.  The Review Panel supports this approach.  The u</w:t>
            </w:r>
            <w:r w:rsidRPr="00D4049C">
              <w:rPr>
                <w:szCs w:val="20"/>
              </w:rPr>
              <w:t>se of Development Plan Overlay</w:t>
            </w:r>
            <w:r>
              <w:rPr>
                <w:szCs w:val="20"/>
              </w:rPr>
              <w:t>s</w:t>
            </w:r>
            <w:r w:rsidRPr="00D4049C">
              <w:rPr>
                <w:szCs w:val="20"/>
              </w:rPr>
              <w:t xml:space="preserve"> for large</w:t>
            </w:r>
            <w:r>
              <w:rPr>
                <w:szCs w:val="20"/>
              </w:rPr>
              <w:t>r</w:t>
            </w:r>
            <w:r w:rsidRPr="00D4049C">
              <w:rPr>
                <w:szCs w:val="20"/>
              </w:rPr>
              <w:t xml:space="preserve"> sites (in </w:t>
            </w:r>
            <w:r>
              <w:rPr>
                <w:szCs w:val="20"/>
              </w:rPr>
              <w:t>single or multiple</w:t>
            </w:r>
            <w:r w:rsidRPr="00D4049C">
              <w:rPr>
                <w:szCs w:val="20"/>
              </w:rPr>
              <w:t xml:space="preserve"> ownership) that provide for integrated mixed use development is supported on an opt-in basis</w:t>
            </w:r>
            <w:r>
              <w:rPr>
                <w:szCs w:val="20"/>
              </w:rPr>
              <w:t xml:space="preserve">, once </w:t>
            </w:r>
            <w:r w:rsidR="00FC563B">
              <w:rPr>
                <w:szCs w:val="20"/>
              </w:rPr>
              <w:t>Precinct Plans</w:t>
            </w:r>
            <w:r>
              <w:rPr>
                <w:szCs w:val="20"/>
              </w:rPr>
              <w:t xml:space="preserve"> are prepared.</w:t>
            </w:r>
          </w:p>
        </w:tc>
      </w:tr>
    </w:tbl>
    <w:p w:rsidR="00607994" w:rsidRDefault="007F4086" w:rsidP="0055040B">
      <w:pPr>
        <w:pStyle w:val="Heading4"/>
        <w:rPr>
          <w:rFonts w:asciiTheme="minorHAnsi" w:hAnsiTheme="minorHAnsi"/>
        </w:rPr>
      </w:pPr>
      <w:r>
        <w:rPr>
          <w:rFonts w:asciiTheme="minorHAnsi" w:hAnsiTheme="minorHAnsi"/>
        </w:rPr>
        <w:t xml:space="preserve">Review Panel </w:t>
      </w:r>
      <w:r w:rsidR="00127AD8">
        <w:rPr>
          <w:rFonts w:asciiTheme="minorHAnsi" w:hAnsiTheme="minorHAnsi"/>
        </w:rPr>
        <w:t>r</w:t>
      </w:r>
      <w:r w:rsidR="00E32C7D" w:rsidRPr="00A90F8A">
        <w:rPr>
          <w:rFonts w:asciiTheme="minorHAnsi" w:hAnsiTheme="minorHAnsi"/>
        </w:rPr>
        <w:t>ecommendation</w:t>
      </w:r>
    </w:p>
    <w:p w:rsidR="008C3707" w:rsidRDefault="00E500BC">
      <w:pPr>
        <w:pStyle w:val="TOC4"/>
        <w:rPr>
          <w:rFonts w:asciiTheme="minorHAnsi" w:eastAsiaTheme="minorEastAsia" w:hAnsiTheme="minorHAnsi" w:cstheme="minorBidi"/>
          <w:b w:val="0"/>
          <w:sz w:val="22"/>
          <w:szCs w:val="22"/>
        </w:rPr>
      </w:pPr>
      <w:r w:rsidRPr="00A90F8A">
        <w:rPr>
          <w:rFonts w:asciiTheme="minorHAnsi" w:hAnsiTheme="minorHAnsi"/>
        </w:rPr>
        <w:fldChar w:fldCharType="begin"/>
      </w:r>
      <w:r w:rsidRPr="00A90F8A">
        <w:rPr>
          <w:rFonts w:asciiTheme="minorHAnsi" w:hAnsiTheme="minorHAnsi"/>
        </w:rPr>
        <w:instrText xml:space="preserve"> TOC \n \p " " \t "PPV Recommendation,4,PPV Recommendation </w:instrText>
      </w:r>
      <w:r w:rsidR="0046475D" w:rsidRPr="00A90F8A">
        <w:rPr>
          <w:rFonts w:asciiTheme="minorHAnsi" w:hAnsiTheme="minorHAnsi"/>
        </w:rPr>
        <w:instrText>Alpha</w:instrText>
      </w:r>
      <w:r w:rsidRPr="00A90F8A">
        <w:rPr>
          <w:rFonts w:asciiTheme="minorHAnsi" w:hAnsiTheme="minorHAnsi"/>
        </w:rPr>
        <w:instrText xml:space="preserve"> List,</w:instrText>
      </w:r>
      <w:r w:rsidR="0046475D" w:rsidRPr="00A90F8A">
        <w:rPr>
          <w:rFonts w:asciiTheme="minorHAnsi" w:hAnsiTheme="minorHAnsi"/>
        </w:rPr>
        <w:instrText>5</w:instrText>
      </w:r>
      <w:r w:rsidRPr="00A90F8A">
        <w:rPr>
          <w:rFonts w:asciiTheme="minorHAnsi" w:hAnsiTheme="minorHAnsi"/>
        </w:rPr>
        <w:instrText>,PPV Recommendation Bullet,</w:instrText>
      </w:r>
      <w:r w:rsidR="00A06D3E" w:rsidRPr="00A90F8A">
        <w:rPr>
          <w:rFonts w:asciiTheme="minorHAnsi" w:hAnsiTheme="minorHAnsi"/>
        </w:rPr>
        <w:instrText>6</w:instrText>
      </w:r>
      <w:r w:rsidRPr="00A90F8A">
        <w:rPr>
          <w:rFonts w:asciiTheme="minorHAnsi" w:hAnsiTheme="minorHAnsi"/>
        </w:rPr>
        <w:instrText>,PPV Recommendation Qu</w:instrText>
      </w:r>
      <w:r w:rsidR="0046475D" w:rsidRPr="00A90F8A">
        <w:rPr>
          <w:rFonts w:asciiTheme="minorHAnsi" w:hAnsiTheme="minorHAnsi"/>
        </w:rPr>
        <w:instrText>o</w:instrText>
      </w:r>
      <w:r w:rsidRPr="00A90F8A">
        <w:rPr>
          <w:rFonts w:asciiTheme="minorHAnsi" w:hAnsiTheme="minorHAnsi"/>
        </w:rPr>
        <w:instrText>te or General Text,</w:instrText>
      </w:r>
      <w:r w:rsidR="00A06D3E" w:rsidRPr="00A90F8A">
        <w:rPr>
          <w:rFonts w:asciiTheme="minorHAnsi" w:hAnsiTheme="minorHAnsi"/>
        </w:rPr>
        <w:instrText>7</w:instrText>
      </w:r>
      <w:r w:rsidRPr="00A90F8A">
        <w:rPr>
          <w:rFonts w:asciiTheme="minorHAnsi" w:hAnsiTheme="minorHAnsi"/>
        </w:rPr>
        <w:instrText xml:space="preserve">" </w:instrText>
      </w:r>
      <w:r w:rsidRPr="00A90F8A">
        <w:rPr>
          <w:rFonts w:asciiTheme="minorHAnsi" w:hAnsiTheme="minorHAnsi"/>
        </w:rPr>
        <w:fldChar w:fldCharType="separate"/>
      </w:r>
      <w:r w:rsidR="008C3707" w:rsidRPr="009A1873">
        <w:rPr>
          <w:color w:val="000000"/>
          <w14:scene3d>
            <w14:camera w14:prst="orthographicFront"/>
            <w14:lightRig w14:rig="threePt" w14:dir="t">
              <w14:rot w14:lat="0" w14:lon="0" w14:rev="0"/>
            </w14:lightRig>
          </w14:scene3d>
        </w:rPr>
        <w:t>1.</w:t>
      </w:r>
      <w:r w:rsidR="008C3707">
        <w:rPr>
          <w:rFonts w:asciiTheme="minorHAnsi" w:eastAsiaTheme="minorEastAsia" w:hAnsiTheme="minorHAnsi" w:cstheme="minorBidi"/>
          <w:b w:val="0"/>
          <w:sz w:val="22"/>
          <w:szCs w:val="22"/>
        </w:rPr>
        <w:tab/>
      </w:r>
      <w:r w:rsidR="008C3707">
        <w:t>Progress Amendment GC81 for Fishermans Bend in accordance with the Review Panel revised versions (in Overview Report – Volume 2) of:</w:t>
      </w:r>
    </w:p>
    <w:p w:rsidR="008C3707" w:rsidRDefault="008C3707">
      <w:pPr>
        <w:pStyle w:val="TOC5"/>
        <w:tabs>
          <w:tab w:val="left" w:pos="1276"/>
        </w:tabs>
        <w:rPr>
          <w:rFonts w:asciiTheme="minorHAnsi" w:eastAsiaTheme="minorEastAsia" w:hAnsiTheme="minorHAnsi" w:cstheme="minorBidi"/>
          <w:b w:val="0"/>
          <w:sz w:val="22"/>
          <w:szCs w:val="22"/>
        </w:rPr>
      </w:pPr>
      <w:r>
        <w:t>a)</w:t>
      </w:r>
      <w:r>
        <w:rPr>
          <w:rFonts w:asciiTheme="minorHAnsi" w:eastAsiaTheme="minorEastAsia" w:hAnsiTheme="minorHAnsi" w:cstheme="minorBidi"/>
          <w:b w:val="0"/>
          <w:sz w:val="22"/>
          <w:szCs w:val="22"/>
        </w:rPr>
        <w:tab/>
      </w:r>
      <w:r>
        <w:t>Clause 22.XX</w:t>
      </w:r>
    </w:p>
    <w:p w:rsidR="008C3707" w:rsidRDefault="008C3707">
      <w:pPr>
        <w:pStyle w:val="TOC5"/>
        <w:tabs>
          <w:tab w:val="left" w:pos="1276"/>
        </w:tabs>
        <w:rPr>
          <w:rFonts w:asciiTheme="minorHAnsi" w:eastAsiaTheme="minorEastAsia" w:hAnsiTheme="minorHAnsi" w:cstheme="minorBidi"/>
          <w:b w:val="0"/>
          <w:sz w:val="22"/>
          <w:szCs w:val="22"/>
        </w:rPr>
      </w:pPr>
      <w:r>
        <w:t>b)</w:t>
      </w:r>
      <w:r>
        <w:rPr>
          <w:rFonts w:asciiTheme="minorHAnsi" w:eastAsiaTheme="minorEastAsia" w:hAnsiTheme="minorHAnsi" w:cstheme="minorBidi"/>
          <w:b w:val="0"/>
          <w:sz w:val="22"/>
          <w:szCs w:val="22"/>
        </w:rPr>
        <w:tab/>
      </w:r>
      <w:r>
        <w:t>Capital City Zone</w:t>
      </w:r>
    </w:p>
    <w:p w:rsidR="008C3707" w:rsidRDefault="008C3707">
      <w:pPr>
        <w:pStyle w:val="TOC5"/>
        <w:tabs>
          <w:tab w:val="left" w:pos="1276"/>
        </w:tabs>
        <w:rPr>
          <w:rFonts w:asciiTheme="minorHAnsi" w:eastAsiaTheme="minorEastAsia" w:hAnsiTheme="minorHAnsi" w:cstheme="minorBidi"/>
          <w:b w:val="0"/>
          <w:sz w:val="22"/>
          <w:szCs w:val="22"/>
        </w:rPr>
      </w:pPr>
      <w:r>
        <w:t>c)</w:t>
      </w:r>
      <w:r>
        <w:rPr>
          <w:rFonts w:asciiTheme="minorHAnsi" w:eastAsiaTheme="minorEastAsia" w:hAnsiTheme="minorHAnsi" w:cstheme="minorBidi"/>
          <w:b w:val="0"/>
          <w:sz w:val="22"/>
          <w:szCs w:val="22"/>
        </w:rPr>
        <w:tab/>
      </w:r>
      <w:r>
        <w:t>Parking Overlay</w:t>
      </w:r>
    </w:p>
    <w:p w:rsidR="008C3707" w:rsidRDefault="008C3707">
      <w:pPr>
        <w:pStyle w:val="TOC5"/>
        <w:tabs>
          <w:tab w:val="left" w:pos="1276"/>
        </w:tabs>
        <w:rPr>
          <w:rFonts w:asciiTheme="minorHAnsi" w:eastAsiaTheme="minorEastAsia" w:hAnsiTheme="minorHAnsi" w:cstheme="minorBidi"/>
          <w:b w:val="0"/>
          <w:sz w:val="22"/>
          <w:szCs w:val="22"/>
        </w:rPr>
      </w:pPr>
      <w:r>
        <w:t>d)</w:t>
      </w:r>
      <w:r>
        <w:rPr>
          <w:rFonts w:asciiTheme="minorHAnsi" w:eastAsiaTheme="minorEastAsia" w:hAnsiTheme="minorHAnsi" w:cstheme="minorBidi"/>
          <w:b w:val="0"/>
          <w:sz w:val="22"/>
          <w:szCs w:val="22"/>
        </w:rPr>
        <w:tab/>
      </w:r>
      <w:r>
        <w:t>Design and Development Overlays for Lorimer, Montague, Sandridge and Wirraway Precincts.</w:t>
      </w:r>
    </w:p>
    <w:p w:rsidR="00B4353C" w:rsidRPr="00A90F8A" w:rsidRDefault="00E500BC" w:rsidP="0055040B">
      <w:pPr>
        <w:pStyle w:val="PPVBody"/>
        <w:rPr>
          <w:rFonts w:asciiTheme="minorHAnsi" w:hAnsiTheme="minorHAnsi"/>
        </w:rPr>
      </w:pPr>
      <w:r w:rsidRPr="00A90F8A">
        <w:rPr>
          <w:rFonts w:asciiTheme="minorHAnsi" w:hAnsiTheme="minorHAnsi"/>
          <w:b/>
          <w:noProof/>
          <w:color w:val="215868" w:themeColor="accent5" w:themeShade="80"/>
        </w:rPr>
        <w:fldChar w:fldCharType="end"/>
      </w:r>
    </w:p>
    <w:p w:rsidR="00B4353C" w:rsidRPr="00A90F8A" w:rsidRDefault="00B4353C" w:rsidP="0055040B">
      <w:pPr>
        <w:pStyle w:val="PPVBody"/>
        <w:rPr>
          <w:rFonts w:asciiTheme="minorHAnsi" w:hAnsiTheme="minorHAnsi"/>
        </w:rPr>
        <w:sectPr w:rsidR="00B4353C" w:rsidRPr="00A90F8A" w:rsidSect="00F4133B">
          <w:footerReference w:type="default" r:id="rId24"/>
          <w:pgSz w:w="11906" w:h="16838"/>
          <w:pgMar w:top="1701" w:right="1418" w:bottom="1418" w:left="1418" w:header="720" w:footer="448" w:gutter="0"/>
          <w:pgNumType w:fmt="lowerRoman" w:start="1"/>
          <w:cols w:space="708"/>
          <w:docGrid w:linePitch="360"/>
        </w:sectPr>
      </w:pPr>
    </w:p>
    <w:p w:rsidR="00C862CB" w:rsidRPr="00A90F8A" w:rsidRDefault="00C862CB" w:rsidP="00DA32F2">
      <w:pPr>
        <w:pStyle w:val="Heading1"/>
        <w:numPr>
          <w:ilvl w:val="0"/>
          <w:numId w:val="0"/>
        </w:numPr>
        <w:rPr>
          <w:rFonts w:asciiTheme="minorHAnsi" w:hAnsiTheme="minorHAnsi"/>
        </w:rPr>
      </w:pPr>
      <w:bookmarkStart w:id="12" w:name="_Toc519710229"/>
      <w:bookmarkStart w:id="13" w:name="_Toc519766789"/>
      <w:bookmarkStart w:id="14" w:name="_Toc105479995"/>
      <w:bookmarkStart w:id="15" w:name="_Toc29444375"/>
      <w:bookmarkStart w:id="16" w:name="_Toc29444347"/>
      <w:bookmarkStart w:id="17" w:name="_Toc486364565"/>
      <w:bookmarkStart w:id="18" w:name="_Toc29444373"/>
      <w:r w:rsidRPr="00A90F8A">
        <w:rPr>
          <w:rFonts w:asciiTheme="minorHAnsi" w:hAnsiTheme="minorHAnsi"/>
        </w:rPr>
        <w:lastRenderedPageBreak/>
        <w:t>PART A: BACKGROUND AND CONTEXT</w:t>
      </w:r>
      <w:bookmarkEnd w:id="12"/>
      <w:bookmarkEnd w:id="13"/>
    </w:p>
    <w:p w:rsidR="00FB3639" w:rsidRPr="00A90F8A" w:rsidRDefault="00FB3639" w:rsidP="00FA0A71">
      <w:pPr>
        <w:pStyle w:val="Heading1"/>
        <w:numPr>
          <w:ilvl w:val="0"/>
          <w:numId w:val="8"/>
        </w:numPr>
        <w:ind w:left="851"/>
        <w:rPr>
          <w:rFonts w:asciiTheme="minorHAnsi" w:hAnsiTheme="minorHAnsi"/>
        </w:rPr>
      </w:pPr>
      <w:bookmarkStart w:id="19" w:name="_Toc519710230"/>
      <w:bookmarkStart w:id="20" w:name="_Toc519766790"/>
      <w:r w:rsidRPr="00A90F8A">
        <w:rPr>
          <w:rFonts w:asciiTheme="minorHAnsi" w:hAnsiTheme="minorHAnsi"/>
        </w:rPr>
        <w:lastRenderedPageBreak/>
        <w:t>Introduction</w:t>
      </w:r>
      <w:bookmarkEnd w:id="19"/>
      <w:bookmarkEnd w:id="20"/>
    </w:p>
    <w:p w:rsidR="00FB3639" w:rsidRPr="00A90F8A" w:rsidRDefault="00FB3639" w:rsidP="00DD6314">
      <w:pPr>
        <w:pStyle w:val="Heading2"/>
      </w:pPr>
      <w:bookmarkStart w:id="21" w:name="_Toc519710231"/>
      <w:bookmarkStart w:id="22" w:name="_Toc519766791"/>
      <w:r w:rsidRPr="00A90F8A">
        <w:t>Fishermans Bend Planning Review Panel</w:t>
      </w:r>
      <w:bookmarkEnd w:id="21"/>
      <w:bookmarkEnd w:id="22"/>
    </w:p>
    <w:p w:rsidR="00EE461B" w:rsidRDefault="00E01736" w:rsidP="00FB3639">
      <w:pPr>
        <w:pStyle w:val="PPVBody"/>
        <w:rPr>
          <w:rFonts w:asciiTheme="minorHAnsi" w:hAnsiTheme="minorHAnsi"/>
        </w:rPr>
      </w:pPr>
      <w:r w:rsidRPr="00A90F8A">
        <w:rPr>
          <w:rFonts w:asciiTheme="minorHAnsi" w:hAnsiTheme="minorHAnsi"/>
        </w:rPr>
        <w:t>On</w:t>
      </w:r>
      <w:r w:rsidR="00FB3639" w:rsidRPr="00A90F8A">
        <w:rPr>
          <w:rFonts w:asciiTheme="minorHAnsi" w:hAnsiTheme="minorHAnsi"/>
        </w:rPr>
        <w:t xml:space="preserve"> </w:t>
      </w:r>
      <w:r w:rsidR="00884E37" w:rsidRPr="00087F61">
        <w:rPr>
          <w:rFonts w:asciiTheme="minorHAnsi" w:hAnsiTheme="minorHAnsi"/>
        </w:rPr>
        <w:t xml:space="preserve">20 October </w:t>
      </w:r>
      <w:r w:rsidR="00A64CA7" w:rsidRPr="00087F61">
        <w:rPr>
          <w:rFonts w:asciiTheme="minorHAnsi" w:hAnsiTheme="minorHAnsi"/>
        </w:rPr>
        <w:t>2017</w:t>
      </w:r>
      <w:r w:rsidRPr="00A90F8A">
        <w:rPr>
          <w:rFonts w:asciiTheme="minorHAnsi" w:hAnsiTheme="minorHAnsi"/>
        </w:rPr>
        <w:t xml:space="preserve">, the Minister for Planning </w:t>
      </w:r>
      <w:r w:rsidR="00CC27DD">
        <w:rPr>
          <w:rFonts w:asciiTheme="minorHAnsi" w:hAnsiTheme="minorHAnsi"/>
        </w:rPr>
        <w:t xml:space="preserve">(the Minister) </w:t>
      </w:r>
      <w:r w:rsidRPr="00A90F8A">
        <w:rPr>
          <w:rFonts w:asciiTheme="minorHAnsi" w:hAnsiTheme="minorHAnsi"/>
        </w:rPr>
        <w:t xml:space="preserve">appointed </w:t>
      </w:r>
      <w:r w:rsidR="007A66DF" w:rsidRPr="00A90F8A">
        <w:rPr>
          <w:rFonts w:asciiTheme="minorHAnsi" w:hAnsiTheme="minorHAnsi"/>
        </w:rPr>
        <w:t>the Fishermans Bend Planning Review Panel</w:t>
      </w:r>
      <w:r w:rsidRPr="00A90F8A">
        <w:rPr>
          <w:rFonts w:asciiTheme="minorHAnsi" w:hAnsiTheme="minorHAnsi"/>
        </w:rPr>
        <w:t xml:space="preserve"> (Review Panel) </w:t>
      </w:r>
      <w:r w:rsidR="00947781" w:rsidRPr="00A90F8A">
        <w:rPr>
          <w:rFonts w:asciiTheme="minorHAnsi" w:hAnsiTheme="minorHAnsi"/>
        </w:rPr>
        <w:t xml:space="preserve">as an Advisory Committee </w:t>
      </w:r>
      <w:r w:rsidR="00884E37" w:rsidRPr="00A90F8A">
        <w:rPr>
          <w:rFonts w:asciiTheme="minorHAnsi" w:hAnsiTheme="minorHAnsi"/>
        </w:rPr>
        <w:t>pursuant to</w:t>
      </w:r>
      <w:r w:rsidRPr="00A90F8A">
        <w:rPr>
          <w:rFonts w:asciiTheme="minorHAnsi" w:hAnsiTheme="minorHAnsi"/>
        </w:rPr>
        <w:t xml:space="preserve"> </w:t>
      </w:r>
      <w:r w:rsidR="00C27CDD">
        <w:rPr>
          <w:rFonts w:asciiTheme="minorHAnsi" w:hAnsiTheme="minorHAnsi"/>
        </w:rPr>
        <w:t>s</w:t>
      </w:r>
      <w:r w:rsidRPr="00A90F8A">
        <w:rPr>
          <w:rFonts w:asciiTheme="minorHAnsi" w:hAnsiTheme="minorHAnsi"/>
        </w:rPr>
        <w:t xml:space="preserve">ection 151 of the </w:t>
      </w:r>
      <w:r w:rsidRPr="00A90F8A">
        <w:rPr>
          <w:rFonts w:asciiTheme="minorHAnsi" w:hAnsiTheme="minorHAnsi"/>
          <w:i/>
        </w:rPr>
        <w:t xml:space="preserve">Planning and Environment Act </w:t>
      </w:r>
      <w:r w:rsidRPr="00325B83">
        <w:rPr>
          <w:rFonts w:asciiTheme="minorHAnsi" w:hAnsiTheme="minorHAnsi"/>
          <w:i/>
        </w:rPr>
        <w:t>1987</w:t>
      </w:r>
      <w:r w:rsidRPr="00A90F8A">
        <w:rPr>
          <w:rFonts w:asciiTheme="minorHAnsi" w:hAnsiTheme="minorHAnsi"/>
        </w:rPr>
        <w:t xml:space="preserve"> (the Act) to </w:t>
      </w:r>
      <w:r w:rsidR="00884E37" w:rsidRPr="00A90F8A">
        <w:rPr>
          <w:rFonts w:asciiTheme="minorHAnsi" w:hAnsiTheme="minorHAnsi"/>
        </w:rPr>
        <w:t>consider and report on</w:t>
      </w:r>
      <w:r w:rsidR="007A27D6" w:rsidRPr="00A90F8A">
        <w:rPr>
          <w:rFonts w:asciiTheme="minorHAnsi" w:hAnsiTheme="minorHAnsi"/>
        </w:rPr>
        <w:t xml:space="preserve"> draft A</w:t>
      </w:r>
      <w:r w:rsidRPr="00A90F8A">
        <w:rPr>
          <w:rFonts w:asciiTheme="minorHAnsi" w:hAnsiTheme="minorHAnsi"/>
        </w:rPr>
        <w:t>mendment GC81 to the Melbourne and Port Phillip Planning Schemes.</w:t>
      </w:r>
    </w:p>
    <w:p w:rsidR="00884E37" w:rsidRPr="00A90F8A" w:rsidRDefault="007A66DF" w:rsidP="00FB3639">
      <w:pPr>
        <w:pStyle w:val="PPVBody"/>
        <w:rPr>
          <w:rFonts w:asciiTheme="minorHAnsi" w:hAnsiTheme="minorHAnsi"/>
        </w:rPr>
      </w:pPr>
      <w:r w:rsidRPr="00A90F8A">
        <w:rPr>
          <w:rFonts w:asciiTheme="minorHAnsi" w:hAnsiTheme="minorHAnsi"/>
        </w:rPr>
        <w:t>The Review Panel comprise</w:t>
      </w:r>
      <w:r w:rsidR="00884E37" w:rsidRPr="00A90F8A">
        <w:rPr>
          <w:rFonts w:asciiTheme="minorHAnsi" w:hAnsiTheme="minorHAnsi"/>
        </w:rPr>
        <w:t>s:</w:t>
      </w:r>
    </w:p>
    <w:p w:rsidR="00884E37" w:rsidRPr="00A90F8A" w:rsidRDefault="00395FC6" w:rsidP="004F6781">
      <w:pPr>
        <w:pStyle w:val="PPVBullet1"/>
      </w:pPr>
      <w:r>
        <w:rPr>
          <w:rFonts w:asciiTheme="minorHAnsi" w:hAnsiTheme="minorHAnsi"/>
        </w:rPr>
        <w:t xml:space="preserve">Ms </w:t>
      </w:r>
      <w:r w:rsidR="00884E37" w:rsidRPr="00A90F8A">
        <w:rPr>
          <w:rFonts w:asciiTheme="minorHAnsi" w:hAnsiTheme="minorHAnsi"/>
        </w:rPr>
        <w:t>Kathy Mitchell (Chair)</w:t>
      </w:r>
    </w:p>
    <w:p w:rsidR="00EE461B" w:rsidRDefault="00395FC6" w:rsidP="004F6781">
      <w:pPr>
        <w:pStyle w:val="PPVBullet1"/>
      </w:pPr>
      <w:r>
        <w:t xml:space="preserve">Mr </w:t>
      </w:r>
      <w:r w:rsidR="00884E37" w:rsidRPr="00A90F8A">
        <w:t>Lester Townsend (Deputy Chair)</w:t>
      </w:r>
    </w:p>
    <w:p w:rsidR="00884E37" w:rsidRPr="00A90F8A" w:rsidRDefault="00395FC6" w:rsidP="004F6781">
      <w:pPr>
        <w:pStyle w:val="PPVBullet1"/>
      </w:pPr>
      <w:r>
        <w:t xml:space="preserve">Ms </w:t>
      </w:r>
      <w:r w:rsidR="00884E37" w:rsidRPr="00A90F8A">
        <w:t>Sarah Carlisle</w:t>
      </w:r>
    </w:p>
    <w:p w:rsidR="00EE461B" w:rsidRDefault="00395FC6" w:rsidP="004F6781">
      <w:pPr>
        <w:pStyle w:val="PPVBullet1"/>
      </w:pPr>
      <w:r>
        <w:t xml:space="preserve">Prof </w:t>
      </w:r>
      <w:r w:rsidR="007A66DF" w:rsidRPr="00A90F8A">
        <w:t>Rodger Eade</w:t>
      </w:r>
    </w:p>
    <w:p w:rsidR="00EE461B" w:rsidRDefault="00395FC6" w:rsidP="004F6781">
      <w:pPr>
        <w:pStyle w:val="PPVBullet1"/>
      </w:pPr>
      <w:r>
        <w:t xml:space="preserve">Mr </w:t>
      </w:r>
      <w:r w:rsidR="007A66DF" w:rsidRPr="00A90F8A">
        <w:t>Peter Edwards.</w:t>
      </w:r>
    </w:p>
    <w:p w:rsidR="00EE461B" w:rsidRDefault="007A66DF" w:rsidP="00884E37">
      <w:pPr>
        <w:pStyle w:val="PPVBody"/>
        <w:rPr>
          <w:rFonts w:asciiTheme="minorHAnsi" w:hAnsiTheme="minorHAnsi"/>
        </w:rPr>
      </w:pPr>
      <w:r w:rsidRPr="00A90F8A">
        <w:rPr>
          <w:rFonts w:asciiTheme="minorHAnsi" w:hAnsiTheme="minorHAnsi"/>
        </w:rPr>
        <w:t>The appointment was accompanied by Terms of Reference</w:t>
      </w:r>
      <w:r w:rsidR="00947781" w:rsidRPr="00A90F8A">
        <w:rPr>
          <w:rFonts w:asciiTheme="minorHAnsi" w:hAnsiTheme="minorHAnsi"/>
        </w:rPr>
        <w:t xml:space="preserve">, signed </w:t>
      </w:r>
      <w:r w:rsidR="00027336">
        <w:rPr>
          <w:rFonts w:asciiTheme="minorHAnsi" w:hAnsiTheme="minorHAnsi"/>
        </w:rPr>
        <w:t xml:space="preserve">by the Minister </w:t>
      </w:r>
      <w:r w:rsidR="00947781" w:rsidRPr="00A90F8A">
        <w:rPr>
          <w:rFonts w:asciiTheme="minorHAnsi" w:hAnsiTheme="minorHAnsi"/>
        </w:rPr>
        <w:t xml:space="preserve">on </w:t>
      </w:r>
      <w:r w:rsidR="00947781" w:rsidRPr="00087F61">
        <w:rPr>
          <w:rFonts w:asciiTheme="minorHAnsi" w:hAnsiTheme="minorHAnsi"/>
        </w:rPr>
        <w:t xml:space="preserve">22 October </w:t>
      </w:r>
      <w:r w:rsidR="00A64CA7" w:rsidRPr="00087F61">
        <w:rPr>
          <w:rFonts w:asciiTheme="minorHAnsi" w:hAnsiTheme="minorHAnsi"/>
        </w:rPr>
        <w:t>2017</w:t>
      </w:r>
      <w:r w:rsidR="00A64CA7" w:rsidRPr="00A90F8A">
        <w:rPr>
          <w:rFonts w:asciiTheme="minorHAnsi" w:hAnsiTheme="minorHAnsi"/>
        </w:rPr>
        <w:t xml:space="preserve"> </w:t>
      </w:r>
      <w:r w:rsidR="00947781" w:rsidRPr="00A90F8A">
        <w:rPr>
          <w:rFonts w:asciiTheme="minorHAnsi" w:hAnsiTheme="minorHAnsi"/>
        </w:rPr>
        <w:t>(</w:t>
      </w:r>
      <w:r w:rsidRPr="00A90F8A">
        <w:rPr>
          <w:rFonts w:asciiTheme="minorHAnsi" w:hAnsiTheme="minorHAnsi"/>
        </w:rPr>
        <w:t>Appendix A</w:t>
      </w:r>
      <w:r w:rsidR="00947781" w:rsidRPr="00A90F8A">
        <w:rPr>
          <w:rFonts w:asciiTheme="minorHAnsi" w:hAnsiTheme="minorHAnsi"/>
        </w:rPr>
        <w:t>)</w:t>
      </w:r>
      <w:r w:rsidRPr="00A90F8A">
        <w:rPr>
          <w:rFonts w:asciiTheme="minorHAnsi" w:hAnsiTheme="minorHAnsi"/>
        </w:rPr>
        <w:t>.</w:t>
      </w:r>
    </w:p>
    <w:p w:rsidR="007A66DF" w:rsidRPr="00A90F8A" w:rsidRDefault="00EF7E81" w:rsidP="00FB3639">
      <w:pPr>
        <w:pStyle w:val="PPVBody"/>
        <w:rPr>
          <w:rFonts w:asciiTheme="minorHAnsi" w:hAnsiTheme="minorHAnsi"/>
        </w:rPr>
      </w:pPr>
      <w:r>
        <w:rPr>
          <w:rFonts w:asciiTheme="minorHAnsi" w:hAnsiTheme="minorHAnsi"/>
        </w:rPr>
        <w:t xml:space="preserve">Clause </w:t>
      </w:r>
      <w:r w:rsidR="00884E37" w:rsidRPr="00A90F8A">
        <w:rPr>
          <w:rFonts w:asciiTheme="minorHAnsi" w:hAnsiTheme="minorHAnsi"/>
        </w:rPr>
        <w:t>19 of the Terms of Reference note the Review Panel m</w:t>
      </w:r>
      <w:r w:rsidR="00C27CDD">
        <w:rPr>
          <w:rFonts w:asciiTheme="minorHAnsi" w:hAnsiTheme="minorHAnsi"/>
        </w:rPr>
        <w:t xml:space="preserve">ay retain its own legal Counsel.  The </w:t>
      </w:r>
      <w:r w:rsidR="00884E37" w:rsidRPr="00A90F8A">
        <w:rPr>
          <w:rFonts w:asciiTheme="minorHAnsi" w:hAnsiTheme="minorHAnsi"/>
        </w:rPr>
        <w:t>Review Panel retained Mr Peter O’Farrell</w:t>
      </w:r>
      <w:r w:rsidR="00947781" w:rsidRPr="00A90F8A">
        <w:rPr>
          <w:rFonts w:asciiTheme="minorHAnsi" w:hAnsiTheme="minorHAnsi"/>
        </w:rPr>
        <w:t xml:space="preserve"> of the Victorian Bar</w:t>
      </w:r>
      <w:r w:rsidR="00884E37" w:rsidRPr="00A90F8A">
        <w:rPr>
          <w:rFonts w:asciiTheme="minorHAnsi" w:hAnsiTheme="minorHAnsi"/>
        </w:rPr>
        <w:t>.</w:t>
      </w:r>
    </w:p>
    <w:p w:rsidR="00947781" w:rsidRPr="00A90F8A" w:rsidRDefault="00947781" w:rsidP="00FB3639">
      <w:pPr>
        <w:pStyle w:val="PPVBody"/>
        <w:rPr>
          <w:rFonts w:asciiTheme="minorHAnsi" w:hAnsiTheme="minorHAnsi"/>
        </w:rPr>
      </w:pPr>
      <w:r w:rsidRPr="00A90F8A">
        <w:rPr>
          <w:rFonts w:asciiTheme="minorHAnsi" w:hAnsiTheme="minorHAnsi"/>
        </w:rPr>
        <w:t xml:space="preserve">The Review Panel was </w:t>
      </w:r>
      <w:r w:rsidR="00395FC6">
        <w:rPr>
          <w:rFonts w:asciiTheme="minorHAnsi" w:hAnsiTheme="minorHAnsi"/>
        </w:rPr>
        <w:t xml:space="preserve">greatly </w:t>
      </w:r>
      <w:r w:rsidRPr="00A90F8A">
        <w:rPr>
          <w:rFonts w:asciiTheme="minorHAnsi" w:hAnsiTheme="minorHAnsi"/>
        </w:rPr>
        <w:t>assisted in all aspects o</w:t>
      </w:r>
      <w:r w:rsidR="002977EB">
        <w:rPr>
          <w:rFonts w:asciiTheme="minorHAnsi" w:hAnsiTheme="minorHAnsi"/>
        </w:rPr>
        <w:t>f its work by Ms Andrea Harwood</w:t>
      </w:r>
      <w:r w:rsidRPr="00A90F8A">
        <w:rPr>
          <w:rFonts w:asciiTheme="minorHAnsi" w:hAnsiTheme="minorHAnsi"/>
        </w:rPr>
        <w:t xml:space="preserve"> </w:t>
      </w:r>
      <w:r w:rsidR="002977EB">
        <w:rPr>
          <w:rFonts w:asciiTheme="minorHAnsi" w:hAnsiTheme="minorHAnsi"/>
        </w:rPr>
        <w:t>(</w:t>
      </w:r>
      <w:r w:rsidRPr="00A90F8A">
        <w:rPr>
          <w:rFonts w:asciiTheme="minorHAnsi" w:hAnsiTheme="minorHAnsi"/>
        </w:rPr>
        <w:t>Senior Project Manager</w:t>
      </w:r>
      <w:r w:rsidR="002977EB">
        <w:rPr>
          <w:rFonts w:asciiTheme="minorHAnsi" w:hAnsiTheme="minorHAnsi"/>
        </w:rPr>
        <w:t xml:space="preserve">) with assistance from Mr Joseph Morrow (Project Officer), </w:t>
      </w:r>
      <w:r w:rsidRPr="00A90F8A">
        <w:rPr>
          <w:rFonts w:asciiTheme="minorHAnsi" w:hAnsiTheme="minorHAnsi"/>
        </w:rPr>
        <w:t xml:space="preserve">as well administrative </w:t>
      </w:r>
      <w:r w:rsidR="002977EB">
        <w:rPr>
          <w:rFonts w:asciiTheme="minorHAnsi" w:hAnsiTheme="minorHAnsi"/>
        </w:rPr>
        <w:t xml:space="preserve">staff </w:t>
      </w:r>
      <w:r w:rsidRPr="00A90F8A">
        <w:rPr>
          <w:rFonts w:asciiTheme="minorHAnsi" w:hAnsiTheme="minorHAnsi"/>
        </w:rPr>
        <w:t>of Planning Panels Victoria</w:t>
      </w:r>
      <w:r w:rsidR="0016463B">
        <w:rPr>
          <w:rFonts w:asciiTheme="minorHAnsi" w:hAnsiTheme="minorHAnsi"/>
        </w:rPr>
        <w:t xml:space="preserve"> (PPV)</w:t>
      </w:r>
      <w:r w:rsidRPr="00A90F8A">
        <w:rPr>
          <w:rFonts w:asciiTheme="minorHAnsi" w:hAnsiTheme="minorHAnsi"/>
        </w:rPr>
        <w:t>.</w:t>
      </w:r>
    </w:p>
    <w:p w:rsidR="00884E37" w:rsidRPr="00A90F8A" w:rsidRDefault="00884E37" w:rsidP="00DD6314">
      <w:pPr>
        <w:pStyle w:val="Heading2"/>
      </w:pPr>
      <w:bookmarkStart w:id="23" w:name="_Toc519710232"/>
      <w:bookmarkStart w:id="24" w:name="_Toc519766792"/>
      <w:r w:rsidRPr="00A90F8A">
        <w:t>Terms of Reference and the role of the Review Panel</w:t>
      </w:r>
      <w:bookmarkEnd w:id="23"/>
      <w:bookmarkEnd w:id="24"/>
    </w:p>
    <w:p w:rsidR="003D1DF8" w:rsidRPr="00F34841" w:rsidRDefault="003D1DF8" w:rsidP="003D1DF8">
      <w:pPr>
        <w:pStyle w:val="PPVBody"/>
      </w:pPr>
      <w:r w:rsidRPr="00C54421">
        <w:t xml:space="preserve">The Terms of Reference set out the method </w:t>
      </w:r>
      <w:r w:rsidR="00C27CDD">
        <w:t>by</w:t>
      </w:r>
      <w:r w:rsidRPr="00C54421">
        <w:t xml:space="preserve"> which the</w:t>
      </w:r>
      <w:r>
        <w:t xml:space="preserve"> Review Panel</w:t>
      </w:r>
      <w:r w:rsidRPr="00C54421">
        <w:t xml:space="preserve"> is to undertake its work including the hearing process and matters it </w:t>
      </w:r>
      <w:r w:rsidR="00C27CDD">
        <w:t>must</w:t>
      </w:r>
      <w:r w:rsidRPr="00C54421">
        <w:t xml:space="preserve"> consider w</w:t>
      </w:r>
      <w:r w:rsidR="0016463B">
        <w:t>hen making its recommendations.</w:t>
      </w:r>
      <w:r w:rsidR="00D155D3">
        <w:t xml:space="preserve">  </w:t>
      </w:r>
      <w:r w:rsidRPr="00C54421">
        <w:t>Clause 3 states that the purpose of the</w:t>
      </w:r>
      <w:r>
        <w:t xml:space="preserve"> Review Panel is to “</w:t>
      </w:r>
      <w:r w:rsidRPr="00C54421">
        <w:rPr>
          <w:i/>
        </w:rPr>
        <w:t>advise the Minister for Planning on the appropriateness of the proposed</w:t>
      </w:r>
      <w:r>
        <w:rPr>
          <w:i/>
        </w:rPr>
        <w:t xml:space="preserve"> planning scheme amendment GC81”</w:t>
      </w:r>
      <w:r w:rsidRPr="00C54421">
        <w:rPr>
          <w:i/>
        </w:rPr>
        <w:t>.</w:t>
      </w:r>
      <w:r w:rsidR="00D155D3">
        <w:t xml:space="preserve">  </w:t>
      </w:r>
      <w:r w:rsidR="00C27CDD">
        <w:t>Clauses 16 to 21 outline</w:t>
      </w:r>
      <w:r w:rsidRPr="00C54421">
        <w:t xml:space="preserve"> the</w:t>
      </w:r>
      <w:r>
        <w:t xml:space="preserve"> Review Panel</w:t>
      </w:r>
      <w:r w:rsidRPr="00C54421">
        <w:t xml:space="preserve"> </w:t>
      </w:r>
      <w:r w:rsidR="00D155D3">
        <w:t>process</w:t>
      </w:r>
      <w:r w:rsidRPr="00C54421">
        <w:t xml:space="preserve">, </w:t>
      </w:r>
      <w:r w:rsidR="0016463B">
        <w:t>including</w:t>
      </w:r>
      <w:r w:rsidRPr="00C54421">
        <w:t>:</w:t>
      </w:r>
    </w:p>
    <w:p w:rsidR="003D1DF8" w:rsidRPr="00416D18" w:rsidRDefault="00EF7E81" w:rsidP="00050BC6">
      <w:pPr>
        <w:pStyle w:val="PPVQuotewithanumber"/>
        <w:rPr>
          <w:b/>
        </w:rPr>
      </w:pPr>
      <w:r>
        <w:t xml:space="preserve">16. </w:t>
      </w:r>
      <w:r>
        <w:tab/>
      </w:r>
      <w:r w:rsidR="003D1DF8" w:rsidRPr="00416D18">
        <w:t>The</w:t>
      </w:r>
      <w:r w:rsidR="003D1DF8">
        <w:t xml:space="preserve"> Review Panel</w:t>
      </w:r>
      <w:r w:rsidR="003D1DF8" w:rsidRPr="00416D18">
        <w:t xml:space="preserve"> is expected to carry out a public hearing on the planning scheme amendment</w:t>
      </w:r>
      <w:r>
        <w:t>.</w:t>
      </w:r>
    </w:p>
    <w:p w:rsidR="003D1DF8" w:rsidRPr="00416D18" w:rsidRDefault="00EF7E81" w:rsidP="00050BC6">
      <w:pPr>
        <w:pStyle w:val="PPVQuotewithanumber"/>
      </w:pPr>
      <w:r>
        <w:t xml:space="preserve">17. </w:t>
      </w:r>
      <w:r>
        <w:tab/>
      </w:r>
      <w:r w:rsidR="003D1DF8" w:rsidRPr="00416D18">
        <w:t>The</w:t>
      </w:r>
      <w:r w:rsidR="003D1DF8">
        <w:t xml:space="preserve"> Review Panel</w:t>
      </w:r>
      <w:r w:rsidR="003D1DF8" w:rsidRPr="00416D18">
        <w:t xml:space="preserve"> may meet and invite others to meet with it when there is a quorum of at least two Committee members including either the Chair or Deputy Chair.</w:t>
      </w:r>
    </w:p>
    <w:p w:rsidR="003D1DF8" w:rsidRPr="00416D18" w:rsidRDefault="00EF7E81" w:rsidP="00050BC6">
      <w:pPr>
        <w:pStyle w:val="PPVQuotewithanumber"/>
      </w:pPr>
      <w:r>
        <w:t xml:space="preserve">18. </w:t>
      </w:r>
      <w:r>
        <w:tab/>
      </w:r>
      <w:r w:rsidR="003D1DF8" w:rsidRPr="00416D18">
        <w:t>The</w:t>
      </w:r>
      <w:r w:rsidR="003D1DF8">
        <w:t xml:space="preserve"> Review Panel</w:t>
      </w:r>
      <w:r w:rsidR="003D1DF8" w:rsidRPr="00416D18">
        <w:t xml:space="preserve"> may seek advice from experts where it considers this necessary.</w:t>
      </w:r>
    </w:p>
    <w:p w:rsidR="003D1DF8" w:rsidRPr="00416D18" w:rsidRDefault="00EF7E81" w:rsidP="00050BC6">
      <w:pPr>
        <w:pStyle w:val="PPVQuotewithanumber"/>
      </w:pPr>
      <w:r>
        <w:t xml:space="preserve">21. </w:t>
      </w:r>
      <w:r>
        <w:tab/>
      </w:r>
      <w:r w:rsidR="003D1DF8" w:rsidRPr="00416D18">
        <w:t>The</w:t>
      </w:r>
      <w:r w:rsidR="003D1DF8">
        <w:t xml:space="preserve"> Review Panel</w:t>
      </w:r>
      <w:r w:rsidR="003D1DF8" w:rsidRPr="00416D18">
        <w:t xml:space="preserve"> will be briefed on relevant background information by the DELWP Taskforce.</w:t>
      </w:r>
    </w:p>
    <w:p w:rsidR="003D1DF8" w:rsidRPr="00C54421" w:rsidRDefault="0016463B" w:rsidP="003D1DF8">
      <w:pPr>
        <w:pStyle w:val="PPVBody"/>
      </w:pPr>
      <w:r>
        <w:t>Clauses 27 to 30 outline</w:t>
      </w:r>
      <w:r w:rsidR="003D1DF8" w:rsidRPr="00C54421">
        <w:t xml:space="preserve"> the method </w:t>
      </w:r>
      <w:r w:rsidR="00D155D3">
        <w:t xml:space="preserve">by </w:t>
      </w:r>
      <w:r w:rsidR="003D1DF8" w:rsidRPr="00C54421">
        <w:t xml:space="preserve">which the </w:t>
      </w:r>
      <w:r w:rsidR="00E070FF">
        <w:t>H</w:t>
      </w:r>
      <w:r w:rsidR="003D1DF8" w:rsidRPr="00C54421">
        <w:t>earing process is to be undertaken:</w:t>
      </w:r>
    </w:p>
    <w:p w:rsidR="003D1DF8" w:rsidRPr="00C54421" w:rsidRDefault="00EF7E81" w:rsidP="00050BC6">
      <w:pPr>
        <w:pStyle w:val="PPVQuotewithanumber"/>
      </w:pPr>
      <w:r>
        <w:t xml:space="preserve">27. </w:t>
      </w:r>
      <w:r>
        <w:tab/>
      </w:r>
      <w:r w:rsidR="003D1DF8" w:rsidRPr="00C54421">
        <w:t>The</w:t>
      </w:r>
      <w:r w:rsidR="003D1DF8">
        <w:t xml:space="preserve"> Review Panel</w:t>
      </w:r>
      <w:r w:rsidR="003D1DF8" w:rsidRPr="00C54421">
        <w:t xml:space="preserve"> may inform itself in any</w:t>
      </w:r>
      <w:r w:rsidR="00B13277">
        <w:t xml:space="preserve"> </w:t>
      </w:r>
      <w:r w:rsidR="003D1DF8" w:rsidRPr="00C54421">
        <w:t>way it sees fit, but it must consider:</w:t>
      </w:r>
    </w:p>
    <w:p w:rsidR="003D1DF8" w:rsidRPr="00050BC6" w:rsidRDefault="00EF7E81" w:rsidP="00050BC6">
      <w:pPr>
        <w:pStyle w:val="PPVQuote"/>
        <w:ind w:left="1276" w:hanging="425"/>
      </w:pPr>
      <w:r w:rsidRPr="00050BC6">
        <w:t xml:space="preserve">a. </w:t>
      </w:r>
      <w:r w:rsidRPr="00050BC6">
        <w:tab/>
      </w:r>
      <w:r w:rsidR="003D1DF8" w:rsidRPr="00050BC6">
        <w:t>The State policy conte</w:t>
      </w:r>
      <w:r w:rsidR="00395FC6" w:rsidRPr="00050BC6">
        <w:t>x</w:t>
      </w:r>
      <w:r w:rsidR="003D1DF8" w:rsidRPr="00050BC6">
        <w:t>t of the Fishermans Bend area.</w:t>
      </w:r>
    </w:p>
    <w:p w:rsidR="003D1DF8" w:rsidRPr="00050BC6" w:rsidRDefault="00EF7E81" w:rsidP="00050BC6">
      <w:pPr>
        <w:pStyle w:val="PPVQuote"/>
        <w:ind w:left="1276" w:hanging="425"/>
      </w:pPr>
      <w:r w:rsidRPr="00050BC6">
        <w:lastRenderedPageBreak/>
        <w:t xml:space="preserve">b. </w:t>
      </w:r>
      <w:r w:rsidRPr="00050BC6">
        <w:tab/>
      </w:r>
      <w:r w:rsidR="003D1DF8" w:rsidRPr="00050BC6">
        <w:t>The extent to whi</w:t>
      </w:r>
      <w:r w:rsidR="00395FC6" w:rsidRPr="00050BC6">
        <w:t>ch the proposed changes to the C</w:t>
      </w:r>
      <w:r w:rsidR="003D1DF8" w:rsidRPr="00050BC6">
        <w:t>apital City Zone Schedule 1 (Port Phillip) and Capital City Zone Schedule 4 (Melbourne) allows for the Fishermans Bend Vision (September 2016) to be achieved.</w:t>
      </w:r>
    </w:p>
    <w:p w:rsidR="003D1DF8" w:rsidRPr="00050BC6" w:rsidRDefault="00EF7E81" w:rsidP="00050BC6">
      <w:pPr>
        <w:pStyle w:val="PPVQuote"/>
        <w:ind w:left="1276" w:hanging="425"/>
      </w:pPr>
      <w:r w:rsidRPr="00050BC6">
        <w:t xml:space="preserve">c. </w:t>
      </w:r>
      <w:r w:rsidRPr="00050BC6">
        <w:tab/>
      </w:r>
      <w:r w:rsidR="003D1DF8" w:rsidRPr="00050BC6">
        <w:t>The extent to which all other proposed changes sought by GC81 allows for the Fishermans Bend Vision of (September 2016) to be achieved.</w:t>
      </w:r>
    </w:p>
    <w:p w:rsidR="003D1DF8" w:rsidRPr="00050BC6" w:rsidRDefault="00EF7E81" w:rsidP="00050BC6">
      <w:pPr>
        <w:pStyle w:val="PPVQuote"/>
        <w:ind w:left="1276" w:hanging="425"/>
      </w:pPr>
      <w:r w:rsidRPr="00050BC6">
        <w:t xml:space="preserve">d. </w:t>
      </w:r>
      <w:r w:rsidRPr="00050BC6">
        <w:tab/>
      </w:r>
      <w:r w:rsidR="003D1DF8" w:rsidRPr="00050BC6">
        <w:t>All relevant submissions made in regard to the proposed changes to the Port Phillip and Melbourne Planning Schemes.</w:t>
      </w:r>
    </w:p>
    <w:p w:rsidR="003D1DF8" w:rsidRPr="00050BC6" w:rsidRDefault="00EF7E81" w:rsidP="00050BC6">
      <w:pPr>
        <w:pStyle w:val="PPVQuote"/>
        <w:ind w:left="1276" w:hanging="425"/>
      </w:pPr>
      <w:r w:rsidRPr="00050BC6">
        <w:t xml:space="preserve">e. </w:t>
      </w:r>
      <w:r w:rsidRPr="00050BC6">
        <w:tab/>
      </w:r>
      <w:r w:rsidR="003D1DF8" w:rsidRPr="00050BC6">
        <w:t xml:space="preserve">An assessment of whether the proposed planning provisions make proper use of the Victoria Planning Provisions and are prepared and presented in accordance with the Ministerial Direction on </w:t>
      </w:r>
      <w:r w:rsidR="006C32DA" w:rsidRPr="00050BC6">
        <w:t>T</w:t>
      </w:r>
      <w:r w:rsidR="003D1DF8" w:rsidRPr="00050BC6">
        <w:t>he Form and Content of Planning Schemes.</w:t>
      </w:r>
    </w:p>
    <w:p w:rsidR="003D1DF8" w:rsidRPr="00EF7E81" w:rsidRDefault="00EF7E81" w:rsidP="00050BC6">
      <w:pPr>
        <w:pStyle w:val="PPVQuotewithanumber"/>
      </w:pPr>
      <w:r>
        <w:t xml:space="preserve">28. </w:t>
      </w:r>
      <w:r>
        <w:tab/>
      </w:r>
      <w:r w:rsidR="003D1DF8" w:rsidRPr="00EF7E81">
        <w:t xml:space="preserve">The Review Panel will provide an opportunity for any person who requests to be heard through the submission process to present to it. </w:t>
      </w:r>
      <w:r>
        <w:t xml:space="preserve"> </w:t>
      </w:r>
      <w:r w:rsidR="003D1DF8" w:rsidRPr="00EF7E81">
        <w:t>Submitters are not required to have formal representation</w:t>
      </w:r>
      <w:r w:rsidR="00395FC6">
        <w:t>.</w:t>
      </w:r>
    </w:p>
    <w:p w:rsidR="003D1DF8" w:rsidRPr="004A662B" w:rsidRDefault="00EF7E81" w:rsidP="00050BC6">
      <w:pPr>
        <w:pStyle w:val="PPVQuotewithanumber"/>
      </w:pPr>
      <w:r>
        <w:t>29.</w:t>
      </w:r>
      <w:r>
        <w:tab/>
      </w:r>
      <w:r w:rsidR="003D1DF8" w:rsidRPr="004A662B">
        <w:t>The</w:t>
      </w:r>
      <w:r w:rsidR="003D1DF8">
        <w:t xml:space="preserve"> Review Panel</w:t>
      </w:r>
      <w:r w:rsidR="003D1DF8" w:rsidRPr="004A662B">
        <w:t xml:space="preserve"> may limit the time of parties appearing before it using the following timeframes:</w:t>
      </w:r>
    </w:p>
    <w:p w:rsidR="003D1DF8" w:rsidRPr="00050BC6" w:rsidRDefault="00EF7E81" w:rsidP="00050BC6">
      <w:pPr>
        <w:pStyle w:val="PPVQuote"/>
        <w:ind w:left="1276" w:hanging="425"/>
      </w:pPr>
      <w:r w:rsidRPr="00050BC6">
        <w:t xml:space="preserve">a. </w:t>
      </w:r>
      <w:r w:rsidRPr="00050BC6">
        <w:tab/>
      </w:r>
      <w:r w:rsidR="003D1DF8" w:rsidRPr="00050BC6">
        <w:t>Local Council – 3 hours</w:t>
      </w:r>
    </w:p>
    <w:p w:rsidR="003D1DF8" w:rsidRPr="00050BC6" w:rsidRDefault="00EF7E81" w:rsidP="00050BC6">
      <w:pPr>
        <w:pStyle w:val="PPVQuote"/>
        <w:ind w:left="1276" w:hanging="425"/>
      </w:pPr>
      <w:r w:rsidRPr="00050BC6">
        <w:t xml:space="preserve">b. </w:t>
      </w:r>
      <w:r w:rsidRPr="00050BC6">
        <w:tab/>
      </w:r>
      <w:r w:rsidR="003D1DF8" w:rsidRPr="00050BC6">
        <w:t>Land Owner – 2 to 3 hours</w:t>
      </w:r>
    </w:p>
    <w:p w:rsidR="003D1DF8" w:rsidRPr="00050BC6" w:rsidRDefault="00EF7E81" w:rsidP="00050BC6">
      <w:pPr>
        <w:pStyle w:val="PPVQuote"/>
        <w:ind w:left="1276" w:hanging="425"/>
      </w:pPr>
      <w:r w:rsidRPr="00050BC6">
        <w:t xml:space="preserve">c. </w:t>
      </w:r>
      <w:r w:rsidRPr="00050BC6">
        <w:tab/>
      </w:r>
      <w:r w:rsidR="003D1DF8" w:rsidRPr="00050BC6">
        <w:t>Agency or statutory authority – 1 hour</w:t>
      </w:r>
    </w:p>
    <w:p w:rsidR="003D1DF8" w:rsidRPr="00050BC6" w:rsidRDefault="00EF7E81" w:rsidP="00050BC6">
      <w:pPr>
        <w:pStyle w:val="PPVQuote"/>
        <w:ind w:left="1276" w:hanging="425"/>
      </w:pPr>
      <w:r w:rsidRPr="00050BC6">
        <w:t xml:space="preserve">d. </w:t>
      </w:r>
      <w:r w:rsidRPr="00050BC6">
        <w:tab/>
      </w:r>
      <w:r w:rsidR="003D1DF8" w:rsidRPr="00050BC6">
        <w:t>Community Group – 1 hour</w:t>
      </w:r>
    </w:p>
    <w:p w:rsidR="003D1DF8" w:rsidRPr="00050BC6" w:rsidRDefault="00EF7E81" w:rsidP="00050BC6">
      <w:pPr>
        <w:pStyle w:val="PPVQuote"/>
        <w:ind w:left="1276" w:hanging="425"/>
      </w:pPr>
      <w:r w:rsidRPr="00050BC6">
        <w:t xml:space="preserve">e. </w:t>
      </w:r>
      <w:r w:rsidRPr="00050BC6">
        <w:tab/>
      </w:r>
      <w:r w:rsidR="003D1DF8" w:rsidRPr="00050BC6">
        <w:t>Individual – 30 minutes</w:t>
      </w:r>
    </w:p>
    <w:p w:rsidR="003D1DF8" w:rsidRPr="00C54421" w:rsidRDefault="00EF7E81" w:rsidP="00050BC6">
      <w:pPr>
        <w:pStyle w:val="PPVQuotewithanumber"/>
      </w:pPr>
      <w:r>
        <w:t xml:space="preserve">30. </w:t>
      </w:r>
      <w:r>
        <w:tab/>
      </w:r>
      <w:r w:rsidR="003D1DF8" w:rsidRPr="00C54421">
        <w:t>The</w:t>
      </w:r>
      <w:r w:rsidR="003D1DF8">
        <w:t xml:space="preserve"> Review Panel</w:t>
      </w:r>
      <w:r w:rsidR="003D1DF8" w:rsidRPr="00C54421">
        <w:t xml:space="preserve"> may at its discretion:</w:t>
      </w:r>
    </w:p>
    <w:p w:rsidR="003D1DF8" w:rsidRPr="00050BC6" w:rsidRDefault="00EF7E81" w:rsidP="00050BC6">
      <w:pPr>
        <w:pStyle w:val="PPVQuote"/>
        <w:ind w:left="1276" w:hanging="425"/>
      </w:pPr>
      <w:r w:rsidRPr="00050BC6">
        <w:t xml:space="preserve">a. </w:t>
      </w:r>
      <w:r w:rsidRPr="00050BC6">
        <w:tab/>
      </w:r>
      <w:r w:rsidR="003D1DF8" w:rsidRPr="00050BC6">
        <w:t>Limit the time for presentation of evidence by witnesses</w:t>
      </w:r>
    </w:p>
    <w:p w:rsidR="003D1DF8" w:rsidRPr="00050BC6" w:rsidRDefault="00EF7E81" w:rsidP="00050BC6">
      <w:pPr>
        <w:pStyle w:val="PPVQuote"/>
        <w:ind w:left="1276" w:hanging="425"/>
      </w:pPr>
      <w:r w:rsidRPr="00050BC6">
        <w:t xml:space="preserve">b. </w:t>
      </w:r>
      <w:r w:rsidRPr="00050BC6">
        <w:tab/>
      </w:r>
      <w:r w:rsidR="003D1DF8" w:rsidRPr="00050BC6">
        <w:t>Control cross examination of witnesses, including prohibition of cross examination in appropriate circumstances</w:t>
      </w:r>
    </w:p>
    <w:p w:rsidR="003D1DF8" w:rsidRPr="00050BC6" w:rsidRDefault="00EF7E81" w:rsidP="00050BC6">
      <w:pPr>
        <w:pStyle w:val="PPVQuote"/>
        <w:ind w:left="1276" w:hanging="425"/>
      </w:pPr>
      <w:r w:rsidRPr="00050BC6">
        <w:t xml:space="preserve">c. </w:t>
      </w:r>
      <w:r w:rsidRPr="00050BC6">
        <w:tab/>
      </w:r>
      <w:r w:rsidR="003D1DF8" w:rsidRPr="00050BC6">
        <w:t xml:space="preserve">Conduct concurrent </w:t>
      </w:r>
      <w:r w:rsidR="00E070FF" w:rsidRPr="00050BC6">
        <w:t>H</w:t>
      </w:r>
      <w:r w:rsidR="003D1DF8" w:rsidRPr="00050BC6">
        <w:t xml:space="preserve">earings on matters as determined by the Review Panel, where in its opinion, no submitter who wishes to participate in the hearing is likely to be unfairly prejudiced by concurrent </w:t>
      </w:r>
      <w:r w:rsidR="00E070FF" w:rsidRPr="00050BC6">
        <w:t>H</w:t>
      </w:r>
      <w:r w:rsidR="003D1DF8" w:rsidRPr="00050BC6">
        <w:t>earings.</w:t>
      </w:r>
    </w:p>
    <w:p w:rsidR="003D1DF8" w:rsidRDefault="003D1DF8" w:rsidP="003D1DF8">
      <w:pPr>
        <w:pStyle w:val="PPVBody"/>
      </w:pPr>
      <w:r w:rsidRPr="00C54421">
        <w:t>The</w:t>
      </w:r>
      <w:r>
        <w:t xml:space="preserve"> Review Panel</w:t>
      </w:r>
      <w:r w:rsidRPr="00C54421">
        <w:t xml:space="preserve"> is </w:t>
      </w:r>
      <w:r w:rsidR="006F1174">
        <w:t xml:space="preserve">required </w:t>
      </w:r>
      <w:r w:rsidRPr="00C54421">
        <w:t xml:space="preserve">to produce a written report for the Minister.  Clause 35 outlines the matters </w:t>
      </w:r>
      <w:r w:rsidR="00D155D3">
        <w:t>it</w:t>
      </w:r>
      <w:r w:rsidRPr="00C54421">
        <w:t xml:space="preserve"> must consider in making its recommendations to the Minister:</w:t>
      </w:r>
    </w:p>
    <w:p w:rsidR="00B34723" w:rsidRPr="00050BC6" w:rsidRDefault="00050BC6" w:rsidP="00050BC6">
      <w:pPr>
        <w:pStyle w:val="PPVQuote"/>
        <w:ind w:left="1276" w:hanging="425"/>
      </w:pPr>
      <w:r w:rsidRPr="00050BC6">
        <w:t>a.</w:t>
      </w:r>
      <w:r w:rsidRPr="00050BC6">
        <w:tab/>
      </w:r>
      <w:r w:rsidR="00B34723" w:rsidRPr="00050BC6">
        <w:t>A summary of the Review Panel’s reasons for recommending (or otherwise) amendments to the proposed planning scheme amendment</w:t>
      </w:r>
      <w:r w:rsidR="00EF7E81" w:rsidRPr="00050BC6">
        <w:t>.</w:t>
      </w:r>
    </w:p>
    <w:p w:rsidR="00B34723" w:rsidRPr="00050BC6" w:rsidRDefault="00050BC6" w:rsidP="00050BC6">
      <w:pPr>
        <w:pStyle w:val="PPVQuote"/>
        <w:ind w:left="1276" w:hanging="425"/>
      </w:pPr>
      <w:r w:rsidRPr="00050BC6">
        <w:t>b.</w:t>
      </w:r>
      <w:r w:rsidRPr="00050BC6">
        <w:tab/>
      </w:r>
      <w:r w:rsidR="00B34723" w:rsidRPr="00050BC6">
        <w:t>A track change version of the proposed planning scheme schedules and clauses</w:t>
      </w:r>
      <w:r w:rsidR="00EF7E81" w:rsidRPr="00050BC6">
        <w:t>.</w:t>
      </w:r>
    </w:p>
    <w:p w:rsidR="00B34723" w:rsidRPr="00050BC6" w:rsidRDefault="00050BC6" w:rsidP="00050BC6">
      <w:pPr>
        <w:pStyle w:val="PPVQuote"/>
        <w:ind w:left="1276" w:hanging="425"/>
      </w:pPr>
      <w:r w:rsidRPr="00050BC6">
        <w:t>c.</w:t>
      </w:r>
      <w:r w:rsidRPr="00050BC6">
        <w:tab/>
      </w:r>
      <w:r w:rsidR="00B34723" w:rsidRPr="00050BC6">
        <w:t>Any additional recommendations for amendments to the propose</w:t>
      </w:r>
      <w:r w:rsidR="00EF7E81" w:rsidRPr="00050BC6">
        <w:t>d Capital City Zone Schedule.</w:t>
      </w:r>
    </w:p>
    <w:p w:rsidR="00B34723" w:rsidRPr="00050BC6" w:rsidRDefault="00050BC6" w:rsidP="00050BC6">
      <w:pPr>
        <w:pStyle w:val="PPVQuote"/>
        <w:ind w:left="1276" w:hanging="425"/>
      </w:pPr>
      <w:r w:rsidRPr="00050BC6">
        <w:t>d.</w:t>
      </w:r>
      <w:r w:rsidRPr="00050BC6">
        <w:tab/>
      </w:r>
      <w:r w:rsidR="00B34723" w:rsidRPr="00050BC6">
        <w:t>Any additional recommendations for amendment to all other proposed planning scheme changes sought by the planning scheme amendment</w:t>
      </w:r>
      <w:r w:rsidR="00EF7E81" w:rsidRPr="00050BC6">
        <w:t>.</w:t>
      </w:r>
    </w:p>
    <w:p w:rsidR="00B34723" w:rsidRPr="00050BC6" w:rsidRDefault="00050BC6" w:rsidP="00050BC6">
      <w:pPr>
        <w:pStyle w:val="PPVQuote"/>
        <w:ind w:left="1276" w:hanging="425"/>
      </w:pPr>
      <w:r w:rsidRPr="00050BC6">
        <w:lastRenderedPageBreak/>
        <w:t>e.</w:t>
      </w:r>
      <w:r w:rsidRPr="00050BC6">
        <w:tab/>
      </w:r>
      <w:r w:rsidR="00B34723" w:rsidRPr="00050BC6">
        <w:t>Any changes required to the draft Fishermans Bend Framework as a result of recommendations made to the planning scheme amendment.</w:t>
      </w:r>
    </w:p>
    <w:p w:rsidR="00B34723" w:rsidRPr="00050BC6" w:rsidRDefault="00050BC6" w:rsidP="00050BC6">
      <w:pPr>
        <w:pStyle w:val="PPVQuote"/>
        <w:ind w:left="1276" w:hanging="425"/>
      </w:pPr>
      <w:r w:rsidRPr="00050BC6">
        <w:t>f.</w:t>
      </w:r>
      <w:r w:rsidRPr="00050BC6">
        <w:tab/>
      </w:r>
      <w:r w:rsidR="00B34723" w:rsidRPr="00050BC6">
        <w:t>A summary of all submitters heard that presented on matters outside the consideration of the Review Panel</w:t>
      </w:r>
      <w:r w:rsidR="00EF7E81" w:rsidRPr="00050BC6">
        <w:t>.</w:t>
      </w:r>
    </w:p>
    <w:p w:rsidR="00B34723" w:rsidRPr="00050BC6" w:rsidRDefault="00050BC6" w:rsidP="00050BC6">
      <w:pPr>
        <w:pStyle w:val="PPVQuote"/>
        <w:ind w:left="1276" w:hanging="425"/>
      </w:pPr>
      <w:r w:rsidRPr="00050BC6">
        <w:t>g.</w:t>
      </w:r>
      <w:r w:rsidRPr="00050BC6">
        <w:tab/>
      </w:r>
      <w:r w:rsidR="00B34723" w:rsidRPr="00050BC6">
        <w:t>A list of persons who made submissions considered by the Review Panel</w:t>
      </w:r>
      <w:r w:rsidR="00EF7E81" w:rsidRPr="00050BC6">
        <w:t>.</w:t>
      </w:r>
    </w:p>
    <w:p w:rsidR="00B34723" w:rsidRPr="00050BC6" w:rsidRDefault="00050BC6" w:rsidP="00050BC6">
      <w:pPr>
        <w:pStyle w:val="PPVQuote"/>
        <w:ind w:left="1276" w:hanging="425"/>
      </w:pPr>
      <w:r w:rsidRPr="00050BC6">
        <w:t>h.</w:t>
      </w:r>
      <w:r w:rsidRPr="00050BC6">
        <w:tab/>
      </w:r>
      <w:r w:rsidR="00B34723" w:rsidRPr="00050BC6">
        <w:t>A list of persons consulted or heard</w:t>
      </w:r>
      <w:r w:rsidR="00EF7E81" w:rsidRPr="00050BC6">
        <w:t>.</w:t>
      </w:r>
    </w:p>
    <w:p w:rsidR="00785416" w:rsidRDefault="00BB75BC" w:rsidP="00FB3639">
      <w:pPr>
        <w:pStyle w:val="PPVBody"/>
        <w:rPr>
          <w:rFonts w:asciiTheme="minorHAnsi" w:hAnsiTheme="minorHAnsi"/>
        </w:rPr>
      </w:pPr>
      <w:r w:rsidRPr="00A90F8A">
        <w:rPr>
          <w:rFonts w:asciiTheme="minorHAnsi" w:hAnsiTheme="minorHAnsi"/>
        </w:rPr>
        <w:t xml:space="preserve">The Terms of Reference </w:t>
      </w:r>
      <w:r w:rsidR="00D155D3">
        <w:rPr>
          <w:rFonts w:asciiTheme="minorHAnsi" w:hAnsiTheme="minorHAnsi"/>
        </w:rPr>
        <w:t xml:space="preserve">require </w:t>
      </w:r>
      <w:r w:rsidRPr="00A90F8A">
        <w:rPr>
          <w:rFonts w:asciiTheme="minorHAnsi" w:hAnsiTheme="minorHAnsi"/>
        </w:rPr>
        <w:t>that the Review Panel’s report be provided to the Minister within 40 business days of the last Hearing date.</w:t>
      </w:r>
      <w:r w:rsidR="00D155D3">
        <w:rPr>
          <w:rFonts w:asciiTheme="minorHAnsi" w:hAnsiTheme="minorHAnsi"/>
        </w:rPr>
        <w:t xml:space="preserve">  The </w:t>
      </w:r>
      <w:r w:rsidR="00947781" w:rsidRPr="00A90F8A">
        <w:rPr>
          <w:rFonts w:asciiTheme="minorHAnsi" w:hAnsiTheme="minorHAnsi"/>
        </w:rPr>
        <w:t>original final date of the Hearing was Thursday 24 May 2018, how</w:t>
      </w:r>
      <w:r w:rsidR="00475C1E" w:rsidRPr="00A90F8A">
        <w:rPr>
          <w:rFonts w:asciiTheme="minorHAnsi" w:hAnsiTheme="minorHAnsi"/>
        </w:rPr>
        <w:t>e</w:t>
      </w:r>
      <w:r w:rsidR="00395FC6">
        <w:rPr>
          <w:rFonts w:asciiTheme="minorHAnsi" w:hAnsiTheme="minorHAnsi"/>
        </w:rPr>
        <w:t>ver, t</w:t>
      </w:r>
      <w:r w:rsidR="0016463B">
        <w:rPr>
          <w:rFonts w:asciiTheme="minorHAnsi" w:hAnsiTheme="minorHAnsi"/>
        </w:rPr>
        <w:t>wo</w:t>
      </w:r>
      <w:r w:rsidR="00947781" w:rsidRPr="00A90F8A">
        <w:rPr>
          <w:rFonts w:asciiTheme="minorHAnsi" w:hAnsiTheme="minorHAnsi"/>
        </w:rPr>
        <w:t xml:space="preserve"> da</w:t>
      </w:r>
      <w:r w:rsidR="0016463B">
        <w:rPr>
          <w:rFonts w:asciiTheme="minorHAnsi" w:hAnsiTheme="minorHAnsi"/>
        </w:rPr>
        <w:t>y</w:t>
      </w:r>
      <w:r w:rsidR="00325B83">
        <w:rPr>
          <w:rFonts w:asciiTheme="minorHAnsi" w:hAnsiTheme="minorHAnsi"/>
        </w:rPr>
        <w:t>s</w:t>
      </w:r>
      <w:r w:rsidR="00947781" w:rsidRPr="00A90F8A">
        <w:rPr>
          <w:rFonts w:asciiTheme="minorHAnsi" w:hAnsiTheme="minorHAnsi"/>
        </w:rPr>
        <w:t xml:space="preserve"> were added to the timetable to provide further opportunity for parties to </w:t>
      </w:r>
      <w:r w:rsidR="00CC27DD">
        <w:rPr>
          <w:rFonts w:asciiTheme="minorHAnsi" w:hAnsiTheme="minorHAnsi"/>
        </w:rPr>
        <w:t xml:space="preserve">make </w:t>
      </w:r>
      <w:r w:rsidR="00947781" w:rsidRPr="00A90F8A">
        <w:rPr>
          <w:rFonts w:asciiTheme="minorHAnsi" w:hAnsiTheme="minorHAnsi"/>
        </w:rPr>
        <w:t>closing submissions</w:t>
      </w:r>
      <w:r w:rsidR="00395FC6">
        <w:rPr>
          <w:rFonts w:asciiTheme="minorHAnsi" w:hAnsiTheme="minorHAnsi"/>
        </w:rPr>
        <w:t xml:space="preserve"> (20</w:t>
      </w:r>
      <w:r w:rsidR="00F606B4">
        <w:rPr>
          <w:rFonts w:asciiTheme="minorHAnsi" w:hAnsiTheme="minorHAnsi"/>
        </w:rPr>
        <w:t xml:space="preserve"> and</w:t>
      </w:r>
      <w:r w:rsidR="00395FC6">
        <w:rPr>
          <w:rFonts w:asciiTheme="minorHAnsi" w:hAnsiTheme="minorHAnsi"/>
        </w:rPr>
        <w:t xml:space="preserve"> 22 June 2018)</w:t>
      </w:r>
      <w:r w:rsidR="00947781" w:rsidRPr="00A90F8A">
        <w:rPr>
          <w:rFonts w:asciiTheme="minorHAnsi" w:hAnsiTheme="minorHAnsi"/>
        </w:rPr>
        <w:t>.</w:t>
      </w:r>
    </w:p>
    <w:p w:rsidR="00E01736" w:rsidRPr="00A90F8A" w:rsidRDefault="00E01736" w:rsidP="00DD6314">
      <w:pPr>
        <w:pStyle w:val="Heading2"/>
      </w:pPr>
      <w:bookmarkStart w:id="25" w:name="_Toc519710233"/>
      <w:bookmarkStart w:id="26" w:name="_Toc519766793"/>
      <w:r w:rsidRPr="00A90F8A">
        <w:t>Review Panel process</w:t>
      </w:r>
      <w:bookmarkEnd w:id="25"/>
      <w:bookmarkEnd w:id="26"/>
    </w:p>
    <w:p w:rsidR="00E01736" w:rsidRPr="00A90F8A" w:rsidRDefault="00E01736" w:rsidP="00E01736">
      <w:pPr>
        <w:pStyle w:val="Heading4"/>
        <w:rPr>
          <w:rFonts w:asciiTheme="minorHAnsi" w:hAnsiTheme="minorHAnsi"/>
        </w:rPr>
      </w:pPr>
      <w:r w:rsidRPr="00A90F8A">
        <w:rPr>
          <w:rFonts w:asciiTheme="minorHAnsi" w:hAnsiTheme="minorHAnsi"/>
        </w:rPr>
        <w:t>Notification and submissions</w:t>
      </w:r>
    </w:p>
    <w:p w:rsidR="00EE461B" w:rsidRDefault="00E01736" w:rsidP="00E01736">
      <w:pPr>
        <w:pStyle w:val="PPVBody"/>
        <w:rPr>
          <w:rFonts w:asciiTheme="minorHAnsi" w:hAnsiTheme="minorHAnsi"/>
        </w:rPr>
      </w:pPr>
      <w:r w:rsidRPr="00A90F8A">
        <w:rPr>
          <w:rFonts w:asciiTheme="minorHAnsi" w:hAnsiTheme="minorHAnsi"/>
        </w:rPr>
        <w:t xml:space="preserve">The draft Amendment was placed on public exhibition between </w:t>
      </w:r>
      <w:r w:rsidR="002C23B1" w:rsidRPr="00A90F8A">
        <w:rPr>
          <w:rFonts w:asciiTheme="minorHAnsi" w:hAnsiTheme="minorHAnsi"/>
        </w:rPr>
        <w:t>31</w:t>
      </w:r>
      <w:r w:rsidR="007A66DF" w:rsidRPr="00A90F8A">
        <w:rPr>
          <w:rFonts w:asciiTheme="minorHAnsi" w:hAnsiTheme="minorHAnsi"/>
        </w:rPr>
        <w:t xml:space="preserve"> October and 15 December 2017. </w:t>
      </w:r>
      <w:r w:rsidR="007A27D6" w:rsidRPr="00A90F8A">
        <w:rPr>
          <w:rFonts w:asciiTheme="minorHAnsi" w:hAnsiTheme="minorHAnsi"/>
        </w:rPr>
        <w:t xml:space="preserve"> </w:t>
      </w:r>
      <w:r w:rsidR="0000525E" w:rsidRPr="00A90F8A">
        <w:rPr>
          <w:rFonts w:asciiTheme="minorHAnsi" w:hAnsiTheme="minorHAnsi"/>
        </w:rPr>
        <w:t xml:space="preserve">As outlined </w:t>
      </w:r>
      <w:r w:rsidR="00395FC6">
        <w:rPr>
          <w:rFonts w:asciiTheme="minorHAnsi" w:hAnsiTheme="minorHAnsi"/>
        </w:rPr>
        <w:t>in</w:t>
      </w:r>
      <w:r w:rsidR="0000525E" w:rsidRPr="00A90F8A">
        <w:rPr>
          <w:rFonts w:asciiTheme="minorHAnsi" w:hAnsiTheme="minorHAnsi"/>
        </w:rPr>
        <w:t xml:space="preserve"> Clause </w:t>
      </w:r>
      <w:r w:rsidR="00432270" w:rsidRPr="00A90F8A">
        <w:rPr>
          <w:rFonts w:asciiTheme="minorHAnsi" w:hAnsiTheme="minorHAnsi"/>
        </w:rPr>
        <w:t>22</w:t>
      </w:r>
      <w:r w:rsidR="00395FC6">
        <w:rPr>
          <w:rFonts w:asciiTheme="minorHAnsi" w:hAnsiTheme="minorHAnsi"/>
        </w:rPr>
        <w:t xml:space="preserve"> of the Terms of Reference</w:t>
      </w:r>
      <w:r w:rsidR="00432270" w:rsidRPr="00A90F8A">
        <w:rPr>
          <w:rFonts w:asciiTheme="minorHAnsi" w:hAnsiTheme="minorHAnsi"/>
        </w:rPr>
        <w:t xml:space="preserve">, </w:t>
      </w:r>
      <w:r w:rsidR="00395FC6">
        <w:rPr>
          <w:rFonts w:asciiTheme="minorHAnsi" w:hAnsiTheme="minorHAnsi"/>
        </w:rPr>
        <w:t xml:space="preserve">the </w:t>
      </w:r>
      <w:r w:rsidR="00395FC6" w:rsidRPr="00A90F8A">
        <w:rPr>
          <w:rFonts w:asciiTheme="minorHAnsi" w:hAnsiTheme="minorHAnsi"/>
        </w:rPr>
        <w:t>Department of Environ</w:t>
      </w:r>
      <w:r w:rsidR="00395FC6">
        <w:rPr>
          <w:rFonts w:asciiTheme="minorHAnsi" w:hAnsiTheme="minorHAnsi"/>
        </w:rPr>
        <w:t>ment, Land, Water and Planning</w:t>
      </w:r>
      <w:r w:rsidR="00395FC6" w:rsidRPr="00A90F8A">
        <w:rPr>
          <w:rFonts w:asciiTheme="minorHAnsi" w:hAnsiTheme="minorHAnsi"/>
        </w:rPr>
        <w:t xml:space="preserve"> </w:t>
      </w:r>
      <w:r w:rsidR="00395FC6">
        <w:rPr>
          <w:rFonts w:asciiTheme="minorHAnsi" w:hAnsiTheme="minorHAnsi"/>
        </w:rPr>
        <w:t>(</w:t>
      </w:r>
      <w:r w:rsidR="00432270" w:rsidRPr="00A90F8A">
        <w:rPr>
          <w:rFonts w:asciiTheme="minorHAnsi" w:hAnsiTheme="minorHAnsi"/>
        </w:rPr>
        <w:t>DELWP</w:t>
      </w:r>
      <w:r w:rsidR="00395FC6">
        <w:rPr>
          <w:rFonts w:asciiTheme="minorHAnsi" w:hAnsiTheme="minorHAnsi"/>
        </w:rPr>
        <w:t>)</w:t>
      </w:r>
      <w:r w:rsidR="00432270" w:rsidRPr="00A90F8A">
        <w:rPr>
          <w:rFonts w:asciiTheme="minorHAnsi" w:hAnsiTheme="minorHAnsi"/>
        </w:rPr>
        <w:t xml:space="preserve">, through </w:t>
      </w:r>
      <w:r w:rsidR="00A26DCD">
        <w:rPr>
          <w:rFonts w:asciiTheme="minorHAnsi" w:hAnsiTheme="minorHAnsi"/>
        </w:rPr>
        <w:t>the</w:t>
      </w:r>
      <w:r w:rsidR="00A26DCD" w:rsidRPr="00A90F8A">
        <w:rPr>
          <w:rFonts w:asciiTheme="minorHAnsi" w:hAnsiTheme="minorHAnsi"/>
        </w:rPr>
        <w:t xml:space="preserve"> </w:t>
      </w:r>
      <w:r w:rsidR="00432270" w:rsidRPr="00A90F8A">
        <w:rPr>
          <w:rFonts w:asciiTheme="minorHAnsi" w:hAnsiTheme="minorHAnsi"/>
        </w:rPr>
        <w:t>Fi</w:t>
      </w:r>
      <w:r w:rsidR="007A66DF" w:rsidRPr="00A90F8A">
        <w:rPr>
          <w:rFonts w:asciiTheme="minorHAnsi" w:hAnsiTheme="minorHAnsi"/>
        </w:rPr>
        <w:t>shermans Bend Taskforce (the Taskforce)</w:t>
      </w:r>
      <w:r w:rsidR="00432270" w:rsidRPr="00A90F8A">
        <w:rPr>
          <w:rFonts w:asciiTheme="minorHAnsi" w:hAnsiTheme="minorHAnsi"/>
        </w:rPr>
        <w:t xml:space="preserve"> w</w:t>
      </w:r>
      <w:r w:rsidR="0016463B">
        <w:rPr>
          <w:rFonts w:asciiTheme="minorHAnsi" w:hAnsiTheme="minorHAnsi"/>
        </w:rPr>
        <w:t xml:space="preserve">as </w:t>
      </w:r>
      <w:r w:rsidR="00432270" w:rsidRPr="00A90F8A">
        <w:rPr>
          <w:rFonts w:asciiTheme="minorHAnsi" w:hAnsiTheme="minorHAnsi"/>
        </w:rPr>
        <w:t xml:space="preserve">responsible for notifying relevant persons, including landowners and occupiers who may be affected by the </w:t>
      </w:r>
      <w:r w:rsidR="00947781" w:rsidRPr="00A90F8A">
        <w:rPr>
          <w:rFonts w:asciiTheme="minorHAnsi" w:hAnsiTheme="minorHAnsi"/>
        </w:rPr>
        <w:t xml:space="preserve">draft </w:t>
      </w:r>
      <w:r w:rsidR="00D155D3">
        <w:rPr>
          <w:rFonts w:asciiTheme="minorHAnsi" w:hAnsiTheme="minorHAnsi"/>
        </w:rPr>
        <w:t>A</w:t>
      </w:r>
      <w:r w:rsidR="00432270" w:rsidRPr="00A90F8A">
        <w:rPr>
          <w:rFonts w:asciiTheme="minorHAnsi" w:hAnsiTheme="minorHAnsi"/>
        </w:rPr>
        <w:t>mendment.</w:t>
      </w:r>
    </w:p>
    <w:p w:rsidR="007A66DF" w:rsidRPr="00A90F8A" w:rsidRDefault="00CC27DD" w:rsidP="00E01736">
      <w:pPr>
        <w:pStyle w:val="PPVBody"/>
        <w:rPr>
          <w:rFonts w:asciiTheme="minorHAnsi" w:hAnsiTheme="minorHAnsi"/>
        </w:rPr>
      </w:pPr>
      <w:r>
        <w:rPr>
          <w:rFonts w:asciiTheme="minorHAnsi" w:hAnsiTheme="minorHAnsi"/>
        </w:rPr>
        <w:t>As outlined in the Minister’s</w:t>
      </w:r>
      <w:r w:rsidR="00432270" w:rsidRPr="00A90F8A">
        <w:rPr>
          <w:rFonts w:asciiTheme="minorHAnsi" w:hAnsiTheme="minorHAnsi"/>
        </w:rPr>
        <w:t xml:space="preserve"> Part A submission, </w:t>
      </w:r>
      <w:r w:rsidR="00387F7C">
        <w:rPr>
          <w:rFonts w:asciiTheme="minorHAnsi" w:hAnsiTheme="minorHAnsi"/>
        </w:rPr>
        <w:t>the Taskforce notified</w:t>
      </w:r>
      <w:r w:rsidR="00947781" w:rsidRPr="00A90F8A">
        <w:rPr>
          <w:rFonts w:asciiTheme="minorHAnsi" w:hAnsiTheme="minorHAnsi"/>
        </w:rPr>
        <w:t>:</w:t>
      </w:r>
    </w:p>
    <w:p w:rsidR="0000525E" w:rsidRPr="00A90F8A" w:rsidRDefault="00432270" w:rsidP="004F6781">
      <w:pPr>
        <w:pStyle w:val="PPVBullet1"/>
      </w:pPr>
      <w:r w:rsidRPr="00A90F8A">
        <w:rPr>
          <w:rFonts w:asciiTheme="minorHAnsi" w:hAnsiTheme="minorHAnsi"/>
        </w:rPr>
        <w:t>14,505 land</w:t>
      </w:r>
      <w:r w:rsidR="0000525E" w:rsidRPr="00A90F8A">
        <w:rPr>
          <w:rFonts w:asciiTheme="minorHAnsi" w:hAnsiTheme="minorHAnsi"/>
        </w:rPr>
        <w:t xml:space="preserve"> owners</w:t>
      </w:r>
      <w:r w:rsidRPr="00A90F8A">
        <w:rPr>
          <w:rFonts w:asciiTheme="minorHAnsi" w:hAnsiTheme="minorHAnsi"/>
        </w:rPr>
        <w:t xml:space="preserve"> and</w:t>
      </w:r>
      <w:r w:rsidR="00947781" w:rsidRPr="00A90F8A">
        <w:rPr>
          <w:rFonts w:asciiTheme="minorHAnsi" w:hAnsiTheme="minorHAnsi"/>
        </w:rPr>
        <w:t xml:space="preserve"> occupiers</w:t>
      </w:r>
      <w:r w:rsidR="00387F7C">
        <w:rPr>
          <w:rFonts w:asciiTheme="minorHAnsi" w:hAnsiTheme="minorHAnsi"/>
        </w:rPr>
        <w:t xml:space="preserve"> directly</w:t>
      </w:r>
      <w:r w:rsidR="00947781" w:rsidRPr="00A90F8A">
        <w:rPr>
          <w:rFonts w:asciiTheme="minorHAnsi" w:hAnsiTheme="minorHAnsi"/>
        </w:rPr>
        <w:t xml:space="preserve"> on 1 November 2017</w:t>
      </w:r>
    </w:p>
    <w:p w:rsidR="0000525E" w:rsidRPr="00A90F8A" w:rsidRDefault="0016463B" w:rsidP="004F6781">
      <w:pPr>
        <w:pStyle w:val="PPVBullet1"/>
      </w:pPr>
      <w:r>
        <w:t>a</w:t>
      </w:r>
      <w:r w:rsidR="0000525E" w:rsidRPr="00A90F8A">
        <w:t>pproximately 4</w:t>
      </w:r>
      <w:r w:rsidR="00947781" w:rsidRPr="00A90F8A">
        <w:t>1 community and interest groups</w:t>
      </w:r>
    </w:p>
    <w:p w:rsidR="00432270" w:rsidRPr="00A90F8A" w:rsidRDefault="0016463B" w:rsidP="004F6781">
      <w:pPr>
        <w:pStyle w:val="PPVBullet1"/>
      </w:pPr>
      <w:r>
        <w:t>a</w:t>
      </w:r>
      <w:r w:rsidR="00387F7C">
        <w:t>dvertisements in T</w:t>
      </w:r>
      <w:r w:rsidR="00432270" w:rsidRPr="00A90F8A">
        <w:t>he Age, Herald Sun and a range of other newspapers between 28 October and 1 November</w:t>
      </w:r>
      <w:r w:rsidR="00B13277">
        <w:t xml:space="preserve"> 2017</w:t>
      </w:r>
      <w:r>
        <w:t>.</w:t>
      </w:r>
    </w:p>
    <w:p w:rsidR="00FB3639" w:rsidRPr="00A90F8A" w:rsidRDefault="007A66DF" w:rsidP="00FB3639">
      <w:pPr>
        <w:pStyle w:val="PPVBody"/>
        <w:rPr>
          <w:rFonts w:asciiTheme="minorHAnsi" w:hAnsiTheme="minorHAnsi"/>
        </w:rPr>
      </w:pPr>
      <w:r w:rsidRPr="00A90F8A">
        <w:rPr>
          <w:rFonts w:asciiTheme="minorHAnsi" w:hAnsiTheme="minorHAnsi"/>
        </w:rPr>
        <w:t xml:space="preserve">A total of </w:t>
      </w:r>
      <w:r w:rsidR="00A26DCD" w:rsidRPr="00A90F8A">
        <w:rPr>
          <w:rFonts w:asciiTheme="minorHAnsi" w:hAnsiTheme="minorHAnsi"/>
        </w:rPr>
        <w:t>25</w:t>
      </w:r>
      <w:r w:rsidR="00A26DCD">
        <w:rPr>
          <w:rFonts w:asciiTheme="minorHAnsi" w:hAnsiTheme="minorHAnsi"/>
        </w:rPr>
        <w:t>5</w:t>
      </w:r>
      <w:r w:rsidR="00A26DCD" w:rsidRPr="00A90F8A">
        <w:rPr>
          <w:rFonts w:asciiTheme="minorHAnsi" w:hAnsiTheme="minorHAnsi"/>
        </w:rPr>
        <w:t xml:space="preserve"> </w:t>
      </w:r>
      <w:r w:rsidR="00E01736" w:rsidRPr="00A90F8A">
        <w:rPr>
          <w:rFonts w:asciiTheme="minorHAnsi" w:hAnsiTheme="minorHAnsi"/>
        </w:rPr>
        <w:t>submissions</w:t>
      </w:r>
      <w:r w:rsidR="007A27D6" w:rsidRPr="00A90F8A">
        <w:rPr>
          <w:rFonts w:asciiTheme="minorHAnsi" w:hAnsiTheme="minorHAnsi"/>
        </w:rPr>
        <w:t xml:space="preserve"> (Appendix B)</w:t>
      </w:r>
      <w:r w:rsidRPr="00A90F8A">
        <w:rPr>
          <w:rFonts w:asciiTheme="minorHAnsi" w:hAnsiTheme="minorHAnsi"/>
        </w:rPr>
        <w:t xml:space="preserve"> were</w:t>
      </w:r>
      <w:r w:rsidR="00BB75BC" w:rsidRPr="00A90F8A">
        <w:rPr>
          <w:rFonts w:asciiTheme="minorHAnsi" w:hAnsiTheme="minorHAnsi"/>
        </w:rPr>
        <w:t xml:space="preserve"> received from:</w:t>
      </w:r>
    </w:p>
    <w:p w:rsidR="00BB75BC" w:rsidRPr="00A90F8A" w:rsidRDefault="00BB75BC" w:rsidP="004F6781">
      <w:pPr>
        <w:pStyle w:val="PPVBullet1"/>
      </w:pPr>
      <w:r w:rsidRPr="00A90F8A">
        <w:rPr>
          <w:rFonts w:asciiTheme="minorHAnsi" w:hAnsiTheme="minorHAnsi"/>
        </w:rPr>
        <w:t>City of Melbourne</w:t>
      </w:r>
      <w:r w:rsidR="00CC27DD">
        <w:rPr>
          <w:rFonts w:asciiTheme="minorHAnsi" w:hAnsiTheme="minorHAnsi"/>
        </w:rPr>
        <w:t xml:space="preserve"> (Melbourne)</w:t>
      </w:r>
    </w:p>
    <w:p w:rsidR="00BB75BC" w:rsidRPr="00A90F8A" w:rsidRDefault="00BB75BC" w:rsidP="004F6781">
      <w:pPr>
        <w:pStyle w:val="PPVBullet1"/>
      </w:pPr>
      <w:r w:rsidRPr="00A90F8A">
        <w:t>City of Port Phillip</w:t>
      </w:r>
      <w:r w:rsidR="00CC27DD">
        <w:t xml:space="preserve"> (Port Phillip)</w:t>
      </w:r>
    </w:p>
    <w:p w:rsidR="00785416" w:rsidRDefault="00BB75BC" w:rsidP="004F6781">
      <w:pPr>
        <w:pStyle w:val="PPVBullet1"/>
      </w:pPr>
      <w:r w:rsidRPr="00A90F8A">
        <w:t>Government agencies</w:t>
      </w:r>
      <w:r w:rsidR="00B37954">
        <w:t xml:space="preserve"> </w:t>
      </w:r>
      <w:r w:rsidR="00395FC6">
        <w:t xml:space="preserve">or departments </w:t>
      </w:r>
      <w:r w:rsidR="00A22899" w:rsidRPr="00A90F8A">
        <w:t>including</w:t>
      </w:r>
      <w:r w:rsidR="00395FC6">
        <w:t>,</w:t>
      </w:r>
      <w:r w:rsidR="00A22899" w:rsidRPr="00A90F8A">
        <w:t xml:space="preserve"> </w:t>
      </w:r>
      <w:r w:rsidR="00395FC6">
        <w:t>Environment Protection Victoria (</w:t>
      </w:r>
      <w:r w:rsidR="00A22899" w:rsidRPr="00A90F8A">
        <w:t>EPA</w:t>
      </w:r>
      <w:r w:rsidR="00395FC6">
        <w:t>)</w:t>
      </w:r>
      <w:r w:rsidR="00A22899" w:rsidRPr="00A90F8A">
        <w:t xml:space="preserve">, </w:t>
      </w:r>
      <w:r w:rsidR="00B13277">
        <w:t>Metropolitan Waste and Resource</w:t>
      </w:r>
      <w:r w:rsidR="00E61171">
        <w:t xml:space="preserve"> Recovery Group </w:t>
      </w:r>
      <w:r w:rsidR="00E61171" w:rsidRPr="00E3501E">
        <w:t>(</w:t>
      </w:r>
      <w:r w:rsidR="00A22899" w:rsidRPr="00E3501E">
        <w:t>MWR</w:t>
      </w:r>
      <w:r w:rsidR="00AB409D" w:rsidRPr="00E3501E">
        <w:t>RG</w:t>
      </w:r>
      <w:r w:rsidR="00E61171" w:rsidRPr="00E3501E">
        <w:t>)</w:t>
      </w:r>
      <w:r w:rsidR="00A22899" w:rsidRPr="00E3501E">
        <w:t>, Department of Health and Human Services</w:t>
      </w:r>
      <w:r w:rsidR="00947781" w:rsidRPr="00E3501E">
        <w:t>, Port of Melbourne</w:t>
      </w:r>
    </w:p>
    <w:p w:rsidR="00A22899" w:rsidRPr="00A90F8A" w:rsidRDefault="0016463B" w:rsidP="004F6781">
      <w:pPr>
        <w:pStyle w:val="PPVBullet1"/>
      </w:pPr>
      <w:r>
        <w:t>l</w:t>
      </w:r>
      <w:r w:rsidR="00A22899" w:rsidRPr="00A90F8A">
        <w:t>andowners</w:t>
      </w:r>
    </w:p>
    <w:p w:rsidR="00A22899" w:rsidRPr="00A90F8A" w:rsidRDefault="0016463B" w:rsidP="004F6781">
      <w:pPr>
        <w:pStyle w:val="PPVBullet1"/>
      </w:pPr>
      <w:r>
        <w:t>i</w:t>
      </w:r>
      <w:r w:rsidR="00A22899" w:rsidRPr="00A90F8A">
        <w:t>nterest groups, community organisations, local clubs</w:t>
      </w:r>
    </w:p>
    <w:p w:rsidR="00A22899" w:rsidRPr="00A90F8A" w:rsidRDefault="0016463B" w:rsidP="004F6781">
      <w:pPr>
        <w:pStyle w:val="PPVBullet1"/>
      </w:pPr>
      <w:r>
        <w:t>c</w:t>
      </w:r>
      <w:r w:rsidR="00A22899" w:rsidRPr="00A90F8A">
        <w:t>ultural, health and education establishments</w:t>
      </w:r>
    </w:p>
    <w:p w:rsidR="00A22899" w:rsidRPr="00A90F8A" w:rsidRDefault="0016463B" w:rsidP="004F6781">
      <w:pPr>
        <w:pStyle w:val="PPVBullet1"/>
      </w:pPr>
      <w:r>
        <w:t>c</w:t>
      </w:r>
      <w:r w:rsidR="00EB2C5B" w:rsidRPr="00A90F8A">
        <w:t>ommercial</w:t>
      </w:r>
      <w:r w:rsidR="00947781" w:rsidRPr="00A90F8A">
        <w:t>/</w:t>
      </w:r>
      <w:r w:rsidR="00A22899" w:rsidRPr="00A90F8A">
        <w:t>business operations</w:t>
      </w:r>
    </w:p>
    <w:p w:rsidR="00A22899" w:rsidRPr="00A90F8A" w:rsidRDefault="0016463B" w:rsidP="004F6781">
      <w:pPr>
        <w:pStyle w:val="PPVBullet1"/>
      </w:pPr>
      <w:r>
        <w:t>o</w:t>
      </w:r>
      <w:r w:rsidR="00A22899" w:rsidRPr="00A90F8A">
        <w:t xml:space="preserve">wners </w:t>
      </w:r>
      <w:r w:rsidR="00CC27DD">
        <w:t>c</w:t>
      </w:r>
      <w:r w:rsidR="00A22899" w:rsidRPr="00A90F8A">
        <w:t>orporations</w:t>
      </w:r>
    </w:p>
    <w:p w:rsidR="008150FF" w:rsidRPr="00A90F8A" w:rsidRDefault="0016463B" w:rsidP="004F6781">
      <w:pPr>
        <w:pStyle w:val="PPVBullet1"/>
      </w:pPr>
      <w:r>
        <w:t>i</w:t>
      </w:r>
      <w:r w:rsidR="00A22899" w:rsidRPr="00A90F8A">
        <w:t>ndividuals</w:t>
      </w:r>
      <w:r>
        <w:t>.</w:t>
      </w:r>
    </w:p>
    <w:p w:rsidR="00EE461B" w:rsidRDefault="008150FF" w:rsidP="008150FF">
      <w:pPr>
        <w:pStyle w:val="PPVBody"/>
        <w:rPr>
          <w:rFonts w:asciiTheme="minorHAnsi" w:hAnsiTheme="minorHAnsi"/>
        </w:rPr>
      </w:pPr>
      <w:r w:rsidRPr="00A90F8A">
        <w:rPr>
          <w:rFonts w:asciiTheme="minorHAnsi" w:hAnsiTheme="minorHAnsi"/>
        </w:rPr>
        <w:t xml:space="preserve">Submissions were </w:t>
      </w:r>
      <w:r w:rsidR="0016463B">
        <w:rPr>
          <w:rFonts w:asciiTheme="minorHAnsi" w:hAnsiTheme="minorHAnsi"/>
        </w:rPr>
        <w:t>received</w:t>
      </w:r>
      <w:r w:rsidRPr="00A90F8A">
        <w:rPr>
          <w:rFonts w:asciiTheme="minorHAnsi" w:hAnsiTheme="minorHAnsi"/>
        </w:rPr>
        <w:t xml:space="preserve"> until 5</w:t>
      </w:r>
      <w:r w:rsidR="00B13277">
        <w:rPr>
          <w:rFonts w:asciiTheme="minorHAnsi" w:hAnsiTheme="minorHAnsi"/>
        </w:rPr>
        <w:t>.00pm on Friday 15 December 2017</w:t>
      </w:r>
      <w:r w:rsidRPr="00A90F8A">
        <w:rPr>
          <w:rFonts w:asciiTheme="minorHAnsi" w:hAnsiTheme="minorHAnsi"/>
        </w:rPr>
        <w:t xml:space="preserve">. </w:t>
      </w:r>
      <w:r w:rsidR="00947781" w:rsidRPr="00A90F8A">
        <w:rPr>
          <w:rFonts w:asciiTheme="minorHAnsi" w:hAnsiTheme="minorHAnsi"/>
        </w:rPr>
        <w:t xml:space="preserve"> </w:t>
      </w:r>
      <w:r w:rsidRPr="00A90F8A">
        <w:rPr>
          <w:rFonts w:asciiTheme="minorHAnsi" w:hAnsiTheme="minorHAnsi"/>
        </w:rPr>
        <w:t xml:space="preserve">Late submissions were </w:t>
      </w:r>
      <w:r w:rsidR="0016463B">
        <w:rPr>
          <w:rFonts w:asciiTheme="minorHAnsi" w:hAnsiTheme="minorHAnsi"/>
        </w:rPr>
        <w:t>received</w:t>
      </w:r>
      <w:r w:rsidRPr="00A90F8A">
        <w:rPr>
          <w:rFonts w:asciiTheme="minorHAnsi" w:hAnsiTheme="minorHAnsi"/>
        </w:rPr>
        <w:t xml:space="preserve"> until 22 January 2018. </w:t>
      </w:r>
      <w:r w:rsidR="00947781" w:rsidRPr="00A90F8A">
        <w:rPr>
          <w:rFonts w:asciiTheme="minorHAnsi" w:hAnsiTheme="minorHAnsi"/>
        </w:rPr>
        <w:t xml:space="preserve"> </w:t>
      </w:r>
      <w:r w:rsidRPr="00A90F8A">
        <w:rPr>
          <w:rFonts w:asciiTheme="minorHAnsi" w:hAnsiTheme="minorHAnsi"/>
        </w:rPr>
        <w:t>Two submissions (</w:t>
      </w:r>
      <w:r w:rsidR="00815C76" w:rsidRPr="00A90F8A">
        <w:rPr>
          <w:rFonts w:asciiTheme="minorHAnsi" w:hAnsiTheme="minorHAnsi"/>
        </w:rPr>
        <w:t>S</w:t>
      </w:r>
      <w:r w:rsidRPr="00A90F8A">
        <w:rPr>
          <w:rFonts w:asciiTheme="minorHAnsi" w:hAnsiTheme="minorHAnsi"/>
        </w:rPr>
        <w:t xml:space="preserve">254 and </w:t>
      </w:r>
      <w:r w:rsidR="00815C76" w:rsidRPr="00A90F8A">
        <w:rPr>
          <w:rFonts w:asciiTheme="minorHAnsi" w:hAnsiTheme="minorHAnsi"/>
        </w:rPr>
        <w:t>S</w:t>
      </w:r>
      <w:r w:rsidRPr="00A90F8A">
        <w:rPr>
          <w:rFonts w:asciiTheme="minorHAnsi" w:hAnsiTheme="minorHAnsi"/>
        </w:rPr>
        <w:t xml:space="preserve">255) were received </w:t>
      </w:r>
      <w:r w:rsidR="00576484" w:rsidRPr="00A90F8A">
        <w:rPr>
          <w:rFonts w:asciiTheme="minorHAnsi" w:hAnsiTheme="minorHAnsi"/>
        </w:rPr>
        <w:t>following the</w:t>
      </w:r>
      <w:r w:rsidRPr="00A90F8A">
        <w:rPr>
          <w:rFonts w:asciiTheme="minorHAnsi" w:hAnsiTheme="minorHAnsi"/>
        </w:rPr>
        <w:t xml:space="preserve"> renotification </w:t>
      </w:r>
      <w:r w:rsidR="00576484" w:rsidRPr="00A90F8A">
        <w:rPr>
          <w:rFonts w:asciiTheme="minorHAnsi" w:hAnsiTheme="minorHAnsi"/>
        </w:rPr>
        <w:t xml:space="preserve">of landowners and occupiers affected by the </w:t>
      </w:r>
      <w:r w:rsidR="00395FC6">
        <w:rPr>
          <w:rFonts w:asciiTheme="minorHAnsi" w:hAnsiTheme="minorHAnsi"/>
        </w:rPr>
        <w:t>o</w:t>
      </w:r>
      <w:r w:rsidR="00576484" w:rsidRPr="00A90F8A">
        <w:rPr>
          <w:rFonts w:asciiTheme="minorHAnsi" w:hAnsiTheme="minorHAnsi"/>
        </w:rPr>
        <w:t xml:space="preserve">pen </w:t>
      </w:r>
      <w:r w:rsidR="00395FC6">
        <w:rPr>
          <w:rFonts w:asciiTheme="minorHAnsi" w:hAnsiTheme="minorHAnsi"/>
        </w:rPr>
        <w:t>s</w:t>
      </w:r>
      <w:r w:rsidR="00576484" w:rsidRPr="00A90F8A">
        <w:rPr>
          <w:rFonts w:asciiTheme="minorHAnsi" w:hAnsiTheme="minorHAnsi"/>
        </w:rPr>
        <w:t>pace evidence of Ms Thompson</w:t>
      </w:r>
      <w:r w:rsidR="00947781" w:rsidRPr="00A90F8A">
        <w:rPr>
          <w:rFonts w:asciiTheme="minorHAnsi" w:hAnsiTheme="minorHAnsi"/>
        </w:rPr>
        <w:t xml:space="preserve"> for the Minister</w:t>
      </w:r>
      <w:r w:rsidR="00576484" w:rsidRPr="00A90F8A">
        <w:rPr>
          <w:rFonts w:asciiTheme="minorHAnsi" w:hAnsiTheme="minorHAnsi"/>
        </w:rPr>
        <w:t>.</w:t>
      </w:r>
    </w:p>
    <w:p w:rsidR="00EE461B" w:rsidRDefault="008150FF" w:rsidP="008150FF">
      <w:pPr>
        <w:pStyle w:val="PPVBody"/>
        <w:rPr>
          <w:rFonts w:asciiTheme="minorHAnsi" w:hAnsiTheme="minorHAnsi"/>
        </w:rPr>
      </w:pPr>
      <w:r w:rsidRPr="00A90F8A">
        <w:rPr>
          <w:rFonts w:asciiTheme="minorHAnsi" w:hAnsiTheme="minorHAnsi"/>
        </w:rPr>
        <w:t xml:space="preserve">In accordance with Clause 33 of the Terms of Reference and </w:t>
      </w:r>
      <w:r w:rsidR="00395FC6">
        <w:rPr>
          <w:rFonts w:asciiTheme="minorHAnsi" w:hAnsiTheme="minorHAnsi"/>
        </w:rPr>
        <w:t>PPV’s</w:t>
      </w:r>
      <w:r w:rsidRPr="00A90F8A">
        <w:rPr>
          <w:rFonts w:asciiTheme="minorHAnsi" w:hAnsiTheme="minorHAnsi"/>
        </w:rPr>
        <w:t xml:space="preserve"> Privacy Collection Notice, submissions were made electronically accessible on the Review Panel’s website </w:t>
      </w:r>
      <w:r w:rsidR="00947781" w:rsidRPr="00A90F8A">
        <w:rPr>
          <w:rFonts w:asciiTheme="minorHAnsi" w:hAnsiTheme="minorHAnsi"/>
        </w:rPr>
        <w:t>from</w:t>
      </w:r>
      <w:r w:rsidR="00B13277">
        <w:rPr>
          <w:rFonts w:asciiTheme="minorHAnsi" w:hAnsiTheme="minorHAnsi"/>
        </w:rPr>
        <w:t xml:space="preserve"> 21 December 2017</w:t>
      </w:r>
      <w:r w:rsidR="00EF7E81">
        <w:rPr>
          <w:rFonts w:asciiTheme="minorHAnsi" w:hAnsiTheme="minorHAnsi"/>
        </w:rPr>
        <w:t>, and updated as appropriate</w:t>
      </w:r>
      <w:r w:rsidRPr="00A90F8A">
        <w:rPr>
          <w:rFonts w:asciiTheme="minorHAnsi" w:hAnsiTheme="minorHAnsi"/>
        </w:rPr>
        <w:t>.</w:t>
      </w:r>
    </w:p>
    <w:p w:rsidR="00EE461B" w:rsidRDefault="00365A57" w:rsidP="00365A57">
      <w:pPr>
        <w:pStyle w:val="PPVBody"/>
        <w:rPr>
          <w:rFonts w:asciiTheme="minorHAnsi" w:hAnsiTheme="minorHAnsi"/>
        </w:rPr>
      </w:pPr>
      <w:r>
        <w:rPr>
          <w:rFonts w:asciiTheme="minorHAnsi" w:hAnsiTheme="minorHAnsi"/>
        </w:rPr>
        <w:lastRenderedPageBreak/>
        <w:t xml:space="preserve">The Review Panel maintained a comprehensive Document List that recorded all </w:t>
      </w:r>
      <w:r w:rsidR="0016463B">
        <w:rPr>
          <w:rFonts w:asciiTheme="minorHAnsi" w:hAnsiTheme="minorHAnsi"/>
        </w:rPr>
        <w:t>document</w:t>
      </w:r>
      <w:r w:rsidR="006236F3">
        <w:rPr>
          <w:rFonts w:asciiTheme="minorHAnsi" w:hAnsiTheme="minorHAnsi"/>
        </w:rPr>
        <w:t xml:space="preserve">s provided </w:t>
      </w:r>
      <w:r>
        <w:rPr>
          <w:rFonts w:asciiTheme="minorHAnsi" w:hAnsiTheme="minorHAnsi"/>
        </w:rPr>
        <w:t xml:space="preserve">or handed up as part of the hearing process.  Documents were uploaded on a daily basis for the general </w:t>
      </w:r>
      <w:r w:rsidR="00E070FF">
        <w:rPr>
          <w:rFonts w:asciiTheme="minorHAnsi" w:hAnsiTheme="minorHAnsi"/>
        </w:rPr>
        <w:t>H</w:t>
      </w:r>
      <w:r>
        <w:rPr>
          <w:rFonts w:asciiTheme="minorHAnsi" w:hAnsiTheme="minorHAnsi"/>
        </w:rPr>
        <w:t>earing (Appendix D to th</w:t>
      </w:r>
      <w:r w:rsidR="00387F7C">
        <w:rPr>
          <w:rFonts w:asciiTheme="minorHAnsi" w:hAnsiTheme="minorHAnsi"/>
        </w:rPr>
        <w:t>is report) and for each of the P</w:t>
      </w:r>
      <w:r>
        <w:rPr>
          <w:rFonts w:asciiTheme="minorHAnsi" w:hAnsiTheme="minorHAnsi"/>
        </w:rPr>
        <w:t xml:space="preserve">recinct based </w:t>
      </w:r>
      <w:r w:rsidR="00E070FF">
        <w:rPr>
          <w:rFonts w:asciiTheme="minorHAnsi" w:hAnsiTheme="minorHAnsi"/>
        </w:rPr>
        <w:t>H</w:t>
      </w:r>
      <w:r w:rsidR="00387F7C">
        <w:rPr>
          <w:rFonts w:asciiTheme="minorHAnsi" w:hAnsiTheme="minorHAnsi"/>
        </w:rPr>
        <w:t>earings</w:t>
      </w:r>
      <w:r>
        <w:rPr>
          <w:rFonts w:asciiTheme="minorHAnsi" w:hAnsiTheme="minorHAnsi"/>
        </w:rPr>
        <w:t xml:space="preserve"> </w:t>
      </w:r>
      <w:r w:rsidR="00D155D3">
        <w:rPr>
          <w:rFonts w:asciiTheme="minorHAnsi" w:hAnsiTheme="minorHAnsi"/>
        </w:rPr>
        <w:t>(</w:t>
      </w:r>
      <w:r>
        <w:rPr>
          <w:rFonts w:asciiTheme="minorHAnsi" w:hAnsiTheme="minorHAnsi"/>
        </w:rPr>
        <w:t>Appendi</w:t>
      </w:r>
      <w:r w:rsidR="00D155D3">
        <w:rPr>
          <w:rFonts w:asciiTheme="minorHAnsi" w:hAnsiTheme="minorHAnsi"/>
        </w:rPr>
        <w:t>ces</w:t>
      </w:r>
      <w:r>
        <w:rPr>
          <w:rFonts w:asciiTheme="minorHAnsi" w:hAnsiTheme="minorHAnsi"/>
        </w:rPr>
        <w:t xml:space="preserve"> A to </w:t>
      </w:r>
      <w:r w:rsidR="00D155D3">
        <w:rPr>
          <w:rFonts w:asciiTheme="minorHAnsi" w:hAnsiTheme="minorHAnsi"/>
        </w:rPr>
        <w:t xml:space="preserve">each of </w:t>
      </w:r>
      <w:r>
        <w:rPr>
          <w:rFonts w:asciiTheme="minorHAnsi" w:hAnsiTheme="minorHAnsi"/>
        </w:rPr>
        <w:t xml:space="preserve">the </w:t>
      </w:r>
      <w:r w:rsidR="00F606B4">
        <w:rPr>
          <w:rFonts w:asciiTheme="minorHAnsi" w:hAnsiTheme="minorHAnsi"/>
        </w:rPr>
        <w:t xml:space="preserve">Lorimer, </w:t>
      </w:r>
      <w:r>
        <w:rPr>
          <w:rFonts w:asciiTheme="minorHAnsi" w:hAnsiTheme="minorHAnsi"/>
        </w:rPr>
        <w:t xml:space="preserve">Montague, Sandridge and Wirraway Precinct </w:t>
      </w:r>
      <w:r w:rsidR="00827876">
        <w:rPr>
          <w:rFonts w:asciiTheme="minorHAnsi" w:hAnsiTheme="minorHAnsi"/>
        </w:rPr>
        <w:t>R</w:t>
      </w:r>
      <w:r>
        <w:rPr>
          <w:rFonts w:asciiTheme="minorHAnsi" w:hAnsiTheme="minorHAnsi"/>
        </w:rPr>
        <w:t>eports</w:t>
      </w:r>
      <w:r w:rsidR="00D155D3">
        <w:rPr>
          <w:rFonts w:asciiTheme="minorHAnsi" w:hAnsiTheme="minorHAnsi"/>
        </w:rPr>
        <w:t>)</w:t>
      </w:r>
      <w:r>
        <w:rPr>
          <w:rFonts w:asciiTheme="minorHAnsi" w:hAnsiTheme="minorHAnsi"/>
        </w:rPr>
        <w:t>.  In th</w:t>
      </w:r>
      <w:r w:rsidR="00387F7C">
        <w:rPr>
          <w:rFonts w:asciiTheme="minorHAnsi" w:hAnsiTheme="minorHAnsi"/>
        </w:rPr>
        <w:t>ese</w:t>
      </w:r>
      <w:r>
        <w:rPr>
          <w:rFonts w:asciiTheme="minorHAnsi" w:hAnsiTheme="minorHAnsi"/>
        </w:rPr>
        <w:t xml:space="preserve"> report</w:t>
      </w:r>
      <w:r w:rsidR="00387F7C">
        <w:rPr>
          <w:rFonts w:asciiTheme="minorHAnsi" w:hAnsiTheme="minorHAnsi"/>
        </w:rPr>
        <w:t>s</w:t>
      </w:r>
      <w:r>
        <w:rPr>
          <w:rFonts w:asciiTheme="minorHAnsi" w:hAnsiTheme="minorHAnsi"/>
        </w:rPr>
        <w:t xml:space="preserve">, the relevant </w:t>
      </w:r>
      <w:r w:rsidR="0016463B">
        <w:rPr>
          <w:rFonts w:asciiTheme="minorHAnsi" w:hAnsiTheme="minorHAnsi"/>
        </w:rPr>
        <w:t xml:space="preserve">general </w:t>
      </w:r>
      <w:r>
        <w:rPr>
          <w:rFonts w:asciiTheme="minorHAnsi" w:hAnsiTheme="minorHAnsi"/>
        </w:rPr>
        <w:t xml:space="preserve">Documents are noted with the prefix </w:t>
      </w:r>
      <w:r w:rsidR="00F606B4">
        <w:rPr>
          <w:rFonts w:asciiTheme="minorHAnsi" w:hAnsiTheme="minorHAnsi"/>
        </w:rPr>
        <w:t>‘D’</w:t>
      </w:r>
      <w:r>
        <w:rPr>
          <w:rFonts w:asciiTheme="minorHAnsi" w:hAnsiTheme="minorHAnsi"/>
        </w:rPr>
        <w:t xml:space="preserve"> and </w:t>
      </w:r>
      <w:r w:rsidR="00F606B4">
        <w:rPr>
          <w:rFonts w:asciiTheme="minorHAnsi" w:hAnsiTheme="minorHAnsi"/>
        </w:rPr>
        <w:t>‘L’</w:t>
      </w:r>
      <w:r w:rsidR="00E3501E">
        <w:rPr>
          <w:rFonts w:asciiTheme="minorHAnsi" w:hAnsiTheme="minorHAnsi"/>
        </w:rPr>
        <w:t xml:space="preserve">, </w:t>
      </w:r>
      <w:r w:rsidR="00F606B4">
        <w:rPr>
          <w:rFonts w:asciiTheme="minorHAnsi" w:hAnsiTheme="minorHAnsi"/>
        </w:rPr>
        <w:t>‘M’</w:t>
      </w:r>
      <w:r w:rsidR="00E3501E">
        <w:rPr>
          <w:rFonts w:asciiTheme="minorHAnsi" w:hAnsiTheme="minorHAnsi"/>
        </w:rPr>
        <w:t>,</w:t>
      </w:r>
      <w:r>
        <w:rPr>
          <w:rFonts w:asciiTheme="minorHAnsi" w:hAnsiTheme="minorHAnsi"/>
        </w:rPr>
        <w:t xml:space="preserve"> </w:t>
      </w:r>
      <w:r w:rsidR="00F606B4">
        <w:rPr>
          <w:rFonts w:asciiTheme="minorHAnsi" w:hAnsiTheme="minorHAnsi"/>
        </w:rPr>
        <w:t>‘</w:t>
      </w:r>
      <w:r>
        <w:rPr>
          <w:rFonts w:asciiTheme="minorHAnsi" w:hAnsiTheme="minorHAnsi"/>
        </w:rPr>
        <w:t>S</w:t>
      </w:r>
      <w:r w:rsidR="00F606B4">
        <w:rPr>
          <w:rFonts w:asciiTheme="minorHAnsi" w:hAnsiTheme="minorHAnsi"/>
        </w:rPr>
        <w:t>’</w:t>
      </w:r>
      <w:r>
        <w:rPr>
          <w:rFonts w:asciiTheme="minorHAnsi" w:hAnsiTheme="minorHAnsi"/>
        </w:rPr>
        <w:t xml:space="preserve"> and </w:t>
      </w:r>
      <w:r w:rsidR="00F606B4">
        <w:rPr>
          <w:rFonts w:asciiTheme="minorHAnsi" w:hAnsiTheme="minorHAnsi"/>
        </w:rPr>
        <w:t>‘W’</w:t>
      </w:r>
      <w:r>
        <w:rPr>
          <w:rFonts w:asciiTheme="minorHAnsi" w:hAnsiTheme="minorHAnsi"/>
        </w:rPr>
        <w:t xml:space="preserve"> as appropriate in reference to the </w:t>
      </w:r>
      <w:r w:rsidR="00387F7C">
        <w:rPr>
          <w:rFonts w:asciiTheme="minorHAnsi" w:hAnsiTheme="minorHAnsi"/>
        </w:rPr>
        <w:t>P</w:t>
      </w:r>
      <w:r>
        <w:rPr>
          <w:rFonts w:asciiTheme="minorHAnsi" w:hAnsiTheme="minorHAnsi"/>
        </w:rPr>
        <w:t>recincts.</w:t>
      </w:r>
      <w:r w:rsidR="00CC27DD">
        <w:rPr>
          <w:rFonts w:asciiTheme="minorHAnsi" w:hAnsiTheme="minorHAnsi"/>
        </w:rPr>
        <w:t xml:space="preserve">  A total of </w:t>
      </w:r>
      <w:r w:rsidR="00FD2400">
        <w:rPr>
          <w:rFonts w:asciiTheme="minorHAnsi" w:hAnsiTheme="minorHAnsi"/>
        </w:rPr>
        <w:t xml:space="preserve">549 </w:t>
      </w:r>
      <w:r w:rsidR="00CC27DD">
        <w:rPr>
          <w:rFonts w:asciiTheme="minorHAnsi" w:hAnsiTheme="minorHAnsi"/>
        </w:rPr>
        <w:t>Documents were tabled over the course of the proceedings.</w:t>
      </w:r>
    </w:p>
    <w:p w:rsidR="00E01736" w:rsidRPr="00A90F8A" w:rsidRDefault="00E01736" w:rsidP="00E01736">
      <w:pPr>
        <w:pStyle w:val="Heading4"/>
        <w:rPr>
          <w:rFonts w:asciiTheme="minorHAnsi" w:hAnsiTheme="minorHAnsi"/>
        </w:rPr>
      </w:pPr>
      <w:r w:rsidRPr="00A90F8A">
        <w:rPr>
          <w:rFonts w:asciiTheme="minorHAnsi" w:hAnsiTheme="minorHAnsi"/>
        </w:rPr>
        <w:t>Public Briefings</w:t>
      </w:r>
      <w:r w:rsidR="00947781" w:rsidRPr="00A90F8A">
        <w:rPr>
          <w:rFonts w:asciiTheme="minorHAnsi" w:hAnsiTheme="minorHAnsi"/>
        </w:rPr>
        <w:t xml:space="preserve"> and meetings</w:t>
      </w:r>
    </w:p>
    <w:p w:rsidR="00EE461B" w:rsidRDefault="002120E0" w:rsidP="002120E0">
      <w:pPr>
        <w:pStyle w:val="PPVBody"/>
      </w:pPr>
      <w:r>
        <w:t>C</w:t>
      </w:r>
      <w:r w:rsidRPr="00C54421">
        <w:t>onsistent with its Terms of Reference at Clauses 17, 21 and 37,</w:t>
      </w:r>
      <w:r>
        <w:t xml:space="preserve"> the Review Panel</w:t>
      </w:r>
      <w:r w:rsidRPr="00C54421">
        <w:t xml:space="preserve"> </w:t>
      </w:r>
      <w:r>
        <w:t>attended</w:t>
      </w:r>
      <w:r w:rsidRPr="00C54421">
        <w:t xml:space="preserve"> </w:t>
      </w:r>
      <w:r>
        <w:t>a public briefing</w:t>
      </w:r>
      <w:r w:rsidRPr="00C54421">
        <w:t xml:space="preserve"> </w:t>
      </w:r>
      <w:r>
        <w:t xml:space="preserve">over two sessions </w:t>
      </w:r>
      <w:r w:rsidRPr="00C54421">
        <w:t xml:space="preserve">on 10 and 24 November </w:t>
      </w:r>
      <w:r>
        <w:t>201</w:t>
      </w:r>
      <w:r w:rsidR="00F54700">
        <w:t>7</w:t>
      </w:r>
      <w:r>
        <w:t xml:space="preserve"> </w:t>
      </w:r>
      <w:r w:rsidRPr="00C54421">
        <w:t xml:space="preserve">at </w:t>
      </w:r>
      <w:r>
        <w:t>PPV</w:t>
      </w:r>
      <w:r w:rsidRPr="00C54421">
        <w:t xml:space="preserve">.  The purpose was for the Taskforce to brief the </w:t>
      </w:r>
      <w:r>
        <w:t>Review Panel</w:t>
      </w:r>
      <w:r w:rsidR="0016463B">
        <w:t xml:space="preserve"> on the draft A</w:t>
      </w:r>
      <w:r w:rsidRPr="00C54421">
        <w:t xml:space="preserve">mendment and supporting information.  The briefing dates and times were provided on the PPV </w:t>
      </w:r>
      <w:r w:rsidR="00B13277">
        <w:t>web</w:t>
      </w:r>
      <w:r>
        <w:t xml:space="preserve">site and were advertised in </w:t>
      </w:r>
      <w:r w:rsidR="00A64CA7">
        <w:t>T</w:t>
      </w:r>
      <w:r>
        <w:t>he Age</w:t>
      </w:r>
      <w:r w:rsidR="00A64CA7">
        <w:t xml:space="preserve"> newspaper</w:t>
      </w:r>
      <w:r>
        <w:t xml:space="preserve"> (D1).  R</w:t>
      </w:r>
      <w:r w:rsidRPr="00C54421">
        <w:t>epresentatives of the two Councils were invited to attend</w:t>
      </w:r>
      <w:r>
        <w:t>, and the sessions were open to the public</w:t>
      </w:r>
      <w:r w:rsidRPr="00C54421">
        <w:t>.</w:t>
      </w:r>
    </w:p>
    <w:p w:rsidR="002120E0" w:rsidRDefault="00D155D3" w:rsidP="002120E0">
      <w:pPr>
        <w:pStyle w:val="PPVBody"/>
      </w:pPr>
      <w:r>
        <w:t>The briefings were attended by m</w:t>
      </w:r>
      <w:r w:rsidR="002120E0" w:rsidRPr="00C54421">
        <w:t>embers of the Taskforce, DELWP</w:t>
      </w:r>
      <w:r w:rsidR="00320E3C">
        <w:t xml:space="preserve"> and</w:t>
      </w:r>
      <w:r w:rsidR="002120E0" w:rsidRPr="00C54421">
        <w:t xml:space="preserve"> </w:t>
      </w:r>
      <w:r w:rsidR="002120E0">
        <w:t>others</w:t>
      </w:r>
      <w:r w:rsidR="002120E0" w:rsidRPr="00C54421">
        <w:t xml:space="preserve">.  </w:t>
      </w:r>
      <w:r w:rsidR="002120E0">
        <w:t>Although primarily aimed at presenting background material, the briefing provided</w:t>
      </w:r>
      <w:r w:rsidR="002120E0" w:rsidRPr="00C54421">
        <w:t xml:space="preserve"> an opportunity for the</w:t>
      </w:r>
      <w:r w:rsidR="002120E0">
        <w:t xml:space="preserve"> Review Panel</w:t>
      </w:r>
      <w:r w:rsidR="002120E0" w:rsidRPr="00C54421">
        <w:t xml:space="preserve"> to </w:t>
      </w:r>
      <w:r w:rsidR="002120E0">
        <w:t>outline</w:t>
      </w:r>
      <w:r w:rsidR="002120E0" w:rsidRPr="00C54421">
        <w:t xml:space="preserve"> the way it intended to run its process in accordance with </w:t>
      </w:r>
      <w:r w:rsidR="00365A57">
        <w:t>its</w:t>
      </w:r>
      <w:r w:rsidR="002120E0" w:rsidRPr="00C54421">
        <w:t xml:space="preserve"> Terms of Reference.  Copies of the agenda</w:t>
      </w:r>
      <w:r w:rsidR="00365A57">
        <w:t>s</w:t>
      </w:r>
      <w:r w:rsidR="002120E0">
        <w:t xml:space="preserve"> (D2, D8)</w:t>
      </w:r>
      <w:r w:rsidR="002120E0" w:rsidRPr="00C54421">
        <w:t xml:space="preserve">, the </w:t>
      </w:r>
      <w:r w:rsidR="002120E0">
        <w:t xml:space="preserve">speaking </w:t>
      </w:r>
      <w:r w:rsidR="002120E0" w:rsidRPr="00C54421">
        <w:t>notes of the</w:t>
      </w:r>
      <w:r w:rsidR="002120E0">
        <w:t xml:space="preserve"> Review Panel</w:t>
      </w:r>
      <w:r w:rsidR="002120E0" w:rsidRPr="00C54421">
        <w:t xml:space="preserve"> </w:t>
      </w:r>
      <w:r w:rsidR="002120E0">
        <w:t xml:space="preserve">(D3, D9) </w:t>
      </w:r>
      <w:r w:rsidR="002120E0" w:rsidRPr="00C54421">
        <w:t xml:space="preserve">and the presentation materials provided by the Taskforce </w:t>
      </w:r>
      <w:r w:rsidR="002120E0">
        <w:t xml:space="preserve">(D4, D6, D7, D10, D11, D12) </w:t>
      </w:r>
      <w:r w:rsidR="002120E0" w:rsidRPr="00C54421">
        <w:t xml:space="preserve">and DELWP </w:t>
      </w:r>
      <w:r w:rsidR="002120E0">
        <w:t xml:space="preserve">(D5) </w:t>
      </w:r>
      <w:r w:rsidR="00E5286E">
        <w:t xml:space="preserve">have been </w:t>
      </w:r>
      <w:r w:rsidR="002120E0">
        <w:t>publicly available</w:t>
      </w:r>
      <w:r w:rsidR="00E5286E">
        <w:t xml:space="preserve"> since the first Directions Hearing</w:t>
      </w:r>
      <w:r w:rsidR="002120E0" w:rsidRPr="00E5286E">
        <w:t>.</w:t>
      </w:r>
    </w:p>
    <w:p w:rsidR="00EE461B" w:rsidRDefault="002120E0" w:rsidP="002120E0">
      <w:pPr>
        <w:pStyle w:val="PPVBody"/>
      </w:pPr>
      <w:r>
        <w:t>The Review Panel advised that d</w:t>
      </w:r>
      <w:r w:rsidRPr="00C54421">
        <w:t xml:space="preserve">ue to Council officers not being available to attend these briefings, and consistent with </w:t>
      </w:r>
      <w:r w:rsidR="0016463B">
        <w:t xml:space="preserve">Clause 17 of its </w:t>
      </w:r>
      <w:r w:rsidRPr="00C54421">
        <w:t>Terms of Reference, the</w:t>
      </w:r>
      <w:r>
        <w:t xml:space="preserve"> Review Panel</w:t>
      </w:r>
      <w:r w:rsidRPr="00C54421">
        <w:t xml:space="preserve"> invited officers from Port Phillip and Melbourne to meet with </w:t>
      </w:r>
      <w:r w:rsidR="0016463B">
        <w:t xml:space="preserve">it </w:t>
      </w:r>
      <w:r>
        <w:t>to provide a short</w:t>
      </w:r>
      <w:r w:rsidRPr="00C54421">
        <w:t xml:space="preserve"> brief</w:t>
      </w:r>
      <w:r>
        <w:t>ing</w:t>
      </w:r>
      <w:r w:rsidRPr="00C54421">
        <w:t xml:space="preserve">.  </w:t>
      </w:r>
      <w:r>
        <w:t xml:space="preserve">Initially the Review Panel sought a single meeting with the two Councils, but dates proved difficult so two separate meetings were held.  </w:t>
      </w:r>
      <w:r w:rsidRPr="00C54421">
        <w:t xml:space="preserve">The Chair and Deputy Chair met with officers of </w:t>
      </w:r>
      <w:r w:rsidR="0016463B">
        <w:t xml:space="preserve">Port Phillip </w:t>
      </w:r>
      <w:r w:rsidRPr="00C54421">
        <w:t xml:space="preserve">on 28 November </w:t>
      </w:r>
      <w:r>
        <w:t>201</w:t>
      </w:r>
      <w:r w:rsidR="00F54700">
        <w:t>7</w:t>
      </w:r>
      <w:r>
        <w:t xml:space="preserve"> </w:t>
      </w:r>
      <w:r w:rsidRPr="00C54421">
        <w:t xml:space="preserve">and </w:t>
      </w:r>
      <w:r w:rsidR="0016463B">
        <w:t xml:space="preserve">Melbourne </w:t>
      </w:r>
      <w:r>
        <w:t>on 12 December 201</w:t>
      </w:r>
      <w:r w:rsidR="00F54700">
        <w:t>7</w:t>
      </w:r>
      <w:r>
        <w:t>.  Each meeting</w:t>
      </w:r>
      <w:r w:rsidRPr="00C54421">
        <w:t xml:space="preserve"> </w:t>
      </w:r>
      <w:r>
        <w:t xml:space="preserve">was held </w:t>
      </w:r>
      <w:r w:rsidRPr="00C54421">
        <w:t xml:space="preserve">at </w:t>
      </w:r>
      <w:r w:rsidR="0016463B">
        <w:t>PPV</w:t>
      </w:r>
      <w:r>
        <w:t>, and</w:t>
      </w:r>
      <w:r w:rsidRPr="00C54421">
        <w:t xml:space="preserve"> went for approximately 30 minutes</w:t>
      </w:r>
      <w:r>
        <w:t>.</w:t>
      </w:r>
      <w:r w:rsidRPr="00C54421">
        <w:t xml:space="preserve"> </w:t>
      </w:r>
      <w:r>
        <w:t xml:space="preserve"> M</w:t>
      </w:r>
      <w:r w:rsidRPr="00C54421">
        <w:t xml:space="preserve">atters discussed related </w:t>
      </w:r>
      <w:r>
        <w:t xml:space="preserve">to the general format of the proposed </w:t>
      </w:r>
      <w:r w:rsidR="00827876">
        <w:t>H</w:t>
      </w:r>
      <w:r>
        <w:t>earing schedule.</w:t>
      </w:r>
      <w:r w:rsidRPr="00C54421">
        <w:t xml:space="preserve"> </w:t>
      </w:r>
      <w:r>
        <w:t xml:space="preserve"> The issues raised </w:t>
      </w:r>
      <w:r w:rsidR="0016463B">
        <w:t xml:space="preserve">by the Review Panel </w:t>
      </w:r>
      <w:r>
        <w:t xml:space="preserve">at these meetings were similar to those </w:t>
      </w:r>
      <w:r w:rsidR="00D155D3">
        <w:t xml:space="preserve">recorded </w:t>
      </w:r>
      <w:r>
        <w:t>in the speaking notes (D3, D9).</w:t>
      </w:r>
      <w:r w:rsidR="003E64DC">
        <w:t xml:space="preserve">  The meetings and matters discussed were disclosed at the first Directions Hearing.</w:t>
      </w:r>
    </w:p>
    <w:p w:rsidR="00EE461B" w:rsidRDefault="002120E0" w:rsidP="002120E0">
      <w:pPr>
        <w:pStyle w:val="PPVBody"/>
      </w:pPr>
      <w:r>
        <w:t>Following receipt of the submissions</w:t>
      </w:r>
      <w:r w:rsidR="00365A57">
        <w:t xml:space="preserve"> and prior to the </w:t>
      </w:r>
      <w:r w:rsidR="00D155D3">
        <w:t xml:space="preserve">first </w:t>
      </w:r>
      <w:r w:rsidR="00365A57">
        <w:t>Directions Hearing</w:t>
      </w:r>
      <w:r>
        <w:t xml:space="preserve">, a follow up letter was provided to all parties outlining how the Review Panel proposed to schedule the </w:t>
      </w:r>
      <w:r w:rsidR="00E070FF">
        <w:t>Hearing</w:t>
      </w:r>
      <w:r>
        <w:t xml:space="preserve"> (D16).</w:t>
      </w:r>
    </w:p>
    <w:p w:rsidR="00E01736" w:rsidRPr="00A90F8A" w:rsidRDefault="00E01736" w:rsidP="00E01736">
      <w:pPr>
        <w:pStyle w:val="Heading4"/>
        <w:rPr>
          <w:rFonts w:asciiTheme="minorHAnsi" w:hAnsiTheme="minorHAnsi"/>
        </w:rPr>
      </w:pPr>
      <w:r w:rsidRPr="00A90F8A">
        <w:rPr>
          <w:rFonts w:asciiTheme="minorHAnsi" w:hAnsiTheme="minorHAnsi"/>
        </w:rPr>
        <w:t>Directions Hearings</w:t>
      </w:r>
    </w:p>
    <w:p w:rsidR="00F3227C" w:rsidRPr="00684142" w:rsidRDefault="00684142" w:rsidP="00684142">
      <w:pPr>
        <w:pStyle w:val="PPVBody"/>
      </w:pPr>
      <w:r>
        <w:t xml:space="preserve">Two </w:t>
      </w:r>
      <w:r w:rsidR="00E01736" w:rsidRPr="00684142">
        <w:t>Directions Hearing</w:t>
      </w:r>
      <w:r w:rsidR="00B26A9E">
        <w:t>s</w:t>
      </w:r>
      <w:r w:rsidR="00E01736" w:rsidRPr="00684142">
        <w:t xml:space="preserve"> w</w:t>
      </w:r>
      <w:r>
        <w:t>ere</w:t>
      </w:r>
      <w:r w:rsidR="00E01736" w:rsidRPr="00684142">
        <w:t xml:space="preserve"> held</w:t>
      </w:r>
      <w:r w:rsidR="00387440" w:rsidRPr="00684142">
        <w:t xml:space="preserve"> at </w:t>
      </w:r>
      <w:r w:rsidR="00B26A9E">
        <w:t>PPV</w:t>
      </w:r>
      <w:r w:rsidR="00E01736" w:rsidRPr="00684142">
        <w:t xml:space="preserve"> on 20 December 201</w:t>
      </w:r>
      <w:r w:rsidR="00365A57">
        <w:t>7</w:t>
      </w:r>
      <w:r>
        <w:t xml:space="preserve"> and</w:t>
      </w:r>
      <w:r w:rsidR="00365A57">
        <w:t xml:space="preserve"> </w:t>
      </w:r>
      <w:r>
        <w:t>2 February 2018</w:t>
      </w:r>
      <w:r w:rsidR="00E01736" w:rsidRPr="00684142">
        <w:t>.</w:t>
      </w:r>
      <w:r w:rsidR="00D155D3">
        <w:t xml:space="preserve">  </w:t>
      </w:r>
      <w:r w:rsidR="00387440" w:rsidRPr="00684142">
        <w:t>At th</w:t>
      </w:r>
      <w:r>
        <w:t>e first</w:t>
      </w:r>
      <w:r w:rsidR="00387440" w:rsidRPr="00684142">
        <w:t xml:space="preserve"> Directions Heari</w:t>
      </w:r>
      <w:r w:rsidR="00F3227C" w:rsidRPr="00684142">
        <w:t xml:space="preserve">ng, the Review Panel tabled a </w:t>
      </w:r>
      <w:r w:rsidR="00B26A9E">
        <w:t>p</w:t>
      </w:r>
      <w:r w:rsidR="00F3227C" w:rsidRPr="00684142">
        <w:t>reliminar</w:t>
      </w:r>
      <w:r>
        <w:t>y list of key issues (D</w:t>
      </w:r>
      <w:r w:rsidR="00F3227C" w:rsidRPr="00684142">
        <w:t>20)</w:t>
      </w:r>
      <w:r>
        <w:t>.</w:t>
      </w:r>
      <w:r w:rsidR="00D155D3">
        <w:t xml:space="preserve">  </w:t>
      </w:r>
      <w:r w:rsidR="00F3227C" w:rsidRPr="00684142">
        <w:t>A number of procedural matters were raised during the course of the Directions Hearing</w:t>
      </w:r>
      <w:r>
        <w:t>s</w:t>
      </w:r>
      <w:r w:rsidR="00F3227C" w:rsidRPr="00684142">
        <w:t xml:space="preserve"> and the Review Panel was required to make determinations and rulings</w:t>
      </w:r>
      <w:r>
        <w:t xml:space="preserve">.  These matters are </w:t>
      </w:r>
      <w:r w:rsidR="00387F7C">
        <w:t xml:space="preserve">discussed </w:t>
      </w:r>
      <w:r>
        <w:t xml:space="preserve">further in Chapter </w:t>
      </w:r>
      <w:r w:rsidR="00A64CA7">
        <w:fldChar w:fldCharType="begin"/>
      </w:r>
      <w:r w:rsidR="00A64CA7">
        <w:instrText xml:space="preserve"> REF _Ref519673634 \r \h </w:instrText>
      </w:r>
      <w:r w:rsidR="00A64CA7">
        <w:fldChar w:fldCharType="separate"/>
      </w:r>
      <w:r w:rsidR="00A307EC">
        <w:t>1.6</w:t>
      </w:r>
      <w:r w:rsidR="00A64CA7">
        <w:fldChar w:fldCharType="end"/>
      </w:r>
      <w:r>
        <w:t>.</w:t>
      </w:r>
    </w:p>
    <w:p w:rsidR="00E01736" w:rsidRPr="00A90F8A" w:rsidRDefault="00E01736" w:rsidP="00E01736">
      <w:pPr>
        <w:pStyle w:val="Heading4"/>
        <w:rPr>
          <w:rFonts w:asciiTheme="minorHAnsi" w:hAnsiTheme="minorHAnsi"/>
        </w:rPr>
      </w:pPr>
      <w:r w:rsidRPr="00A90F8A">
        <w:rPr>
          <w:rFonts w:asciiTheme="minorHAnsi" w:hAnsiTheme="minorHAnsi"/>
        </w:rPr>
        <w:t>Public Hearing</w:t>
      </w:r>
      <w:r w:rsidR="00365A57">
        <w:rPr>
          <w:rFonts w:asciiTheme="minorHAnsi" w:hAnsiTheme="minorHAnsi"/>
        </w:rPr>
        <w:t>s</w:t>
      </w:r>
    </w:p>
    <w:p w:rsidR="00EE461B" w:rsidRDefault="007A66DF" w:rsidP="00E01736">
      <w:pPr>
        <w:pStyle w:val="PPVBody"/>
        <w:rPr>
          <w:rFonts w:asciiTheme="minorHAnsi" w:hAnsiTheme="minorHAnsi"/>
        </w:rPr>
      </w:pPr>
      <w:r w:rsidRPr="00A90F8A">
        <w:rPr>
          <w:rFonts w:asciiTheme="minorHAnsi" w:hAnsiTheme="minorHAnsi"/>
        </w:rPr>
        <w:t xml:space="preserve">Public Hearings were held </w:t>
      </w:r>
      <w:r w:rsidR="00A22899" w:rsidRPr="00365A57">
        <w:rPr>
          <w:rFonts w:asciiTheme="minorHAnsi" w:hAnsiTheme="minorHAnsi"/>
        </w:rPr>
        <w:t xml:space="preserve">in </w:t>
      </w:r>
      <w:r w:rsidRPr="00365A57">
        <w:rPr>
          <w:rFonts w:asciiTheme="minorHAnsi" w:hAnsiTheme="minorHAnsi"/>
        </w:rPr>
        <w:t>t</w:t>
      </w:r>
      <w:r w:rsidR="00365A57">
        <w:rPr>
          <w:rFonts w:asciiTheme="minorHAnsi" w:hAnsiTheme="minorHAnsi"/>
        </w:rPr>
        <w:t>hree</w:t>
      </w:r>
      <w:r w:rsidRPr="00365A57">
        <w:rPr>
          <w:rFonts w:asciiTheme="minorHAnsi" w:hAnsiTheme="minorHAnsi"/>
        </w:rPr>
        <w:t xml:space="preserve"> stages</w:t>
      </w:r>
      <w:r w:rsidR="00A22899" w:rsidRPr="00A90F8A">
        <w:rPr>
          <w:rFonts w:asciiTheme="minorHAnsi" w:hAnsiTheme="minorHAnsi"/>
        </w:rPr>
        <w:t xml:space="preserve">, over </w:t>
      </w:r>
      <w:r w:rsidR="00365A57">
        <w:rPr>
          <w:rFonts w:asciiTheme="minorHAnsi" w:hAnsiTheme="minorHAnsi"/>
        </w:rPr>
        <w:t>5</w:t>
      </w:r>
      <w:r w:rsidR="00F54700">
        <w:rPr>
          <w:rFonts w:asciiTheme="minorHAnsi" w:hAnsiTheme="minorHAnsi"/>
        </w:rPr>
        <w:t>9</w:t>
      </w:r>
      <w:r w:rsidR="00365A57">
        <w:rPr>
          <w:rFonts w:asciiTheme="minorHAnsi" w:hAnsiTheme="minorHAnsi"/>
        </w:rPr>
        <w:t xml:space="preserve"> hearing days and 4</w:t>
      </w:r>
      <w:r w:rsidR="00F54700">
        <w:rPr>
          <w:rFonts w:asciiTheme="minorHAnsi" w:hAnsiTheme="minorHAnsi"/>
        </w:rPr>
        <w:t>7</w:t>
      </w:r>
      <w:r w:rsidR="00365A57">
        <w:rPr>
          <w:rFonts w:asciiTheme="minorHAnsi" w:hAnsiTheme="minorHAnsi"/>
        </w:rPr>
        <w:t xml:space="preserve"> sitting days</w:t>
      </w:r>
      <w:r w:rsidR="00A64CA7">
        <w:rPr>
          <w:rFonts w:asciiTheme="minorHAnsi" w:hAnsiTheme="minorHAnsi"/>
        </w:rPr>
        <w:t xml:space="preserve"> as some of the </w:t>
      </w:r>
      <w:r w:rsidR="00827876">
        <w:rPr>
          <w:rFonts w:asciiTheme="minorHAnsi" w:hAnsiTheme="minorHAnsi"/>
        </w:rPr>
        <w:t>H</w:t>
      </w:r>
      <w:r w:rsidR="00A64CA7">
        <w:rPr>
          <w:rFonts w:asciiTheme="minorHAnsi" w:hAnsiTheme="minorHAnsi"/>
        </w:rPr>
        <w:t>earings were run concurrently</w:t>
      </w:r>
      <w:r w:rsidRPr="00A90F8A">
        <w:rPr>
          <w:rFonts w:asciiTheme="minorHAnsi" w:hAnsiTheme="minorHAnsi"/>
        </w:rPr>
        <w:t xml:space="preserve">. </w:t>
      </w:r>
      <w:r w:rsidR="004711F1" w:rsidRPr="00A90F8A">
        <w:rPr>
          <w:rFonts w:asciiTheme="minorHAnsi" w:hAnsiTheme="minorHAnsi"/>
        </w:rPr>
        <w:t xml:space="preserve"> </w:t>
      </w:r>
      <w:r w:rsidRPr="00A90F8A">
        <w:rPr>
          <w:rFonts w:asciiTheme="minorHAnsi" w:hAnsiTheme="minorHAnsi"/>
        </w:rPr>
        <w:t xml:space="preserve">Stage 1 commenced on </w:t>
      </w:r>
      <w:r w:rsidR="00A22899" w:rsidRPr="00A90F8A">
        <w:rPr>
          <w:rFonts w:asciiTheme="minorHAnsi" w:hAnsiTheme="minorHAnsi"/>
        </w:rPr>
        <w:t xml:space="preserve">1 </w:t>
      </w:r>
      <w:r w:rsidRPr="00A90F8A">
        <w:rPr>
          <w:rFonts w:asciiTheme="minorHAnsi" w:hAnsiTheme="minorHAnsi"/>
        </w:rPr>
        <w:t xml:space="preserve">March 2018 with general </w:t>
      </w:r>
      <w:r w:rsidRPr="00A90F8A">
        <w:rPr>
          <w:rFonts w:asciiTheme="minorHAnsi" w:hAnsiTheme="minorHAnsi"/>
        </w:rPr>
        <w:lastRenderedPageBreak/>
        <w:t xml:space="preserve">submissions, the Minister, and submissions and evidence (with the exception of urban design and </w:t>
      </w:r>
      <w:r w:rsidR="006236F3">
        <w:rPr>
          <w:rFonts w:asciiTheme="minorHAnsi" w:hAnsiTheme="minorHAnsi"/>
        </w:rPr>
        <w:t>environmentally sustainable design (ESD)</w:t>
      </w:r>
      <w:r w:rsidRPr="00A90F8A">
        <w:rPr>
          <w:rFonts w:asciiTheme="minorHAnsi" w:hAnsiTheme="minorHAnsi"/>
        </w:rPr>
        <w:t>) from Melbourne and Port Phillip.</w:t>
      </w:r>
      <w:r w:rsidR="00A22899" w:rsidRPr="00A90F8A">
        <w:rPr>
          <w:rFonts w:asciiTheme="minorHAnsi" w:hAnsiTheme="minorHAnsi"/>
        </w:rPr>
        <w:t xml:space="preserve"> </w:t>
      </w:r>
      <w:r w:rsidR="004711F1" w:rsidRPr="00A90F8A">
        <w:rPr>
          <w:rFonts w:asciiTheme="minorHAnsi" w:hAnsiTheme="minorHAnsi"/>
        </w:rPr>
        <w:t xml:space="preserve"> </w:t>
      </w:r>
      <w:r w:rsidR="00A22899" w:rsidRPr="00A90F8A">
        <w:rPr>
          <w:rFonts w:asciiTheme="minorHAnsi" w:hAnsiTheme="minorHAnsi"/>
        </w:rPr>
        <w:t>Stage 1 concluded on 29 March 2018.</w:t>
      </w:r>
    </w:p>
    <w:p w:rsidR="00CC2F23" w:rsidRPr="00A90F8A" w:rsidRDefault="007A66DF" w:rsidP="00E01736">
      <w:pPr>
        <w:pStyle w:val="PPVBody"/>
        <w:rPr>
          <w:rFonts w:asciiTheme="minorHAnsi" w:hAnsiTheme="minorHAnsi"/>
        </w:rPr>
      </w:pPr>
      <w:r w:rsidRPr="00A90F8A">
        <w:rPr>
          <w:rFonts w:asciiTheme="minorHAnsi" w:hAnsiTheme="minorHAnsi"/>
        </w:rPr>
        <w:t xml:space="preserve">Stage 2 </w:t>
      </w:r>
      <w:r w:rsidR="00A22899" w:rsidRPr="00A90F8A">
        <w:rPr>
          <w:rFonts w:asciiTheme="minorHAnsi" w:hAnsiTheme="minorHAnsi"/>
        </w:rPr>
        <w:t>commenced on 9 April 2018</w:t>
      </w:r>
      <w:r w:rsidR="00CC2F23" w:rsidRPr="00A90F8A">
        <w:rPr>
          <w:rFonts w:asciiTheme="minorHAnsi" w:hAnsiTheme="minorHAnsi"/>
        </w:rPr>
        <w:t xml:space="preserve"> and concluded on 24 May 2018</w:t>
      </w:r>
      <w:r w:rsidR="00B05DD4" w:rsidRPr="00A90F8A">
        <w:rPr>
          <w:rFonts w:asciiTheme="minorHAnsi" w:hAnsiTheme="minorHAnsi"/>
        </w:rPr>
        <w:t>.</w:t>
      </w:r>
      <w:r w:rsidR="00C21C9E" w:rsidRPr="00A90F8A">
        <w:rPr>
          <w:rFonts w:asciiTheme="minorHAnsi" w:hAnsiTheme="minorHAnsi"/>
        </w:rPr>
        <w:t xml:space="preserve"> </w:t>
      </w:r>
      <w:r w:rsidR="00365A57">
        <w:rPr>
          <w:rFonts w:asciiTheme="minorHAnsi" w:hAnsiTheme="minorHAnsi"/>
        </w:rPr>
        <w:t xml:space="preserve"> The Review Panel </w:t>
      </w:r>
      <w:r w:rsidR="00D155D3">
        <w:rPr>
          <w:rFonts w:asciiTheme="minorHAnsi" w:hAnsiTheme="minorHAnsi"/>
        </w:rPr>
        <w:t>ran</w:t>
      </w:r>
      <w:r w:rsidR="0026131E">
        <w:rPr>
          <w:rFonts w:asciiTheme="minorHAnsi" w:hAnsiTheme="minorHAnsi"/>
        </w:rPr>
        <w:t xml:space="preserve"> </w:t>
      </w:r>
      <w:r w:rsidR="00B26A9E">
        <w:rPr>
          <w:rFonts w:asciiTheme="minorHAnsi" w:hAnsiTheme="minorHAnsi"/>
        </w:rPr>
        <w:t xml:space="preserve">the Precinct </w:t>
      </w:r>
      <w:r w:rsidR="00E070FF">
        <w:rPr>
          <w:rFonts w:asciiTheme="minorHAnsi" w:hAnsiTheme="minorHAnsi"/>
        </w:rPr>
        <w:t>H</w:t>
      </w:r>
      <w:r w:rsidR="00B26A9E">
        <w:rPr>
          <w:rFonts w:asciiTheme="minorHAnsi" w:hAnsiTheme="minorHAnsi"/>
        </w:rPr>
        <w:t>earings</w:t>
      </w:r>
      <w:r w:rsidR="0026131E">
        <w:rPr>
          <w:rFonts w:asciiTheme="minorHAnsi" w:hAnsiTheme="minorHAnsi"/>
        </w:rPr>
        <w:t xml:space="preserve"> concurrently</w:t>
      </w:r>
      <w:r w:rsidR="00D155D3">
        <w:rPr>
          <w:rFonts w:asciiTheme="minorHAnsi" w:hAnsiTheme="minorHAnsi"/>
        </w:rPr>
        <w:t xml:space="preserve"> as part of Stage 2</w:t>
      </w:r>
      <w:r w:rsidR="0026131E">
        <w:rPr>
          <w:rFonts w:asciiTheme="minorHAnsi" w:hAnsiTheme="minorHAnsi"/>
        </w:rPr>
        <w:t xml:space="preserve">.  Montague was held over a </w:t>
      </w:r>
      <w:r w:rsidR="00E3501E">
        <w:rPr>
          <w:rFonts w:asciiTheme="minorHAnsi" w:hAnsiTheme="minorHAnsi"/>
        </w:rPr>
        <w:t>13</w:t>
      </w:r>
      <w:r w:rsidR="0026131E">
        <w:rPr>
          <w:rFonts w:asciiTheme="minorHAnsi" w:hAnsiTheme="minorHAnsi"/>
        </w:rPr>
        <w:t xml:space="preserve"> day period, </w:t>
      </w:r>
      <w:r w:rsidR="00E3501E">
        <w:rPr>
          <w:rFonts w:asciiTheme="minorHAnsi" w:hAnsiTheme="minorHAnsi"/>
        </w:rPr>
        <w:t xml:space="preserve">generally </w:t>
      </w:r>
      <w:r w:rsidR="0026131E">
        <w:rPr>
          <w:rFonts w:asciiTheme="minorHAnsi" w:hAnsiTheme="minorHAnsi"/>
        </w:rPr>
        <w:t>concurrent with Sandridge (</w:t>
      </w:r>
      <w:r w:rsidR="003E64DC">
        <w:rPr>
          <w:rFonts w:asciiTheme="minorHAnsi" w:hAnsiTheme="minorHAnsi"/>
        </w:rPr>
        <w:t>seven</w:t>
      </w:r>
      <w:r w:rsidR="0026131E">
        <w:rPr>
          <w:rFonts w:asciiTheme="minorHAnsi" w:hAnsiTheme="minorHAnsi"/>
        </w:rPr>
        <w:t xml:space="preserve"> days), then Lorimer (</w:t>
      </w:r>
      <w:r w:rsidR="003E64DC">
        <w:rPr>
          <w:rFonts w:asciiTheme="minorHAnsi" w:hAnsiTheme="minorHAnsi"/>
        </w:rPr>
        <w:t>seven</w:t>
      </w:r>
      <w:r w:rsidR="0026131E">
        <w:rPr>
          <w:rFonts w:asciiTheme="minorHAnsi" w:hAnsiTheme="minorHAnsi"/>
        </w:rPr>
        <w:t xml:space="preserve"> days), concurrent with Wirraway (</w:t>
      </w:r>
      <w:r w:rsidR="003E64DC">
        <w:rPr>
          <w:rFonts w:asciiTheme="minorHAnsi" w:hAnsiTheme="minorHAnsi"/>
        </w:rPr>
        <w:t>six</w:t>
      </w:r>
      <w:r w:rsidR="0026131E">
        <w:rPr>
          <w:rFonts w:asciiTheme="minorHAnsi" w:hAnsiTheme="minorHAnsi"/>
        </w:rPr>
        <w:t xml:space="preserve"> days).  The final two days of Stage 2 were for </w:t>
      </w:r>
      <w:r w:rsidR="00A64CA7">
        <w:rPr>
          <w:rFonts w:asciiTheme="minorHAnsi" w:hAnsiTheme="minorHAnsi"/>
        </w:rPr>
        <w:t>submissions and a workshop relating to drafting of the controls,</w:t>
      </w:r>
      <w:r w:rsidR="00B26A9E">
        <w:rPr>
          <w:rFonts w:asciiTheme="minorHAnsi" w:hAnsiTheme="minorHAnsi"/>
        </w:rPr>
        <w:t xml:space="preserve"> </w:t>
      </w:r>
      <w:r w:rsidR="0026131E">
        <w:rPr>
          <w:rFonts w:asciiTheme="minorHAnsi" w:hAnsiTheme="minorHAnsi"/>
        </w:rPr>
        <w:t>and closing submissions.</w:t>
      </w:r>
    </w:p>
    <w:p w:rsidR="00E01736" w:rsidRPr="00A90F8A" w:rsidRDefault="0026131E" w:rsidP="00E01736">
      <w:pPr>
        <w:pStyle w:val="PPVBody"/>
        <w:rPr>
          <w:rFonts w:asciiTheme="minorHAnsi" w:hAnsiTheme="minorHAnsi"/>
        </w:rPr>
      </w:pPr>
      <w:r>
        <w:rPr>
          <w:rFonts w:asciiTheme="minorHAnsi" w:hAnsiTheme="minorHAnsi"/>
        </w:rPr>
        <w:t>A</w:t>
      </w:r>
      <w:r w:rsidR="00B26A9E">
        <w:rPr>
          <w:rFonts w:asciiTheme="minorHAnsi" w:hAnsiTheme="minorHAnsi"/>
        </w:rPr>
        <w:t>t</w:t>
      </w:r>
      <w:r>
        <w:rPr>
          <w:rFonts w:asciiTheme="minorHAnsi" w:hAnsiTheme="minorHAnsi"/>
        </w:rPr>
        <w:t xml:space="preserve"> </w:t>
      </w:r>
      <w:r w:rsidR="00B26A9E">
        <w:rPr>
          <w:rFonts w:asciiTheme="minorHAnsi" w:hAnsiTheme="minorHAnsi"/>
        </w:rPr>
        <w:t>the</w:t>
      </w:r>
      <w:r>
        <w:rPr>
          <w:rFonts w:asciiTheme="minorHAnsi" w:hAnsiTheme="minorHAnsi"/>
        </w:rPr>
        <w:t xml:space="preserve"> request </w:t>
      </w:r>
      <w:r w:rsidR="00D155D3">
        <w:rPr>
          <w:rFonts w:asciiTheme="minorHAnsi" w:hAnsiTheme="minorHAnsi"/>
        </w:rPr>
        <w:t xml:space="preserve">of several </w:t>
      </w:r>
      <w:r>
        <w:rPr>
          <w:rFonts w:asciiTheme="minorHAnsi" w:hAnsiTheme="minorHAnsi"/>
        </w:rPr>
        <w:t xml:space="preserve">landowners (see Chapter </w:t>
      </w:r>
      <w:r w:rsidR="00A64CA7">
        <w:rPr>
          <w:rFonts w:asciiTheme="minorHAnsi" w:hAnsiTheme="minorHAnsi"/>
        </w:rPr>
        <w:fldChar w:fldCharType="begin"/>
      </w:r>
      <w:r w:rsidR="00A64CA7">
        <w:rPr>
          <w:rFonts w:asciiTheme="minorHAnsi" w:hAnsiTheme="minorHAnsi"/>
        </w:rPr>
        <w:instrText xml:space="preserve"> REF _Ref519673756 \r \h </w:instrText>
      </w:r>
      <w:r w:rsidR="00A64CA7">
        <w:rPr>
          <w:rFonts w:asciiTheme="minorHAnsi" w:hAnsiTheme="minorHAnsi"/>
        </w:rPr>
      </w:r>
      <w:r w:rsidR="00A64CA7">
        <w:rPr>
          <w:rFonts w:asciiTheme="minorHAnsi" w:hAnsiTheme="minorHAnsi"/>
        </w:rPr>
        <w:fldChar w:fldCharType="separate"/>
      </w:r>
      <w:r w:rsidR="00A307EC">
        <w:rPr>
          <w:rFonts w:asciiTheme="minorHAnsi" w:hAnsiTheme="minorHAnsi"/>
        </w:rPr>
        <w:t>1.6(vi)</w:t>
      </w:r>
      <w:r w:rsidR="00A64CA7">
        <w:rPr>
          <w:rFonts w:asciiTheme="minorHAnsi" w:hAnsiTheme="minorHAnsi"/>
        </w:rPr>
        <w:fldChar w:fldCharType="end"/>
      </w:r>
      <w:r>
        <w:rPr>
          <w:rFonts w:asciiTheme="minorHAnsi" w:hAnsiTheme="minorHAnsi"/>
        </w:rPr>
        <w:t xml:space="preserve">), the Review Panel determined it would extend the Hearings to allow for closing submissions from various parties.  This </w:t>
      </w:r>
      <w:r w:rsidR="00365A57">
        <w:rPr>
          <w:rFonts w:asciiTheme="minorHAnsi" w:hAnsiTheme="minorHAnsi"/>
        </w:rPr>
        <w:t>Stage 3 resulted in t</w:t>
      </w:r>
      <w:r w:rsidR="00F54700">
        <w:rPr>
          <w:rFonts w:asciiTheme="minorHAnsi" w:hAnsiTheme="minorHAnsi"/>
        </w:rPr>
        <w:t>wo</w:t>
      </w:r>
      <w:r w:rsidR="00C21C9E" w:rsidRPr="00A90F8A">
        <w:rPr>
          <w:rFonts w:asciiTheme="minorHAnsi" w:hAnsiTheme="minorHAnsi"/>
        </w:rPr>
        <w:t xml:space="preserve"> additional</w:t>
      </w:r>
      <w:r w:rsidR="00365A57">
        <w:rPr>
          <w:rFonts w:asciiTheme="minorHAnsi" w:hAnsiTheme="minorHAnsi"/>
        </w:rPr>
        <w:t xml:space="preserve"> sitting</w:t>
      </w:r>
      <w:r w:rsidR="00C21C9E" w:rsidRPr="00A90F8A">
        <w:rPr>
          <w:rFonts w:asciiTheme="minorHAnsi" w:hAnsiTheme="minorHAnsi"/>
        </w:rPr>
        <w:t xml:space="preserve"> days </w:t>
      </w:r>
      <w:r w:rsidR="00CC2F23" w:rsidRPr="00A90F8A">
        <w:rPr>
          <w:rFonts w:asciiTheme="minorHAnsi" w:hAnsiTheme="minorHAnsi"/>
        </w:rPr>
        <w:t xml:space="preserve">on </w:t>
      </w:r>
      <w:r w:rsidR="00365A57">
        <w:rPr>
          <w:rFonts w:asciiTheme="minorHAnsi" w:hAnsiTheme="minorHAnsi"/>
        </w:rPr>
        <w:t>20</w:t>
      </w:r>
      <w:r w:rsidR="00F54700">
        <w:rPr>
          <w:rFonts w:asciiTheme="minorHAnsi" w:hAnsiTheme="minorHAnsi"/>
        </w:rPr>
        <w:t xml:space="preserve"> </w:t>
      </w:r>
      <w:r w:rsidR="00365A57">
        <w:rPr>
          <w:rFonts w:asciiTheme="minorHAnsi" w:hAnsiTheme="minorHAnsi"/>
        </w:rPr>
        <w:t>and 22</w:t>
      </w:r>
      <w:r w:rsidR="00CC2F23" w:rsidRPr="00A90F8A">
        <w:rPr>
          <w:rFonts w:asciiTheme="minorHAnsi" w:hAnsiTheme="minorHAnsi"/>
        </w:rPr>
        <w:t xml:space="preserve"> June 2018 </w:t>
      </w:r>
      <w:r>
        <w:rPr>
          <w:rFonts w:asciiTheme="minorHAnsi" w:hAnsiTheme="minorHAnsi"/>
        </w:rPr>
        <w:t xml:space="preserve">to allow </w:t>
      </w:r>
      <w:r w:rsidR="00C21C9E" w:rsidRPr="00A90F8A">
        <w:rPr>
          <w:rFonts w:asciiTheme="minorHAnsi" w:hAnsiTheme="minorHAnsi"/>
        </w:rPr>
        <w:t xml:space="preserve">parties to provide </w:t>
      </w:r>
      <w:r w:rsidR="00CC2F23" w:rsidRPr="00A90F8A">
        <w:rPr>
          <w:rFonts w:asciiTheme="minorHAnsi" w:hAnsiTheme="minorHAnsi"/>
        </w:rPr>
        <w:t xml:space="preserve">further </w:t>
      </w:r>
      <w:r w:rsidR="00C21C9E" w:rsidRPr="00A90F8A">
        <w:rPr>
          <w:rFonts w:asciiTheme="minorHAnsi" w:hAnsiTheme="minorHAnsi"/>
        </w:rPr>
        <w:t>closing submissions</w:t>
      </w:r>
      <w:r w:rsidR="00365A57">
        <w:rPr>
          <w:rFonts w:asciiTheme="minorHAnsi" w:hAnsiTheme="minorHAnsi"/>
        </w:rPr>
        <w:t xml:space="preserve"> in response to the Minister’s </w:t>
      </w:r>
      <w:r w:rsidR="00CC2F23" w:rsidRPr="00A90F8A">
        <w:rPr>
          <w:rFonts w:asciiTheme="minorHAnsi" w:hAnsiTheme="minorHAnsi"/>
        </w:rPr>
        <w:t xml:space="preserve">Part C </w:t>
      </w:r>
      <w:r w:rsidR="006C32DA">
        <w:rPr>
          <w:rFonts w:asciiTheme="minorHAnsi" w:hAnsiTheme="minorHAnsi"/>
        </w:rPr>
        <w:t>s</w:t>
      </w:r>
      <w:r w:rsidR="00CC2F23" w:rsidRPr="00A90F8A">
        <w:rPr>
          <w:rFonts w:asciiTheme="minorHAnsi" w:hAnsiTheme="minorHAnsi"/>
        </w:rPr>
        <w:t>ubmission</w:t>
      </w:r>
      <w:r w:rsidR="00C21C9E" w:rsidRPr="00A90F8A">
        <w:rPr>
          <w:rFonts w:asciiTheme="minorHAnsi" w:hAnsiTheme="minorHAnsi"/>
        </w:rPr>
        <w:t>.</w:t>
      </w:r>
    </w:p>
    <w:p w:rsidR="00CF6BE4" w:rsidRPr="00A90F8A" w:rsidRDefault="004711F1" w:rsidP="00FB3639">
      <w:pPr>
        <w:pStyle w:val="PPVBody"/>
        <w:rPr>
          <w:rFonts w:asciiTheme="minorHAnsi" w:hAnsiTheme="minorHAnsi"/>
        </w:rPr>
      </w:pPr>
      <w:r w:rsidRPr="00A90F8A">
        <w:rPr>
          <w:rFonts w:asciiTheme="minorHAnsi" w:hAnsiTheme="minorHAnsi"/>
        </w:rPr>
        <w:t xml:space="preserve">All </w:t>
      </w:r>
      <w:r w:rsidR="00A22899" w:rsidRPr="00A90F8A">
        <w:rPr>
          <w:rFonts w:asciiTheme="minorHAnsi" w:hAnsiTheme="minorHAnsi"/>
        </w:rPr>
        <w:t xml:space="preserve">Hearings were held at </w:t>
      </w:r>
      <w:r w:rsidR="00F3588A">
        <w:rPr>
          <w:rFonts w:asciiTheme="minorHAnsi" w:hAnsiTheme="minorHAnsi"/>
        </w:rPr>
        <w:t>PPV</w:t>
      </w:r>
      <w:r w:rsidR="00A22899" w:rsidRPr="00A90F8A">
        <w:rPr>
          <w:rFonts w:asciiTheme="minorHAnsi" w:hAnsiTheme="minorHAnsi"/>
        </w:rPr>
        <w:t xml:space="preserve">. </w:t>
      </w:r>
      <w:r w:rsidRPr="00A90F8A">
        <w:rPr>
          <w:rFonts w:asciiTheme="minorHAnsi" w:hAnsiTheme="minorHAnsi"/>
        </w:rPr>
        <w:t xml:space="preserve"> </w:t>
      </w:r>
      <w:r w:rsidR="00CF6BE4" w:rsidRPr="00A90F8A">
        <w:rPr>
          <w:rFonts w:asciiTheme="minorHAnsi" w:hAnsiTheme="minorHAnsi"/>
        </w:rPr>
        <w:t xml:space="preserve">Those in attendance at the </w:t>
      </w:r>
      <w:r w:rsidR="00E070FF">
        <w:rPr>
          <w:rFonts w:asciiTheme="minorHAnsi" w:hAnsiTheme="minorHAnsi"/>
        </w:rPr>
        <w:t>Hearing</w:t>
      </w:r>
      <w:r w:rsidR="00CF6BE4" w:rsidRPr="00A90F8A">
        <w:rPr>
          <w:rFonts w:asciiTheme="minorHAnsi" w:hAnsiTheme="minorHAnsi"/>
        </w:rPr>
        <w:t xml:space="preserve"> are listed in Appendix </w:t>
      </w:r>
      <w:r w:rsidR="00387F7C">
        <w:rPr>
          <w:rFonts w:asciiTheme="minorHAnsi" w:hAnsiTheme="minorHAnsi"/>
        </w:rPr>
        <w:t>C</w:t>
      </w:r>
      <w:r w:rsidR="00CF6BE4" w:rsidRPr="00A90F8A">
        <w:rPr>
          <w:rFonts w:asciiTheme="minorHAnsi" w:hAnsiTheme="minorHAnsi"/>
        </w:rPr>
        <w:t xml:space="preserve"> of this report.</w:t>
      </w:r>
    </w:p>
    <w:p w:rsidR="00A22899" w:rsidRPr="00A90F8A" w:rsidRDefault="00A22899" w:rsidP="00A22899">
      <w:pPr>
        <w:pStyle w:val="Heading4"/>
        <w:rPr>
          <w:rFonts w:asciiTheme="minorHAnsi" w:hAnsiTheme="minorHAnsi"/>
        </w:rPr>
      </w:pPr>
      <w:r w:rsidRPr="00A90F8A">
        <w:rPr>
          <w:rFonts w:asciiTheme="minorHAnsi" w:hAnsiTheme="minorHAnsi"/>
        </w:rPr>
        <w:t xml:space="preserve">Site </w:t>
      </w:r>
      <w:r w:rsidR="00127AD8">
        <w:rPr>
          <w:rFonts w:asciiTheme="minorHAnsi" w:hAnsiTheme="minorHAnsi"/>
        </w:rPr>
        <w:t>i</w:t>
      </w:r>
      <w:r w:rsidRPr="00A90F8A">
        <w:rPr>
          <w:rFonts w:asciiTheme="minorHAnsi" w:hAnsiTheme="minorHAnsi"/>
        </w:rPr>
        <w:t>nspections</w:t>
      </w:r>
    </w:p>
    <w:p w:rsidR="00D155D3" w:rsidRDefault="00D155D3" w:rsidP="00D155D3">
      <w:pPr>
        <w:pStyle w:val="PPVBody"/>
      </w:pPr>
      <w:r w:rsidRPr="00A90F8A">
        <w:rPr>
          <w:rFonts w:asciiTheme="minorHAnsi" w:hAnsiTheme="minorHAnsi"/>
        </w:rPr>
        <w:t xml:space="preserve">The Review Panel undertook a half day site visit of Fishermans Bend on 28 November 2017.  It was accompanied by </w:t>
      </w:r>
      <w:r>
        <w:rPr>
          <w:rFonts w:asciiTheme="minorHAnsi" w:hAnsiTheme="minorHAnsi"/>
        </w:rPr>
        <w:t>four m</w:t>
      </w:r>
      <w:r w:rsidRPr="00A90F8A">
        <w:rPr>
          <w:rFonts w:asciiTheme="minorHAnsi" w:hAnsiTheme="minorHAnsi"/>
        </w:rPr>
        <w:t xml:space="preserve">embers of the Taskforce.  </w:t>
      </w:r>
      <w:r>
        <w:t>The site visit was acknowledged as agenda item 5 (D3, D9) at the public briefing sessions.  The a</w:t>
      </w:r>
      <w:r w:rsidRPr="00416D18">
        <w:t>genda</w:t>
      </w:r>
      <w:r>
        <w:t xml:space="preserve"> for the site visit (D13) and</w:t>
      </w:r>
      <w:r w:rsidRPr="00416D18">
        <w:t xml:space="preserve"> the map outlining the </w:t>
      </w:r>
      <w:r>
        <w:t>locations</w:t>
      </w:r>
      <w:r w:rsidRPr="00416D18">
        <w:t xml:space="preserve"> visited </w:t>
      </w:r>
      <w:r>
        <w:t xml:space="preserve">(D14) were tabled at the first Directions Hearing, as was the plan </w:t>
      </w:r>
      <w:r w:rsidR="00A64CA7">
        <w:t xml:space="preserve">provided by the Taskforce </w:t>
      </w:r>
      <w:r>
        <w:t>showing planning permit activity (D15).</w:t>
      </w:r>
    </w:p>
    <w:p w:rsidR="0022534A" w:rsidRPr="00A90F8A" w:rsidRDefault="0022534A" w:rsidP="0022534A">
      <w:pPr>
        <w:pStyle w:val="PPVBody"/>
        <w:rPr>
          <w:rFonts w:asciiTheme="minorHAnsi" w:hAnsiTheme="minorHAnsi"/>
        </w:rPr>
      </w:pPr>
      <w:r w:rsidRPr="00A90F8A">
        <w:rPr>
          <w:rFonts w:asciiTheme="minorHAnsi" w:hAnsiTheme="minorHAnsi"/>
        </w:rPr>
        <w:t xml:space="preserve">The </w:t>
      </w:r>
      <w:r w:rsidR="004711F1" w:rsidRPr="00A90F8A">
        <w:rPr>
          <w:rFonts w:asciiTheme="minorHAnsi" w:hAnsiTheme="minorHAnsi"/>
        </w:rPr>
        <w:t xml:space="preserve">Review Panel </w:t>
      </w:r>
      <w:r w:rsidRPr="00A90F8A">
        <w:rPr>
          <w:rFonts w:asciiTheme="minorHAnsi" w:hAnsiTheme="minorHAnsi"/>
        </w:rPr>
        <w:t xml:space="preserve">inspected </w:t>
      </w:r>
      <w:r w:rsidR="00387F7C">
        <w:rPr>
          <w:rFonts w:asciiTheme="minorHAnsi" w:hAnsiTheme="minorHAnsi"/>
        </w:rPr>
        <w:t xml:space="preserve">various </w:t>
      </w:r>
      <w:r w:rsidRPr="00A90F8A">
        <w:rPr>
          <w:rFonts w:asciiTheme="minorHAnsi" w:hAnsiTheme="minorHAnsi"/>
        </w:rPr>
        <w:t xml:space="preserve">locations </w:t>
      </w:r>
      <w:r w:rsidR="00387F7C">
        <w:rPr>
          <w:rFonts w:asciiTheme="minorHAnsi" w:hAnsiTheme="minorHAnsi"/>
        </w:rPr>
        <w:t xml:space="preserve">and sites </w:t>
      </w:r>
      <w:r w:rsidRPr="00A90F8A">
        <w:rPr>
          <w:rFonts w:asciiTheme="minorHAnsi" w:hAnsiTheme="minorHAnsi"/>
        </w:rPr>
        <w:t xml:space="preserve">within </w:t>
      </w:r>
      <w:r w:rsidR="00387F7C">
        <w:rPr>
          <w:rFonts w:asciiTheme="minorHAnsi" w:hAnsiTheme="minorHAnsi"/>
        </w:rPr>
        <w:t>Fishermans Bend (D13)</w:t>
      </w:r>
      <w:r w:rsidRPr="00A90F8A">
        <w:rPr>
          <w:rFonts w:asciiTheme="minorHAnsi" w:hAnsiTheme="minorHAnsi"/>
        </w:rPr>
        <w:t>, including</w:t>
      </w:r>
      <w:r w:rsidR="004711F1" w:rsidRPr="00A90F8A">
        <w:rPr>
          <w:rFonts w:asciiTheme="minorHAnsi" w:hAnsiTheme="minorHAnsi"/>
        </w:rPr>
        <w:t xml:space="preserve"> (but not limited to)</w:t>
      </w:r>
      <w:r w:rsidRPr="00A90F8A">
        <w:rPr>
          <w:rFonts w:asciiTheme="minorHAnsi" w:hAnsiTheme="minorHAnsi"/>
        </w:rPr>
        <w:t>:</w:t>
      </w:r>
    </w:p>
    <w:p w:rsidR="0022534A" w:rsidRPr="00A90F8A" w:rsidRDefault="0022534A" w:rsidP="004F6781">
      <w:pPr>
        <w:pStyle w:val="PPVBullet1"/>
      </w:pPr>
      <w:r w:rsidRPr="00A90F8A">
        <w:rPr>
          <w:rFonts w:asciiTheme="minorHAnsi" w:hAnsiTheme="minorHAnsi"/>
        </w:rPr>
        <w:t xml:space="preserve">the </w:t>
      </w:r>
      <w:r w:rsidR="00D155D3">
        <w:rPr>
          <w:rFonts w:asciiTheme="minorHAnsi" w:hAnsiTheme="minorHAnsi"/>
        </w:rPr>
        <w:t xml:space="preserve">proposed </w:t>
      </w:r>
      <w:r w:rsidRPr="00A90F8A">
        <w:rPr>
          <w:rFonts w:asciiTheme="minorHAnsi" w:hAnsiTheme="minorHAnsi"/>
        </w:rPr>
        <w:t>Yarra River tram bridge</w:t>
      </w:r>
      <w:r w:rsidR="004711F1" w:rsidRPr="00A90F8A">
        <w:rPr>
          <w:rFonts w:asciiTheme="minorHAnsi" w:hAnsiTheme="minorHAnsi"/>
        </w:rPr>
        <w:t xml:space="preserve"> crossing alignment </w:t>
      </w:r>
      <w:r w:rsidR="00D155D3">
        <w:rPr>
          <w:rFonts w:asciiTheme="minorHAnsi" w:hAnsiTheme="minorHAnsi"/>
        </w:rPr>
        <w:t>north of and within Lorimer</w:t>
      </w:r>
    </w:p>
    <w:p w:rsidR="0022534A" w:rsidRPr="00A90F8A" w:rsidRDefault="0022534A" w:rsidP="004F6781">
      <w:pPr>
        <w:pStyle w:val="PPVBullet1"/>
      </w:pPr>
      <w:r w:rsidRPr="00A90F8A">
        <w:t>the Ferra</w:t>
      </w:r>
      <w:r w:rsidR="0026131E">
        <w:t>r</w:t>
      </w:r>
      <w:r w:rsidRPr="00A90F8A">
        <w:t>s Street School</w:t>
      </w:r>
      <w:r w:rsidR="00D155D3">
        <w:t xml:space="preserve"> and the </w:t>
      </w:r>
      <w:r w:rsidR="005C1A55">
        <w:t>proposed</w:t>
      </w:r>
      <w:r w:rsidRPr="00A90F8A">
        <w:t xml:space="preserve"> Buckhurst</w:t>
      </w:r>
      <w:r w:rsidR="004711F1" w:rsidRPr="00A90F8A">
        <w:t xml:space="preserve"> Street Linear Park in Montague</w:t>
      </w:r>
    </w:p>
    <w:p w:rsidR="0022534A" w:rsidRPr="00A90F8A" w:rsidRDefault="0022534A" w:rsidP="004F6781">
      <w:pPr>
        <w:pStyle w:val="PPVBullet1"/>
      </w:pPr>
      <w:r w:rsidRPr="00A90F8A">
        <w:t>the Port Melbourne interface, the proposed Metro station at Fennel Street and the Port Phi</w:t>
      </w:r>
      <w:r w:rsidR="004711F1" w:rsidRPr="00A90F8A">
        <w:t>llip Council depot in Sandridge</w:t>
      </w:r>
    </w:p>
    <w:p w:rsidR="0022534A" w:rsidRPr="00A90F8A" w:rsidRDefault="0022534A" w:rsidP="004F6781">
      <w:pPr>
        <w:pStyle w:val="PPVBullet1"/>
      </w:pPr>
      <w:r w:rsidRPr="00A90F8A">
        <w:t>the Webb Dock Interface, JL Murphy Reserve and the proposed transp</w:t>
      </w:r>
      <w:r w:rsidR="004711F1" w:rsidRPr="00A90F8A">
        <w:t>ort interchange within Wirraway</w:t>
      </w:r>
    </w:p>
    <w:p w:rsidR="0022534A" w:rsidRPr="00A90F8A" w:rsidRDefault="0022534A" w:rsidP="004F6781">
      <w:pPr>
        <w:pStyle w:val="PPVBullet1"/>
      </w:pPr>
      <w:r w:rsidRPr="00A90F8A">
        <w:t>the West Gate Park, Port of Melbourne interface and GMH site in the Employment Precinct</w:t>
      </w:r>
      <w:r w:rsidR="004711F1" w:rsidRPr="00A90F8A">
        <w:t>.</w:t>
      </w:r>
    </w:p>
    <w:p w:rsidR="00EE461B" w:rsidRDefault="00645270" w:rsidP="00FB3639">
      <w:pPr>
        <w:pStyle w:val="PPVBody"/>
        <w:rPr>
          <w:rFonts w:asciiTheme="minorHAnsi" w:hAnsiTheme="minorHAnsi"/>
        </w:rPr>
      </w:pPr>
      <w:r w:rsidRPr="00A90F8A">
        <w:rPr>
          <w:rFonts w:asciiTheme="minorHAnsi" w:hAnsiTheme="minorHAnsi"/>
        </w:rPr>
        <w:t>The</w:t>
      </w:r>
      <w:r w:rsidR="0022534A" w:rsidRPr="00A90F8A">
        <w:rPr>
          <w:rFonts w:asciiTheme="minorHAnsi" w:hAnsiTheme="minorHAnsi"/>
        </w:rPr>
        <w:t xml:space="preserve"> Review Panel attended an accompanied</w:t>
      </w:r>
      <w:r w:rsidRPr="00A90F8A">
        <w:rPr>
          <w:rFonts w:asciiTheme="minorHAnsi" w:hAnsiTheme="minorHAnsi"/>
        </w:rPr>
        <w:t xml:space="preserve"> site inspection o</w:t>
      </w:r>
      <w:r w:rsidR="0022534A" w:rsidRPr="00A90F8A">
        <w:rPr>
          <w:rFonts w:asciiTheme="minorHAnsi" w:hAnsiTheme="minorHAnsi"/>
        </w:rPr>
        <w:t>n</w:t>
      </w:r>
      <w:r w:rsidRPr="00A90F8A">
        <w:rPr>
          <w:rFonts w:asciiTheme="minorHAnsi" w:hAnsiTheme="minorHAnsi"/>
        </w:rPr>
        <w:t xml:space="preserve"> </w:t>
      </w:r>
      <w:r w:rsidR="00F54700">
        <w:rPr>
          <w:rFonts w:asciiTheme="minorHAnsi" w:hAnsiTheme="minorHAnsi"/>
        </w:rPr>
        <w:t>14 February 2018</w:t>
      </w:r>
      <w:r w:rsidRPr="00A90F8A">
        <w:rPr>
          <w:rFonts w:asciiTheme="minorHAnsi" w:hAnsiTheme="minorHAnsi"/>
        </w:rPr>
        <w:t xml:space="preserve">, </w:t>
      </w:r>
      <w:r w:rsidR="0022534A" w:rsidRPr="00A90F8A">
        <w:rPr>
          <w:rFonts w:asciiTheme="minorHAnsi" w:hAnsiTheme="minorHAnsi"/>
        </w:rPr>
        <w:t xml:space="preserve">which followed a replica </w:t>
      </w:r>
      <w:r w:rsidR="00EB2C5B" w:rsidRPr="00A90F8A">
        <w:rPr>
          <w:rFonts w:asciiTheme="minorHAnsi" w:hAnsiTheme="minorHAnsi"/>
        </w:rPr>
        <w:t>itinerary</w:t>
      </w:r>
      <w:r w:rsidR="0022534A" w:rsidRPr="00A90F8A">
        <w:rPr>
          <w:rFonts w:asciiTheme="minorHAnsi" w:hAnsiTheme="minorHAnsi"/>
        </w:rPr>
        <w:t xml:space="preserve"> </w:t>
      </w:r>
      <w:r w:rsidR="00D155D3">
        <w:rPr>
          <w:rFonts w:asciiTheme="minorHAnsi" w:hAnsiTheme="minorHAnsi"/>
        </w:rPr>
        <w:t>from</w:t>
      </w:r>
      <w:r w:rsidR="0022534A" w:rsidRPr="00A90F8A">
        <w:rPr>
          <w:rFonts w:asciiTheme="minorHAnsi" w:hAnsiTheme="minorHAnsi"/>
        </w:rPr>
        <w:t xml:space="preserve"> the 28 November 2017 site visit.  </w:t>
      </w:r>
      <w:r w:rsidRPr="00A90F8A">
        <w:rPr>
          <w:rFonts w:asciiTheme="minorHAnsi" w:hAnsiTheme="minorHAnsi"/>
        </w:rPr>
        <w:t>Attendees</w:t>
      </w:r>
      <w:r w:rsidR="00A22899" w:rsidRPr="00A90F8A">
        <w:rPr>
          <w:rFonts w:asciiTheme="minorHAnsi" w:hAnsiTheme="minorHAnsi"/>
        </w:rPr>
        <w:t xml:space="preserve"> included </w:t>
      </w:r>
      <w:r w:rsidR="006C32DA">
        <w:rPr>
          <w:rFonts w:asciiTheme="minorHAnsi" w:hAnsiTheme="minorHAnsi"/>
        </w:rPr>
        <w:t>m</w:t>
      </w:r>
      <w:r w:rsidR="00A22899" w:rsidRPr="00A90F8A">
        <w:rPr>
          <w:rFonts w:asciiTheme="minorHAnsi" w:hAnsiTheme="minorHAnsi"/>
        </w:rPr>
        <w:t>embers of DELWP</w:t>
      </w:r>
      <w:r w:rsidR="003E64DC">
        <w:rPr>
          <w:rFonts w:asciiTheme="minorHAnsi" w:hAnsiTheme="minorHAnsi"/>
        </w:rPr>
        <w:t>, the</w:t>
      </w:r>
      <w:r w:rsidR="00A22899" w:rsidRPr="00A90F8A">
        <w:rPr>
          <w:rFonts w:asciiTheme="minorHAnsi" w:hAnsiTheme="minorHAnsi"/>
        </w:rPr>
        <w:t xml:space="preserve"> Taskforce, representatives of the Minister, Port Phillip, Melbourne, EPA, MWRRG, community groups and land owners</w:t>
      </w:r>
      <w:r w:rsidR="00374E11" w:rsidRPr="00A90F8A">
        <w:rPr>
          <w:rFonts w:asciiTheme="minorHAnsi" w:hAnsiTheme="minorHAnsi"/>
        </w:rPr>
        <w:t>.</w:t>
      </w:r>
      <w:r w:rsidR="00374E11">
        <w:rPr>
          <w:rFonts w:asciiTheme="minorHAnsi" w:hAnsiTheme="minorHAnsi"/>
        </w:rPr>
        <w:t xml:space="preserve">  </w:t>
      </w:r>
      <w:r w:rsidR="00374E11" w:rsidRPr="00A90F8A">
        <w:rPr>
          <w:rFonts w:asciiTheme="minorHAnsi" w:hAnsiTheme="minorHAnsi"/>
        </w:rPr>
        <w:t>T</w:t>
      </w:r>
      <w:r w:rsidR="00B05DD4" w:rsidRPr="00A90F8A">
        <w:rPr>
          <w:rFonts w:asciiTheme="minorHAnsi" w:hAnsiTheme="minorHAnsi"/>
        </w:rPr>
        <w:t xml:space="preserve">he </w:t>
      </w:r>
      <w:r w:rsidR="006C32DA">
        <w:rPr>
          <w:rFonts w:asciiTheme="minorHAnsi" w:hAnsiTheme="minorHAnsi"/>
        </w:rPr>
        <w:t>i</w:t>
      </w:r>
      <w:r w:rsidR="00B05DD4" w:rsidRPr="00A90F8A">
        <w:rPr>
          <w:rFonts w:asciiTheme="minorHAnsi" w:hAnsiTheme="minorHAnsi"/>
        </w:rPr>
        <w:t xml:space="preserve">nspection was a full day bus tour, </w:t>
      </w:r>
      <w:r w:rsidR="003E64DC">
        <w:rPr>
          <w:rFonts w:asciiTheme="minorHAnsi" w:hAnsiTheme="minorHAnsi"/>
        </w:rPr>
        <w:t>inspecting</w:t>
      </w:r>
      <w:r w:rsidR="00D155D3">
        <w:rPr>
          <w:rFonts w:asciiTheme="minorHAnsi" w:hAnsiTheme="minorHAnsi"/>
        </w:rPr>
        <w:t xml:space="preserve"> the five P</w:t>
      </w:r>
      <w:r w:rsidR="00B05DD4" w:rsidRPr="00A90F8A">
        <w:rPr>
          <w:rFonts w:asciiTheme="minorHAnsi" w:hAnsiTheme="minorHAnsi"/>
        </w:rPr>
        <w:t xml:space="preserve">recincts within Fishermans Bend, </w:t>
      </w:r>
      <w:r w:rsidR="00387F7C">
        <w:rPr>
          <w:rFonts w:asciiTheme="minorHAnsi" w:hAnsiTheme="minorHAnsi"/>
        </w:rPr>
        <w:t>including key site</w:t>
      </w:r>
      <w:r w:rsidR="003E64DC">
        <w:rPr>
          <w:rFonts w:asciiTheme="minorHAnsi" w:hAnsiTheme="minorHAnsi"/>
        </w:rPr>
        <w:t>s</w:t>
      </w:r>
      <w:r w:rsidR="00B05DD4" w:rsidRPr="00A90F8A">
        <w:rPr>
          <w:rFonts w:asciiTheme="minorHAnsi" w:hAnsiTheme="minorHAnsi"/>
        </w:rPr>
        <w:t xml:space="preserve"> such as the proposed underground rail station locations, interfaces with existing residential and </w:t>
      </w:r>
      <w:r w:rsidR="001E7E50">
        <w:rPr>
          <w:rFonts w:asciiTheme="minorHAnsi" w:hAnsiTheme="minorHAnsi"/>
        </w:rPr>
        <w:t>p</w:t>
      </w:r>
      <w:r w:rsidR="00B05DD4" w:rsidRPr="00A90F8A">
        <w:rPr>
          <w:rFonts w:asciiTheme="minorHAnsi" w:hAnsiTheme="minorHAnsi"/>
        </w:rPr>
        <w:t xml:space="preserve">ort environs, the proposed Yarra River crossing location and </w:t>
      </w:r>
      <w:r w:rsidR="00D155D3">
        <w:rPr>
          <w:rFonts w:asciiTheme="minorHAnsi" w:hAnsiTheme="minorHAnsi"/>
        </w:rPr>
        <w:t xml:space="preserve">the </w:t>
      </w:r>
      <w:r w:rsidR="00B05DD4" w:rsidRPr="00A90F8A">
        <w:rPr>
          <w:rFonts w:asciiTheme="minorHAnsi" w:hAnsiTheme="minorHAnsi"/>
        </w:rPr>
        <w:t>Ferra</w:t>
      </w:r>
      <w:r w:rsidR="004711F1" w:rsidRPr="00A90F8A">
        <w:rPr>
          <w:rFonts w:asciiTheme="minorHAnsi" w:hAnsiTheme="minorHAnsi"/>
        </w:rPr>
        <w:t>r</w:t>
      </w:r>
      <w:r w:rsidR="00B05DD4" w:rsidRPr="00A90F8A">
        <w:rPr>
          <w:rFonts w:asciiTheme="minorHAnsi" w:hAnsiTheme="minorHAnsi"/>
        </w:rPr>
        <w:t xml:space="preserve">s Street </w:t>
      </w:r>
      <w:r w:rsidR="004711F1" w:rsidRPr="00A90F8A">
        <w:rPr>
          <w:rFonts w:asciiTheme="minorHAnsi" w:hAnsiTheme="minorHAnsi"/>
        </w:rPr>
        <w:t xml:space="preserve">primary </w:t>
      </w:r>
      <w:r w:rsidR="00B05DD4" w:rsidRPr="00A90F8A">
        <w:rPr>
          <w:rFonts w:asciiTheme="minorHAnsi" w:hAnsiTheme="minorHAnsi"/>
        </w:rPr>
        <w:t>school.</w:t>
      </w:r>
    </w:p>
    <w:p w:rsidR="00CF6BE4" w:rsidRPr="00A90F8A" w:rsidRDefault="00CF6BE4" w:rsidP="00FB3639">
      <w:pPr>
        <w:pStyle w:val="PPVBody"/>
        <w:rPr>
          <w:rFonts w:asciiTheme="minorHAnsi" w:hAnsiTheme="minorHAnsi"/>
        </w:rPr>
      </w:pPr>
      <w:r w:rsidRPr="00A90F8A">
        <w:rPr>
          <w:rFonts w:asciiTheme="minorHAnsi" w:hAnsiTheme="minorHAnsi"/>
        </w:rPr>
        <w:t xml:space="preserve">The Review Panel undertook an </w:t>
      </w:r>
      <w:r w:rsidR="00F374BF" w:rsidRPr="00A90F8A">
        <w:rPr>
          <w:rFonts w:asciiTheme="minorHAnsi" w:hAnsiTheme="minorHAnsi"/>
        </w:rPr>
        <w:t>accompanied</w:t>
      </w:r>
      <w:r w:rsidRPr="00A90F8A">
        <w:rPr>
          <w:rFonts w:asciiTheme="minorHAnsi" w:hAnsiTheme="minorHAnsi"/>
        </w:rPr>
        <w:t xml:space="preserve"> site </w:t>
      </w:r>
      <w:r w:rsidR="00F374BF" w:rsidRPr="00A91AEC">
        <w:rPr>
          <w:rFonts w:asciiTheme="minorHAnsi" w:hAnsiTheme="minorHAnsi"/>
        </w:rPr>
        <w:t>inspection</w:t>
      </w:r>
      <w:r w:rsidRPr="00A91AEC">
        <w:rPr>
          <w:rFonts w:asciiTheme="minorHAnsi" w:hAnsiTheme="minorHAnsi"/>
        </w:rPr>
        <w:t xml:space="preserve"> of the </w:t>
      </w:r>
      <w:r w:rsidR="00A91AEC">
        <w:rPr>
          <w:rFonts w:asciiTheme="minorHAnsi" w:hAnsiTheme="minorHAnsi"/>
        </w:rPr>
        <w:t>Port of Melbourne, including Webb</w:t>
      </w:r>
      <w:r w:rsidR="00F3588A">
        <w:rPr>
          <w:rFonts w:asciiTheme="minorHAnsi" w:hAnsiTheme="minorHAnsi"/>
        </w:rPr>
        <w:t>, Swanston</w:t>
      </w:r>
      <w:r w:rsidR="00A91AEC">
        <w:rPr>
          <w:rFonts w:asciiTheme="minorHAnsi" w:hAnsiTheme="minorHAnsi"/>
        </w:rPr>
        <w:t xml:space="preserve"> and Appleton Docks and </w:t>
      </w:r>
      <w:r w:rsidR="00F3588A">
        <w:rPr>
          <w:rFonts w:asciiTheme="minorHAnsi" w:hAnsiTheme="minorHAnsi"/>
        </w:rPr>
        <w:t xml:space="preserve">their </w:t>
      </w:r>
      <w:r w:rsidR="00A91AEC">
        <w:rPr>
          <w:rFonts w:asciiTheme="minorHAnsi" w:hAnsiTheme="minorHAnsi"/>
        </w:rPr>
        <w:t xml:space="preserve">surrounds </w:t>
      </w:r>
      <w:r w:rsidRPr="00A91AEC">
        <w:rPr>
          <w:rFonts w:asciiTheme="minorHAnsi" w:hAnsiTheme="minorHAnsi"/>
        </w:rPr>
        <w:t xml:space="preserve">on </w:t>
      </w:r>
      <w:r w:rsidR="00C21C9E" w:rsidRPr="00A91AEC">
        <w:rPr>
          <w:rFonts w:asciiTheme="minorHAnsi" w:hAnsiTheme="minorHAnsi"/>
        </w:rPr>
        <w:t xml:space="preserve">Tuesday 22 May 2018. </w:t>
      </w:r>
      <w:r w:rsidR="004711F1" w:rsidRPr="00A91AEC">
        <w:rPr>
          <w:rFonts w:asciiTheme="minorHAnsi" w:hAnsiTheme="minorHAnsi"/>
        </w:rPr>
        <w:t xml:space="preserve"> </w:t>
      </w:r>
      <w:r w:rsidR="003E64DC">
        <w:rPr>
          <w:rFonts w:asciiTheme="minorHAnsi" w:hAnsiTheme="minorHAnsi"/>
        </w:rPr>
        <w:t>Attendance was open to any party with related issues and a</w:t>
      </w:r>
      <w:r w:rsidR="00A91AEC" w:rsidRPr="00A91AEC">
        <w:rPr>
          <w:rFonts w:asciiTheme="minorHAnsi" w:hAnsiTheme="minorHAnsi"/>
        </w:rPr>
        <w:t xml:space="preserve"> number of</w:t>
      </w:r>
      <w:r w:rsidR="00F374BF" w:rsidRPr="00A91AEC">
        <w:rPr>
          <w:rFonts w:asciiTheme="minorHAnsi" w:hAnsiTheme="minorHAnsi"/>
        </w:rPr>
        <w:t xml:space="preserve"> parties </w:t>
      </w:r>
      <w:r w:rsidR="003E64DC">
        <w:rPr>
          <w:rFonts w:asciiTheme="minorHAnsi" w:hAnsiTheme="minorHAnsi"/>
        </w:rPr>
        <w:t>attend</w:t>
      </w:r>
      <w:r w:rsidR="00346B0A">
        <w:rPr>
          <w:rFonts w:asciiTheme="minorHAnsi" w:hAnsiTheme="minorHAnsi"/>
        </w:rPr>
        <w:t xml:space="preserve">ed </w:t>
      </w:r>
      <w:r w:rsidR="003E64DC">
        <w:rPr>
          <w:rFonts w:asciiTheme="minorHAnsi" w:hAnsiTheme="minorHAnsi"/>
        </w:rPr>
        <w:t xml:space="preserve">or </w:t>
      </w:r>
      <w:r w:rsidR="00F374BF" w:rsidRPr="00A91AEC">
        <w:rPr>
          <w:rFonts w:asciiTheme="minorHAnsi" w:hAnsiTheme="minorHAnsi"/>
        </w:rPr>
        <w:t>were represented</w:t>
      </w:r>
      <w:r w:rsidR="00F374BF" w:rsidRPr="00A90F8A">
        <w:rPr>
          <w:rFonts w:asciiTheme="minorHAnsi" w:hAnsiTheme="minorHAnsi"/>
        </w:rPr>
        <w:t>.</w:t>
      </w:r>
    </w:p>
    <w:p w:rsidR="00A22899" w:rsidRDefault="004711F1" w:rsidP="00FB3639">
      <w:pPr>
        <w:pStyle w:val="PPVBody"/>
        <w:rPr>
          <w:rFonts w:asciiTheme="minorHAnsi" w:hAnsiTheme="minorHAnsi"/>
        </w:rPr>
      </w:pPr>
      <w:r w:rsidRPr="00A90F8A">
        <w:rPr>
          <w:rFonts w:asciiTheme="minorHAnsi" w:hAnsiTheme="minorHAnsi"/>
        </w:rPr>
        <w:lastRenderedPageBreak/>
        <w:t>Members of t</w:t>
      </w:r>
      <w:r w:rsidR="00B05DD4" w:rsidRPr="00A90F8A">
        <w:rPr>
          <w:rFonts w:asciiTheme="minorHAnsi" w:hAnsiTheme="minorHAnsi"/>
        </w:rPr>
        <w:t>he Review Panel</w:t>
      </w:r>
      <w:r w:rsidR="00301D5A">
        <w:rPr>
          <w:rFonts w:asciiTheme="minorHAnsi" w:hAnsiTheme="minorHAnsi"/>
        </w:rPr>
        <w:t xml:space="preserve">, individually and as a group, </w:t>
      </w:r>
      <w:r w:rsidR="00B05DD4" w:rsidRPr="00A90F8A">
        <w:rPr>
          <w:rFonts w:asciiTheme="minorHAnsi" w:hAnsiTheme="minorHAnsi"/>
        </w:rPr>
        <w:t xml:space="preserve">undertook a number of unaccompanied inspections of </w:t>
      </w:r>
      <w:r w:rsidRPr="00A90F8A">
        <w:rPr>
          <w:rFonts w:asciiTheme="minorHAnsi" w:hAnsiTheme="minorHAnsi"/>
        </w:rPr>
        <w:t xml:space="preserve">Fishermans Bend </w:t>
      </w:r>
      <w:r w:rsidR="00B05DD4" w:rsidRPr="00A90F8A">
        <w:rPr>
          <w:rFonts w:asciiTheme="minorHAnsi" w:hAnsiTheme="minorHAnsi"/>
        </w:rPr>
        <w:t>before, during and after the Hearings</w:t>
      </w:r>
      <w:r w:rsidR="00F3588A">
        <w:rPr>
          <w:rFonts w:asciiTheme="minorHAnsi" w:hAnsiTheme="minorHAnsi"/>
        </w:rPr>
        <w:t>.</w:t>
      </w:r>
    </w:p>
    <w:p w:rsidR="00785416" w:rsidRDefault="00365D63" w:rsidP="00365D63">
      <w:pPr>
        <w:pStyle w:val="Heading2"/>
      </w:pPr>
      <w:bookmarkStart w:id="27" w:name="_Toc519710234"/>
      <w:bookmarkStart w:id="28" w:name="_Toc519766794"/>
      <w:r>
        <w:t>The proponent for the draft Amendment</w:t>
      </w:r>
      <w:bookmarkEnd w:id="27"/>
      <w:bookmarkEnd w:id="28"/>
    </w:p>
    <w:p w:rsidR="00365D63" w:rsidRDefault="00365D63" w:rsidP="00365D63">
      <w:pPr>
        <w:pStyle w:val="PPVBody"/>
      </w:pPr>
      <w:r>
        <w:t xml:space="preserve">Early in the Hearing, the Review Panel sought clarification about who the proponent was for the draft Amendment.  This was because there was confusion </w:t>
      </w:r>
      <w:r w:rsidR="00D155D3">
        <w:t xml:space="preserve">over </w:t>
      </w:r>
      <w:r>
        <w:t xml:space="preserve">whether it was the Taskforce, </w:t>
      </w:r>
      <w:r w:rsidR="00027336">
        <w:t>DELWP</w:t>
      </w:r>
      <w:r>
        <w:t xml:space="preserve"> or the Minister.</w:t>
      </w:r>
    </w:p>
    <w:p w:rsidR="00785416" w:rsidRDefault="00AA50A7" w:rsidP="00365D63">
      <w:pPr>
        <w:pStyle w:val="PPVBody"/>
      </w:pPr>
      <w:r>
        <w:t xml:space="preserve">Ms Brennan </w:t>
      </w:r>
      <w:r w:rsidR="00B13277">
        <w:t xml:space="preserve">SC </w:t>
      </w:r>
      <w:r w:rsidR="00387F7C">
        <w:t>confirmed</w:t>
      </w:r>
      <w:r>
        <w:t xml:space="preserve"> that </w:t>
      </w:r>
      <w:r w:rsidRPr="00AA50A7">
        <w:rPr>
          <w:i/>
        </w:rPr>
        <w:t>“the proponent for draft Amendment GC81 is the Mi</w:t>
      </w:r>
      <w:r w:rsidR="00387F7C">
        <w:rPr>
          <w:i/>
        </w:rPr>
        <w:t>nister for Planning (Minister)”</w:t>
      </w:r>
      <w:r w:rsidR="00387F7C">
        <w:rPr>
          <w:rStyle w:val="FootnoteReference"/>
        </w:rPr>
        <w:footnoteReference w:id="2"/>
      </w:r>
      <w:r w:rsidR="00387F7C">
        <w:rPr>
          <w:i/>
        </w:rPr>
        <w:t xml:space="preserve">, </w:t>
      </w:r>
      <w:r w:rsidR="00387F7C" w:rsidRPr="00387F7C">
        <w:t xml:space="preserve">who is also the </w:t>
      </w:r>
      <w:r w:rsidR="00EE531A">
        <w:t>r</w:t>
      </w:r>
      <w:r w:rsidRPr="00387F7C">
        <w:t>esponsible</w:t>
      </w:r>
      <w:r>
        <w:t xml:space="preserve"> </w:t>
      </w:r>
      <w:r w:rsidR="00EE531A">
        <w:t>a</w:t>
      </w:r>
      <w:r>
        <w:t>uthority for developments with a gross floor exceeding 25,000 square metres.</w:t>
      </w:r>
    </w:p>
    <w:p w:rsidR="00AA50A7" w:rsidRDefault="00AA50A7" w:rsidP="00365D63">
      <w:pPr>
        <w:pStyle w:val="PPVBody"/>
      </w:pPr>
      <w:r>
        <w:t>Ms Brenna</w:t>
      </w:r>
      <w:r w:rsidR="00027336">
        <w:t>n</w:t>
      </w:r>
      <w:r>
        <w:t xml:space="preserve"> advised that the Taskforce is an administrative office within DELW</w:t>
      </w:r>
      <w:r w:rsidR="00027336">
        <w:t>P</w:t>
      </w:r>
      <w:r>
        <w:t>, established in February 2016 to lead the planning for Fishermans Bend.  The Taskforce w</w:t>
      </w:r>
      <w:r w:rsidR="00027336">
        <w:t>as</w:t>
      </w:r>
      <w:r>
        <w:t xml:space="preserve"> responsible for developing the </w:t>
      </w:r>
      <w:r w:rsidR="0038339B">
        <w:t>d</w:t>
      </w:r>
      <w:r>
        <w:t>raft Framework to implement the Vision.  She noted this work included:</w:t>
      </w:r>
    </w:p>
    <w:p w:rsidR="00AA50A7" w:rsidRDefault="00AA50A7" w:rsidP="000947CB">
      <w:pPr>
        <w:pStyle w:val="PPVQuote"/>
        <w:numPr>
          <w:ilvl w:val="0"/>
          <w:numId w:val="17"/>
        </w:numPr>
      </w:pPr>
      <w:r>
        <w:t>Preparing and commissioning various technical reports to inform the development of the Fram</w:t>
      </w:r>
      <w:r w:rsidR="00FC563B">
        <w:t>ework</w:t>
      </w:r>
    </w:p>
    <w:p w:rsidR="00AA50A7" w:rsidRDefault="00AA50A7" w:rsidP="000947CB">
      <w:pPr>
        <w:pStyle w:val="PPVQuote"/>
        <w:numPr>
          <w:ilvl w:val="0"/>
          <w:numId w:val="17"/>
        </w:numPr>
      </w:pPr>
      <w:r>
        <w:t>Undertakin</w:t>
      </w:r>
      <w:r w:rsidR="00FC563B">
        <w:t>g consultation on the Framework</w:t>
      </w:r>
    </w:p>
    <w:p w:rsidR="00AA50A7" w:rsidRDefault="00AA50A7" w:rsidP="000947CB">
      <w:pPr>
        <w:pStyle w:val="PPVQuote"/>
        <w:numPr>
          <w:ilvl w:val="0"/>
          <w:numId w:val="17"/>
        </w:numPr>
      </w:pPr>
      <w:r>
        <w:t>Finalising the reports and Framework as directed by Government.</w:t>
      </w:r>
    </w:p>
    <w:p w:rsidR="00AA50A7" w:rsidRDefault="003E64DC" w:rsidP="00365D63">
      <w:pPr>
        <w:pStyle w:val="PPVBody"/>
      </w:pPr>
      <w:r>
        <w:t xml:space="preserve">Ms Brennan advised </w:t>
      </w:r>
      <w:r w:rsidR="00D155D3">
        <w:t xml:space="preserve">that </w:t>
      </w:r>
      <w:r w:rsidR="00AA50A7">
        <w:t xml:space="preserve">the Taskforce was responsible for preparing the draft </w:t>
      </w:r>
      <w:r>
        <w:t>A</w:t>
      </w:r>
      <w:r w:rsidR="00D155D3">
        <w:t>mendment</w:t>
      </w:r>
      <w:r w:rsidR="00AA50A7">
        <w:t xml:space="preserve"> to implement the </w:t>
      </w:r>
      <w:r>
        <w:t xml:space="preserve">draft </w:t>
      </w:r>
      <w:r w:rsidR="00AA50A7">
        <w:t>Framework in consultation w</w:t>
      </w:r>
      <w:r w:rsidR="00027336">
        <w:t xml:space="preserve">ith State </w:t>
      </w:r>
      <w:r w:rsidR="00AA50A7">
        <w:t xml:space="preserve">Planning </w:t>
      </w:r>
      <w:r w:rsidR="00027336">
        <w:t>Services</w:t>
      </w:r>
      <w:r w:rsidR="00AA50A7">
        <w:t xml:space="preserve"> of DELWP.  </w:t>
      </w:r>
      <w:r w:rsidR="00027336">
        <w:t>State Planning Services</w:t>
      </w:r>
      <w:r w:rsidR="00AA50A7">
        <w:t xml:space="preserve"> was responsible for notifying relevant persons, including landowners and occupiers who may be affected by the draft Amendment.  Ms Brennan advised:</w:t>
      </w:r>
    </w:p>
    <w:p w:rsidR="00AA50A7" w:rsidRDefault="00AA50A7" w:rsidP="00AA50A7">
      <w:pPr>
        <w:pStyle w:val="PPVQuote"/>
      </w:pPr>
      <w:r>
        <w:t>State Planning Services DELWP will ultimately be responsible for finalising the draft Amendment …</w:t>
      </w:r>
    </w:p>
    <w:p w:rsidR="00AA50A7" w:rsidRDefault="00AA50A7" w:rsidP="00AA50A7">
      <w:pPr>
        <w:pStyle w:val="PPVQuote"/>
      </w:pPr>
      <w:r>
        <w:t>The draft Amendment will be submitted to the Minister for approval.</w:t>
      </w:r>
    </w:p>
    <w:p w:rsidR="00D155D3" w:rsidRDefault="00D155D3" w:rsidP="00D155D3">
      <w:pPr>
        <w:pStyle w:val="PPVBody"/>
      </w:pPr>
      <w:r>
        <w:t>Based upon that advice, and for the purposes of this report, the Review Panel refers to the proponent as the Minister, although it notes that the Minister will be acting in a different capacity, and pursuant to different statutory functions and duties, in receiving the Review Panel’s report and advice, and approving the draft Amendment with or without changes.</w:t>
      </w:r>
    </w:p>
    <w:p w:rsidR="00387440" w:rsidRPr="00A90F8A" w:rsidRDefault="00387440" w:rsidP="00DD6314">
      <w:pPr>
        <w:pStyle w:val="Heading2"/>
      </w:pPr>
      <w:bookmarkStart w:id="29" w:name="_Toc519710235"/>
      <w:bookmarkStart w:id="30" w:name="_Toc519766795"/>
      <w:r w:rsidRPr="00A90F8A">
        <w:t>Approach to this report</w:t>
      </w:r>
      <w:bookmarkEnd w:id="29"/>
      <w:bookmarkEnd w:id="30"/>
    </w:p>
    <w:p w:rsidR="00703A79" w:rsidRPr="00A90F8A" w:rsidRDefault="00703A79" w:rsidP="00703A79">
      <w:pPr>
        <w:pStyle w:val="PPVBody"/>
        <w:rPr>
          <w:rFonts w:asciiTheme="minorHAnsi" w:hAnsiTheme="minorHAnsi"/>
        </w:rPr>
      </w:pPr>
      <w:r w:rsidRPr="00A90F8A">
        <w:rPr>
          <w:rFonts w:asciiTheme="minorHAnsi" w:hAnsiTheme="minorHAnsi"/>
        </w:rPr>
        <w:t xml:space="preserve">This </w:t>
      </w:r>
      <w:r w:rsidR="003D3896">
        <w:rPr>
          <w:rFonts w:asciiTheme="minorHAnsi" w:hAnsiTheme="minorHAnsi"/>
        </w:rPr>
        <w:t>Report No.</w:t>
      </w:r>
      <w:r w:rsidR="00B13277">
        <w:rPr>
          <w:rFonts w:asciiTheme="minorHAnsi" w:hAnsiTheme="minorHAnsi"/>
        </w:rPr>
        <w:t xml:space="preserve"> </w:t>
      </w:r>
      <w:r w:rsidR="003D3896">
        <w:rPr>
          <w:rFonts w:asciiTheme="minorHAnsi" w:hAnsiTheme="minorHAnsi"/>
        </w:rPr>
        <w:t xml:space="preserve">1 </w:t>
      </w:r>
      <w:r w:rsidR="00387F7C">
        <w:rPr>
          <w:rFonts w:asciiTheme="minorHAnsi" w:hAnsiTheme="minorHAnsi"/>
        </w:rPr>
        <w:t xml:space="preserve">Volume 1 </w:t>
      </w:r>
      <w:r w:rsidR="003D3896">
        <w:rPr>
          <w:rFonts w:asciiTheme="minorHAnsi" w:hAnsiTheme="minorHAnsi"/>
        </w:rPr>
        <w:t xml:space="preserve">– Overview </w:t>
      </w:r>
      <w:r w:rsidR="00B13277">
        <w:rPr>
          <w:rFonts w:asciiTheme="minorHAnsi" w:hAnsiTheme="minorHAnsi"/>
        </w:rPr>
        <w:t xml:space="preserve">(the Overview </w:t>
      </w:r>
      <w:r w:rsidR="00827876">
        <w:rPr>
          <w:rFonts w:asciiTheme="minorHAnsi" w:hAnsiTheme="minorHAnsi"/>
        </w:rPr>
        <w:t>R</w:t>
      </w:r>
      <w:r w:rsidR="00B13277">
        <w:rPr>
          <w:rFonts w:asciiTheme="minorHAnsi" w:hAnsiTheme="minorHAnsi"/>
        </w:rPr>
        <w:t xml:space="preserve">eport) </w:t>
      </w:r>
      <w:r w:rsidRPr="00A90F8A">
        <w:rPr>
          <w:rFonts w:asciiTheme="minorHAnsi" w:hAnsiTheme="minorHAnsi"/>
        </w:rPr>
        <w:t>of the Review Panel</w:t>
      </w:r>
      <w:r w:rsidR="003D3896">
        <w:rPr>
          <w:rFonts w:asciiTheme="minorHAnsi" w:hAnsiTheme="minorHAnsi"/>
        </w:rPr>
        <w:t xml:space="preserve"> </w:t>
      </w:r>
      <w:r w:rsidRPr="00A90F8A">
        <w:rPr>
          <w:rFonts w:asciiTheme="minorHAnsi" w:hAnsiTheme="minorHAnsi"/>
        </w:rPr>
        <w:t xml:space="preserve">outlines the background to the </w:t>
      </w:r>
      <w:r w:rsidR="007A3C68" w:rsidRPr="00A90F8A">
        <w:rPr>
          <w:rFonts w:asciiTheme="minorHAnsi" w:hAnsiTheme="minorHAnsi"/>
        </w:rPr>
        <w:t>draft Amendment process</w:t>
      </w:r>
      <w:r w:rsidRPr="00A90F8A">
        <w:rPr>
          <w:rFonts w:asciiTheme="minorHAnsi" w:hAnsiTheme="minorHAnsi"/>
        </w:rPr>
        <w:t xml:space="preserve">. </w:t>
      </w:r>
      <w:r w:rsidR="004711F1" w:rsidRPr="00A90F8A">
        <w:rPr>
          <w:rFonts w:asciiTheme="minorHAnsi" w:hAnsiTheme="minorHAnsi"/>
        </w:rPr>
        <w:t xml:space="preserve"> </w:t>
      </w:r>
      <w:r w:rsidR="003D3896">
        <w:rPr>
          <w:rFonts w:asciiTheme="minorHAnsi" w:hAnsiTheme="minorHAnsi"/>
        </w:rPr>
        <w:t>It</w:t>
      </w:r>
      <w:r w:rsidR="004711F1" w:rsidRPr="00A90F8A">
        <w:rPr>
          <w:rFonts w:asciiTheme="minorHAnsi" w:hAnsiTheme="minorHAnsi"/>
        </w:rPr>
        <w:t xml:space="preserve"> discusses the </w:t>
      </w:r>
      <w:r w:rsidR="00022E29" w:rsidRPr="00A90F8A">
        <w:rPr>
          <w:rFonts w:asciiTheme="minorHAnsi" w:hAnsiTheme="minorHAnsi"/>
        </w:rPr>
        <w:t xml:space="preserve">key </w:t>
      </w:r>
      <w:r w:rsidRPr="00A90F8A">
        <w:rPr>
          <w:rFonts w:asciiTheme="minorHAnsi" w:hAnsiTheme="minorHAnsi"/>
        </w:rPr>
        <w:t>threshold issues that were raised in submissions, together with matte</w:t>
      </w:r>
      <w:r w:rsidR="003D3896">
        <w:rPr>
          <w:rFonts w:asciiTheme="minorHAnsi" w:hAnsiTheme="minorHAnsi"/>
        </w:rPr>
        <w:t>rs that were common across all P</w:t>
      </w:r>
      <w:r w:rsidRPr="00A90F8A">
        <w:rPr>
          <w:rFonts w:asciiTheme="minorHAnsi" w:hAnsiTheme="minorHAnsi"/>
        </w:rPr>
        <w:t>recincts.</w:t>
      </w:r>
      <w:r w:rsidR="00387F7C">
        <w:rPr>
          <w:rFonts w:asciiTheme="minorHAnsi" w:hAnsiTheme="minorHAnsi"/>
        </w:rPr>
        <w:t xml:space="preserve">  Report </w:t>
      </w:r>
      <w:r w:rsidR="003D3896">
        <w:rPr>
          <w:rFonts w:asciiTheme="minorHAnsi" w:hAnsiTheme="minorHAnsi"/>
        </w:rPr>
        <w:t xml:space="preserve">No. 1 </w:t>
      </w:r>
      <w:r w:rsidR="00387F7C">
        <w:rPr>
          <w:rFonts w:asciiTheme="minorHAnsi" w:hAnsiTheme="minorHAnsi"/>
        </w:rPr>
        <w:t xml:space="preserve">Volume 2 </w:t>
      </w:r>
      <w:r w:rsidR="003D3896">
        <w:rPr>
          <w:rFonts w:asciiTheme="minorHAnsi" w:hAnsiTheme="minorHAnsi"/>
        </w:rPr>
        <w:t xml:space="preserve">– Amended planning controls </w:t>
      </w:r>
      <w:r w:rsidR="00B13277">
        <w:rPr>
          <w:rFonts w:asciiTheme="minorHAnsi" w:hAnsiTheme="minorHAnsi"/>
        </w:rPr>
        <w:t xml:space="preserve">(the amended planning controls report) </w:t>
      </w:r>
      <w:r w:rsidR="00387F7C">
        <w:rPr>
          <w:rFonts w:asciiTheme="minorHAnsi" w:hAnsiTheme="minorHAnsi"/>
        </w:rPr>
        <w:t>includes the Review Panel</w:t>
      </w:r>
      <w:r w:rsidR="00BB03A2">
        <w:rPr>
          <w:rFonts w:asciiTheme="minorHAnsi" w:hAnsiTheme="minorHAnsi"/>
        </w:rPr>
        <w:t>’s</w:t>
      </w:r>
      <w:r w:rsidR="00387F7C">
        <w:rPr>
          <w:rFonts w:asciiTheme="minorHAnsi" w:hAnsiTheme="minorHAnsi"/>
        </w:rPr>
        <w:t xml:space="preserve"> recommended planning controls.</w:t>
      </w:r>
    </w:p>
    <w:p w:rsidR="00022E29" w:rsidRPr="00A90F8A" w:rsidRDefault="003D3896" w:rsidP="00703A79">
      <w:pPr>
        <w:pStyle w:val="PPVBody"/>
        <w:rPr>
          <w:rFonts w:asciiTheme="minorHAnsi" w:hAnsiTheme="minorHAnsi"/>
        </w:rPr>
      </w:pPr>
      <w:r>
        <w:rPr>
          <w:rFonts w:asciiTheme="minorHAnsi" w:hAnsiTheme="minorHAnsi"/>
        </w:rPr>
        <w:t xml:space="preserve">These </w:t>
      </w:r>
      <w:r w:rsidR="00827876">
        <w:rPr>
          <w:rFonts w:asciiTheme="minorHAnsi" w:hAnsiTheme="minorHAnsi"/>
        </w:rPr>
        <w:t>r</w:t>
      </w:r>
      <w:r>
        <w:rPr>
          <w:rFonts w:asciiTheme="minorHAnsi" w:hAnsiTheme="minorHAnsi"/>
        </w:rPr>
        <w:t xml:space="preserve">eports are </w:t>
      </w:r>
      <w:r w:rsidR="00022E29" w:rsidRPr="00A90F8A">
        <w:rPr>
          <w:rFonts w:asciiTheme="minorHAnsi" w:hAnsiTheme="minorHAnsi"/>
        </w:rPr>
        <w:t xml:space="preserve">accompanied by </w:t>
      </w:r>
      <w:r w:rsidR="00AB35F3">
        <w:rPr>
          <w:rFonts w:asciiTheme="minorHAnsi" w:hAnsiTheme="minorHAnsi"/>
        </w:rPr>
        <w:t xml:space="preserve">and should be read in conjunction with </w:t>
      </w:r>
      <w:r w:rsidR="00022E29" w:rsidRPr="00A90F8A">
        <w:rPr>
          <w:rFonts w:asciiTheme="minorHAnsi" w:hAnsiTheme="minorHAnsi"/>
        </w:rPr>
        <w:t xml:space="preserve">four </w:t>
      </w:r>
      <w:r w:rsidR="00703A79" w:rsidRPr="00A90F8A">
        <w:rPr>
          <w:rFonts w:asciiTheme="minorHAnsi" w:hAnsiTheme="minorHAnsi"/>
        </w:rPr>
        <w:t xml:space="preserve">reports </w:t>
      </w:r>
      <w:r w:rsidR="00022E29" w:rsidRPr="00A90F8A">
        <w:rPr>
          <w:rFonts w:asciiTheme="minorHAnsi" w:hAnsiTheme="minorHAnsi"/>
        </w:rPr>
        <w:t xml:space="preserve">that </w:t>
      </w:r>
      <w:r w:rsidR="00703A79" w:rsidRPr="00A90F8A">
        <w:rPr>
          <w:rFonts w:asciiTheme="minorHAnsi" w:hAnsiTheme="minorHAnsi"/>
        </w:rPr>
        <w:t xml:space="preserve">address the </w:t>
      </w:r>
      <w:r w:rsidR="00022E29" w:rsidRPr="00A90F8A">
        <w:rPr>
          <w:rFonts w:asciiTheme="minorHAnsi" w:hAnsiTheme="minorHAnsi"/>
        </w:rPr>
        <w:t xml:space="preserve">specific </w:t>
      </w:r>
      <w:r w:rsidR="00703A79" w:rsidRPr="00A90F8A">
        <w:rPr>
          <w:rFonts w:asciiTheme="minorHAnsi" w:hAnsiTheme="minorHAnsi"/>
        </w:rPr>
        <w:t xml:space="preserve">issues associated with </w:t>
      </w:r>
      <w:r w:rsidR="00022E29" w:rsidRPr="00A90F8A">
        <w:rPr>
          <w:rFonts w:asciiTheme="minorHAnsi" w:hAnsiTheme="minorHAnsi"/>
        </w:rPr>
        <w:t>each</w:t>
      </w:r>
      <w:r>
        <w:rPr>
          <w:rFonts w:asciiTheme="minorHAnsi" w:hAnsiTheme="minorHAnsi"/>
        </w:rPr>
        <w:t xml:space="preserve"> P</w:t>
      </w:r>
      <w:r w:rsidR="00703A79" w:rsidRPr="00A90F8A">
        <w:rPr>
          <w:rFonts w:asciiTheme="minorHAnsi" w:hAnsiTheme="minorHAnsi"/>
        </w:rPr>
        <w:t>recinct</w:t>
      </w:r>
      <w:r w:rsidR="00022E29" w:rsidRPr="00A90F8A">
        <w:rPr>
          <w:rFonts w:asciiTheme="minorHAnsi" w:hAnsiTheme="minorHAnsi"/>
        </w:rPr>
        <w:t>:</w:t>
      </w:r>
    </w:p>
    <w:p w:rsidR="00EE461B" w:rsidRDefault="00022E29" w:rsidP="004F6781">
      <w:pPr>
        <w:pStyle w:val="PPVBullet1"/>
      </w:pPr>
      <w:r w:rsidRPr="00A90F8A">
        <w:rPr>
          <w:rFonts w:asciiTheme="minorHAnsi" w:hAnsiTheme="minorHAnsi"/>
        </w:rPr>
        <w:t>Lorimer – Report No</w:t>
      </w:r>
      <w:r w:rsidR="003E64DC">
        <w:rPr>
          <w:rFonts w:asciiTheme="minorHAnsi" w:hAnsiTheme="minorHAnsi"/>
        </w:rPr>
        <w:t>.</w:t>
      </w:r>
      <w:r w:rsidRPr="00A90F8A">
        <w:rPr>
          <w:rFonts w:asciiTheme="minorHAnsi" w:hAnsiTheme="minorHAnsi"/>
        </w:rPr>
        <w:t xml:space="preserve"> 2</w:t>
      </w:r>
    </w:p>
    <w:p w:rsidR="00022E29" w:rsidRPr="00A90F8A" w:rsidRDefault="00022E29" w:rsidP="004F6781">
      <w:pPr>
        <w:pStyle w:val="PPVBullet1"/>
      </w:pPr>
      <w:r w:rsidRPr="00A90F8A">
        <w:t>Montague – Report No</w:t>
      </w:r>
      <w:r w:rsidR="003E64DC">
        <w:t>.</w:t>
      </w:r>
      <w:r w:rsidRPr="00A90F8A">
        <w:t xml:space="preserve"> 3</w:t>
      </w:r>
    </w:p>
    <w:p w:rsidR="00022E29" w:rsidRPr="00A90F8A" w:rsidRDefault="00022E29" w:rsidP="004F6781">
      <w:pPr>
        <w:pStyle w:val="PPVBullet1"/>
      </w:pPr>
      <w:r w:rsidRPr="00A90F8A">
        <w:lastRenderedPageBreak/>
        <w:t>Sandridge – Report No</w:t>
      </w:r>
      <w:r w:rsidR="003E64DC">
        <w:t>.</w:t>
      </w:r>
      <w:r w:rsidRPr="00A90F8A">
        <w:t xml:space="preserve"> 4</w:t>
      </w:r>
    </w:p>
    <w:p w:rsidR="00022E29" w:rsidRPr="00A90F8A" w:rsidRDefault="00022E29" w:rsidP="004F6781">
      <w:pPr>
        <w:pStyle w:val="PPVBullet1"/>
      </w:pPr>
      <w:r w:rsidRPr="00A90F8A">
        <w:t>Wirraway – Report No</w:t>
      </w:r>
      <w:r w:rsidR="003E64DC">
        <w:t>.</w:t>
      </w:r>
      <w:r w:rsidRPr="00A90F8A">
        <w:t xml:space="preserve"> 5</w:t>
      </w:r>
    </w:p>
    <w:p w:rsidR="00B50848" w:rsidRDefault="00566CAE" w:rsidP="00703A79">
      <w:pPr>
        <w:pStyle w:val="PPVBody"/>
        <w:rPr>
          <w:rFonts w:asciiTheme="minorHAnsi" w:hAnsiTheme="minorHAnsi"/>
        </w:rPr>
      </w:pPr>
      <w:r>
        <w:rPr>
          <w:rFonts w:asciiTheme="minorHAnsi" w:hAnsiTheme="minorHAnsi"/>
        </w:rPr>
        <w:t xml:space="preserve">The documents that the Review Panel has used as </w:t>
      </w:r>
      <w:r w:rsidR="003D3896">
        <w:rPr>
          <w:rFonts w:asciiTheme="minorHAnsi" w:hAnsiTheme="minorHAnsi"/>
        </w:rPr>
        <w:t>a</w:t>
      </w:r>
      <w:r>
        <w:rPr>
          <w:rFonts w:asciiTheme="minorHAnsi" w:hAnsiTheme="minorHAnsi"/>
        </w:rPr>
        <w:t xml:space="preserve"> </w:t>
      </w:r>
      <w:r w:rsidR="0049493E">
        <w:rPr>
          <w:rFonts w:asciiTheme="minorHAnsi" w:hAnsiTheme="minorHAnsi"/>
        </w:rPr>
        <w:t>base</w:t>
      </w:r>
      <w:r>
        <w:rPr>
          <w:rFonts w:asciiTheme="minorHAnsi" w:hAnsiTheme="minorHAnsi"/>
        </w:rPr>
        <w:t xml:space="preserve"> for </w:t>
      </w:r>
      <w:r w:rsidR="003D3896">
        <w:rPr>
          <w:rFonts w:asciiTheme="minorHAnsi" w:hAnsiTheme="minorHAnsi"/>
        </w:rPr>
        <w:t>considering</w:t>
      </w:r>
      <w:r>
        <w:rPr>
          <w:rFonts w:asciiTheme="minorHAnsi" w:hAnsiTheme="minorHAnsi"/>
        </w:rPr>
        <w:t xml:space="preserve"> submissions and evidence</w:t>
      </w:r>
      <w:r w:rsidR="0049493E">
        <w:rPr>
          <w:rFonts w:asciiTheme="minorHAnsi" w:hAnsiTheme="minorHAnsi"/>
        </w:rPr>
        <w:t xml:space="preserve"> in relation to the draft Amendmen</w:t>
      </w:r>
      <w:r w:rsidR="00301D5A">
        <w:rPr>
          <w:rFonts w:asciiTheme="minorHAnsi" w:hAnsiTheme="minorHAnsi"/>
        </w:rPr>
        <w:t>t</w:t>
      </w:r>
      <w:r w:rsidR="00B50848">
        <w:rPr>
          <w:rFonts w:asciiTheme="minorHAnsi" w:hAnsiTheme="minorHAnsi"/>
        </w:rPr>
        <w:t xml:space="preserve"> </w:t>
      </w:r>
      <w:r>
        <w:rPr>
          <w:rFonts w:asciiTheme="minorHAnsi" w:hAnsiTheme="minorHAnsi"/>
        </w:rPr>
        <w:t>include:</w:t>
      </w:r>
    </w:p>
    <w:p w:rsidR="00E3501E" w:rsidRDefault="00E3501E" w:rsidP="004F6781">
      <w:pPr>
        <w:pStyle w:val="PPVBullet1"/>
      </w:pPr>
      <w:r>
        <w:t>Fishermans Bend Vision, September 2016</w:t>
      </w:r>
      <w:r w:rsidR="003D3896">
        <w:t xml:space="preserve"> (the Vision)</w:t>
      </w:r>
    </w:p>
    <w:p w:rsidR="00E3501E" w:rsidRDefault="00E3501E" w:rsidP="004F6781">
      <w:pPr>
        <w:pStyle w:val="PPVBullet1"/>
      </w:pPr>
      <w:r>
        <w:t>Fishermans Bend Framework, draft for consultation, October 2017</w:t>
      </w:r>
      <w:r w:rsidR="003D3896">
        <w:t xml:space="preserve"> (the draft Amendment)</w:t>
      </w:r>
    </w:p>
    <w:p w:rsidR="00566CAE" w:rsidRPr="00A90F8A" w:rsidRDefault="00566CAE" w:rsidP="004F6781">
      <w:pPr>
        <w:pStyle w:val="PPVBullet1"/>
      </w:pPr>
      <w:r>
        <w:t>Minister</w:t>
      </w:r>
      <w:r w:rsidR="008744A3">
        <w:t>’</w:t>
      </w:r>
      <w:r>
        <w:t>s Part C version of the planning controls (</w:t>
      </w:r>
      <w:r w:rsidR="00BB03A2">
        <w:t>D</w:t>
      </w:r>
      <w:r>
        <w:t xml:space="preserve">335 to </w:t>
      </w:r>
      <w:r w:rsidR="00BB03A2">
        <w:t>D</w:t>
      </w:r>
      <w:r>
        <w:t>340 inclusive)</w:t>
      </w:r>
      <w:r w:rsidR="00E3501E">
        <w:t>, 23 May 2018</w:t>
      </w:r>
      <w:r w:rsidR="0049493E">
        <w:t>.</w:t>
      </w:r>
    </w:p>
    <w:p w:rsidR="00FB3639" w:rsidRPr="00A90F8A" w:rsidRDefault="006459AB" w:rsidP="00DD6314">
      <w:pPr>
        <w:pStyle w:val="Heading2"/>
      </w:pPr>
      <w:bookmarkStart w:id="31" w:name="_Ref519673634"/>
      <w:bookmarkStart w:id="32" w:name="_Toc519710236"/>
      <w:bookmarkStart w:id="33" w:name="_Toc519766796"/>
      <w:r w:rsidRPr="00A90F8A">
        <w:t>Procedural</w:t>
      </w:r>
      <w:r w:rsidR="00FB3639" w:rsidRPr="00A90F8A">
        <w:t xml:space="preserve"> matters</w:t>
      </w:r>
      <w:bookmarkEnd w:id="31"/>
      <w:bookmarkEnd w:id="32"/>
      <w:bookmarkEnd w:id="33"/>
    </w:p>
    <w:p w:rsidR="003D3896" w:rsidRDefault="003D3896" w:rsidP="003D3896">
      <w:pPr>
        <w:pStyle w:val="PPVBody"/>
        <w:rPr>
          <w:rFonts w:asciiTheme="minorHAnsi" w:hAnsiTheme="minorHAnsi"/>
        </w:rPr>
      </w:pPr>
      <w:r>
        <w:rPr>
          <w:rFonts w:asciiTheme="minorHAnsi" w:hAnsiTheme="minorHAnsi"/>
        </w:rPr>
        <w:t>Over the course of what was a lengthy hearing process, the Review Panel ruled on a</w:t>
      </w:r>
      <w:r w:rsidRPr="00A90F8A">
        <w:rPr>
          <w:rFonts w:asciiTheme="minorHAnsi" w:hAnsiTheme="minorHAnsi"/>
        </w:rPr>
        <w:t xml:space="preserve"> number of procedural matters.</w:t>
      </w:r>
      <w:r>
        <w:rPr>
          <w:rFonts w:asciiTheme="minorHAnsi" w:hAnsiTheme="minorHAnsi"/>
        </w:rPr>
        <w:t xml:space="preserve"> </w:t>
      </w:r>
      <w:r w:rsidRPr="00A90F8A">
        <w:rPr>
          <w:rFonts w:asciiTheme="minorHAnsi" w:hAnsiTheme="minorHAnsi"/>
        </w:rPr>
        <w:t xml:space="preserve"> Some of the more pertinent issues are summarised </w:t>
      </w:r>
      <w:r>
        <w:rPr>
          <w:rFonts w:asciiTheme="minorHAnsi" w:hAnsiTheme="minorHAnsi"/>
        </w:rPr>
        <w:t>in this Chapter.</w:t>
      </w:r>
    </w:p>
    <w:p w:rsidR="003D3896" w:rsidRDefault="003D3896" w:rsidP="003D3896">
      <w:pPr>
        <w:pStyle w:val="Heading4"/>
        <w:rPr>
          <w:rFonts w:asciiTheme="minorHAnsi" w:hAnsiTheme="minorHAnsi"/>
        </w:rPr>
      </w:pPr>
      <w:r>
        <w:rPr>
          <w:rFonts w:asciiTheme="minorHAnsi" w:hAnsiTheme="minorHAnsi"/>
        </w:rPr>
        <w:t>Directions Hearing No. 1</w:t>
      </w:r>
    </w:p>
    <w:p w:rsidR="003D3896" w:rsidRPr="00F34841" w:rsidRDefault="003D3896" w:rsidP="003D3896">
      <w:pPr>
        <w:pStyle w:val="Heading5"/>
      </w:pPr>
      <w:r w:rsidRPr="00345509">
        <w:t>Issue</w:t>
      </w:r>
    </w:p>
    <w:p w:rsidR="003D3896" w:rsidRDefault="003D3896" w:rsidP="003D3896">
      <w:pPr>
        <w:pStyle w:val="PPVBody"/>
      </w:pPr>
      <w:r>
        <w:t>The Review Panel wrote to all parties on 14 December 2017 (D16), indicating that the Hearing would commence on 12 February 2018.</w:t>
      </w:r>
    </w:p>
    <w:p w:rsidR="00785416" w:rsidRDefault="003D3896" w:rsidP="003D3896">
      <w:pPr>
        <w:pStyle w:val="PPVBody"/>
      </w:pPr>
      <w:r>
        <w:t xml:space="preserve">The first Directions Hearing was held on Wednesday 20 December 2017.  The evening beforehand, the Review Panel was provided with an affidavit from Ms Brezzi of Norton Rose Fulbright (D19c) and a submission from Mr Morris QC representing several submitters (D19b).  </w:t>
      </w:r>
      <w:r w:rsidRPr="001E24F2">
        <w:t>Mr Morris sought an ad</w:t>
      </w:r>
      <w:r>
        <w:t>journment</w:t>
      </w:r>
      <w:r w:rsidR="00B13277">
        <w:t xml:space="preserve"> of</w:t>
      </w:r>
      <w:r>
        <w:t xml:space="preserve"> the H</w:t>
      </w:r>
      <w:r w:rsidRPr="001E24F2">
        <w:t>earing</w:t>
      </w:r>
      <w:r>
        <w:t>,</w:t>
      </w:r>
      <w:r w:rsidRPr="001E24F2">
        <w:t xml:space="preserve"> a</w:t>
      </w:r>
      <w:r>
        <w:t>s well as</w:t>
      </w:r>
      <w:r w:rsidRPr="001E24F2">
        <w:t xml:space="preserve"> disclosure and information</w:t>
      </w:r>
      <w:r>
        <w:t xml:space="preserve"> </w:t>
      </w:r>
      <w:r w:rsidRPr="001E24F2">
        <w:t>about the briefings</w:t>
      </w:r>
      <w:r>
        <w:t>, meetings</w:t>
      </w:r>
      <w:r w:rsidRPr="001E24F2">
        <w:t xml:space="preserve"> and site inspection</w:t>
      </w:r>
      <w:r>
        <w:t>, a</w:t>
      </w:r>
      <w:r w:rsidRPr="001E24F2">
        <w:t>s</w:t>
      </w:r>
      <w:r>
        <w:t xml:space="preserve"> described in Chapter</w:t>
      </w:r>
      <w:r w:rsidR="00E25036">
        <w:t xml:space="preserve"> </w:t>
      </w:r>
      <w:r>
        <w:t>1.3</w:t>
      </w:r>
      <w:r w:rsidRPr="001E24F2">
        <w:t>.</w:t>
      </w:r>
    </w:p>
    <w:p w:rsidR="003D3896" w:rsidRDefault="003D3896" w:rsidP="003D3896">
      <w:pPr>
        <w:pStyle w:val="PPVBody"/>
      </w:pPr>
      <w:r>
        <w:t xml:space="preserve">Following its opening, the Review Panel invited Mr Morris to speak to the matters raised.  The affidavit </w:t>
      </w:r>
      <w:r w:rsidR="00E25036">
        <w:t xml:space="preserve">included </w:t>
      </w:r>
      <w:r>
        <w:t>conten</w:t>
      </w:r>
      <w:r w:rsidR="00E25036">
        <w:t xml:space="preserve">tions </w:t>
      </w:r>
      <w:r>
        <w:t>that the time allocated for the commencement of the Hearing was insufficient, having regard to:</w:t>
      </w:r>
    </w:p>
    <w:p w:rsidR="003D3896" w:rsidRDefault="003D3896" w:rsidP="003D3896">
      <w:pPr>
        <w:pStyle w:val="PPVQuoteBullet1"/>
        <w:numPr>
          <w:ilvl w:val="0"/>
          <w:numId w:val="10"/>
        </w:numPr>
      </w:pPr>
      <w:r>
        <w:t>The time allowed for public consultation</w:t>
      </w:r>
    </w:p>
    <w:p w:rsidR="003D3896" w:rsidRDefault="003D3896" w:rsidP="003D3896">
      <w:pPr>
        <w:pStyle w:val="PPVQuoteBullet1"/>
        <w:numPr>
          <w:ilvl w:val="0"/>
          <w:numId w:val="10"/>
        </w:numPr>
      </w:pPr>
      <w:r>
        <w:t>The time allowed for preparation for the Review Panel Hearing</w:t>
      </w:r>
    </w:p>
    <w:p w:rsidR="003D3896" w:rsidRDefault="003D3896" w:rsidP="003D3896">
      <w:pPr>
        <w:pStyle w:val="PPVQuoteBullet1"/>
        <w:numPr>
          <w:ilvl w:val="0"/>
          <w:numId w:val="10"/>
        </w:numPr>
      </w:pPr>
      <w:r>
        <w:t>Availability of experts</w:t>
      </w:r>
    </w:p>
    <w:p w:rsidR="003D3896" w:rsidRDefault="003D3896" w:rsidP="003D3896">
      <w:pPr>
        <w:pStyle w:val="PPVQuoteBullet1"/>
        <w:numPr>
          <w:ilvl w:val="0"/>
          <w:numId w:val="10"/>
        </w:numPr>
      </w:pPr>
      <w:r>
        <w:t>Availability of suitable Counsel</w:t>
      </w:r>
    </w:p>
    <w:p w:rsidR="003D3896" w:rsidRDefault="003D3896" w:rsidP="003D3896">
      <w:pPr>
        <w:pStyle w:val="PPVQuoteBullet1"/>
        <w:numPr>
          <w:ilvl w:val="0"/>
          <w:numId w:val="10"/>
        </w:numPr>
      </w:pPr>
      <w:r>
        <w:t>The apparent lack of direct notice to landowners, and</w:t>
      </w:r>
    </w:p>
    <w:p w:rsidR="003D3896" w:rsidRDefault="003D3896" w:rsidP="003D3896">
      <w:pPr>
        <w:pStyle w:val="PPVQuoteBullet1"/>
        <w:numPr>
          <w:ilvl w:val="0"/>
          <w:numId w:val="10"/>
        </w:numPr>
      </w:pPr>
      <w:r>
        <w:t>The Hearings conducted in November 2017 without sufficient notice to the Submitters or other potentially affected landowners.</w:t>
      </w:r>
      <w:r w:rsidRPr="00820B43">
        <w:rPr>
          <w:rStyle w:val="FootnoteReference"/>
          <w:i w:val="0"/>
        </w:rPr>
        <w:footnoteReference w:id="3"/>
      </w:r>
    </w:p>
    <w:p w:rsidR="003D3896" w:rsidRDefault="003D3896" w:rsidP="003D3896">
      <w:pPr>
        <w:pStyle w:val="PPVBody"/>
      </w:pPr>
      <w:r>
        <w:t xml:space="preserve">Mr Morris clarified that the reference to ‘Hearings’ was a reference to the public briefings, meetings with Council officers </w:t>
      </w:r>
      <w:r w:rsidRPr="001E24F2">
        <w:t xml:space="preserve">and </w:t>
      </w:r>
      <w:r w:rsidR="00B13277">
        <w:t xml:space="preserve">the </w:t>
      </w:r>
      <w:r>
        <w:t xml:space="preserve">20 November 2017 </w:t>
      </w:r>
      <w:r w:rsidRPr="001E24F2">
        <w:t>site inspection</w:t>
      </w:r>
      <w:r>
        <w:t>.</w:t>
      </w:r>
    </w:p>
    <w:p w:rsidR="00785416" w:rsidRDefault="003D3896" w:rsidP="003D3896">
      <w:pPr>
        <w:pStyle w:val="PPVBody"/>
      </w:pPr>
      <w:r>
        <w:t xml:space="preserve">Mr Morris </w:t>
      </w:r>
      <w:r w:rsidR="00E25036">
        <w:t xml:space="preserve">submitted </w:t>
      </w:r>
      <w:r>
        <w:t>that the Hearing should not commence before 30 April 2018.  He noted the significance of the draft Amendment and its importance to the public interest and to affected landowners.  He submitted:</w:t>
      </w:r>
    </w:p>
    <w:p w:rsidR="003D3896" w:rsidRDefault="003D3896" w:rsidP="003D3896">
      <w:pPr>
        <w:pStyle w:val="PPVQuote"/>
      </w:pPr>
      <w:r>
        <w:t xml:space="preserve">The content of the rules of natural justice is affected by the nature and significance of the interest of affected parties.  In this case, the Amendment </w:t>
      </w:r>
      <w:r>
        <w:lastRenderedPageBreak/>
        <w:t>affects property interests – and in a substantial manner – and thus warrants a careful and considered process to ensure it is fair.</w:t>
      </w:r>
      <w:r>
        <w:rPr>
          <w:rStyle w:val="FootnoteReference"/>
        </w:rPr>
        <w:footnoteReference w:id="4"/>
      </w:r>
    </w:p>
    <w:p w:rsidR="00785416" w:rsidRDefault="003D3896" w:rsidP="003D3896">
      <w:pPr>
        <w:pStyle w:val="PPVBody"/>
      </w:pPr>
      <w:r>
        <w:t xml:space="preserve">He noted that many landowners had spent considerable resources on </w:t>
      </w:r>
      <w:r w:rsidRPr="00264C80">
        <w:rPr>
          <w:i/>
        </w:rPr>
        <w:t>“plans, consultants, metropolitan levy payments and abortive VCAT reviews, to the extent of many hundreds of thousands (and in one case at least millions) of dollars”.</w:t>
      </w:r>
      <w:r w:rsidRPr="00264C80">
        <w:t xml:space="preserve">  Mr Morris argued </w:t>
      </w:r>
      <w:r>
        <w:t xml:space="preserve">that </w:t>
      </w:r>
      <w:r w:rsidRPr="00264C80">
        <w:t xml:space="preserve">the nature of the </w:t>
      </w:r>
      <w:r>
        <w:t>H</w:t>
      </w:r>
      <w:r w:rsidRPr="00264C80">
        <w:t xml:space="preserve">earing, the voluminous documents, </w:t>
      </w:r>
      <w:r>
        <w:t xml:space="preserve">the exhibition process, the forthcoming Christmas period, the potential unavailability of appropriate legal </w:t>
      </w:r>
      <w:r w:rsidR="0079402A">
        <w:t>C</w:t>
      </w:r>
      <w:r>
        <w:t xml:space="preserve">ounsel and witnesses, the lack of urgency, the notification </w:t>
      </w:r>
      <w:r w:rsidRPr="001E24F2">
        <w:t xml:space="preserve">process and the requirements of natural justice </w:t>
      </w:r>
      <w:r>
        <w:t>all justified</w:t>
      </w:r>
      <w:r w:rsidRPr="001E24F2">
        <w:t xml:space="preserve"> the </w:t>
      </w:r>
      <w:r>
        <w:t>H</w:t>
      </w:r>
      <w:r w:rsidRPr="001E24F2">
        <w:t xml:space="preserve">earing </w:t>
      </w:r>
      <w:r>
        <w:t>being</w:t>
      </w:r>
      <w:r w:rsidRPr="001E24F2">
        <w:t xml:space="preserve"> delayed.</w:t>
      </w:r>
      <w:r w:rsidRPr="0060154B">
        <w:t xml:space="preserve"> </w:t>
      </w:r>
      <w:r>
        <w:t xml:space="preserve"> He questioned the procedural fairness of the Review Panel having participated in the two public briefings, the meetings with Council officers, and the 28 November 2017 site inspection, given his clients had not participated in any of these.</w:t>
      </w:r>
    </w:p>
    <w:p w:rsidR="003D3896" w:rsidRDefault="003D3896" w:rsidP="003D3896">
      <w:pPr>
        <w:pStyle w:val="PPVBody"/>
      </w:pPr>
      <w:r w:rsidRPr="001E24F2">
        <w:t>His submissions were supported by many</w:t>
      </w:r>
      <w:r>
        <w:t xml:space="preserve"> other represented and non-represented parties at the Directions Hearing.</w:t>
      </w:r>
    </w:p>
    <w:p w:rsidR="003D3896" w:rsidRDefault="003D3896" w:rsidP="003D3896">
      <w:pPr>
        <w:pStyle w:val="PPVBody"/>
      </w:pPr>
      <w:r>
        <w:t>A written submission by the Minister through Mr Tobin of Harwood Andrews (D23) was provided in response to the concerns raised.  Mr Tobin outlined the general history behind planning for Fishermans Bend, the history of the public consultation processes,</w:t>
      </w:r>
      <w:r w:rsidRPr="003520F8">
        <w:t xml:space="preserve"> </w:t>
      </w:r>
      <w:r>
        <w:t>the notification processes relating to the exhibition of the draft Amendment and the notice published on the Fishermans Bend project website</w:t>
      </w:r>
      <w:r w:rsidR="00E25036">
        <w:t xml:space="preserve"> </w:t>
      </w:r>
      <w:r w:rsidR="00E25036" w:rsidRPr="00E5286E">
        <w:t>and in newspapers</w:t>
      </w:r>
      <w:r>
        <w:t xml:space="preserve"> in relation to the public briefings.  He noted the Review Panel is bound by rules of natural justice and its Terms of Reference, and submitted that there was no basis in procedural fairness to adjourn the Hearing from 12 February 2018.</w:t>
      </w:r>
    </w:p>
    <w:p w:rsidR="003D3896" w:rsidRDefault="003D3896" w:rsidP="003D3896">
      <w:pPr>
        <w:pStyle w:val="PPVBody"/>
      </w:pPr>
      <w:r>
        <w:t>Mr Tobin agreed to provide further information to Mr Morris and others about the briefings and site visit, noting that the Review Panel had tabled various documents relating to these matters in any event.</w:t>
      </w:r>
    </w:p>
    <w:p w:rsidR="003D3896" w:rsidRDefault="003D3896" w:rsidP="003D3896">
      <w:pPr>
        <w:pStyle w:val="PPVBody"/>
      </w:pPr>
      <w:r>
        <w:t>Neither Melbourne nor Port Phillip sought to adjourn the hearing dates.</w:t>
      </w:r>
    </w:p>
    <w:p w:rsidR="003D3896" w:rsidRDefault="003D3896" w:rsidP="003D3896">
      <w:pPr>
        <w:pStyle w:val="PPVBody"/>
      </w:pPr>
      <w:r>
        <w:t>At the conclusion of the various submissions, Counsel assisting the Review Panel made a number of observations, including about the basis on which adjournments may be considered appropriate.</w:t>
      </w:r>
    </w:p>
    <w:p w:rsidR="003D3896" w:rsidRPr="00F34841" w:rsidRDefault="003D3896" w:rsidP="003D3896">
      <w:pPr>
        <w:pStyle w:val="Heading5"/>
      </w:pPr>
      <w:r w:rsidRPr="00345509">
        <w:t>Review Panel response</w:t>
      </w:r>
    </w:p>
    <w:p w:rsidR="003D3896" w:rsidRDefault="003D3896" w:rsidP="003D3896">
      <w:pPr>
        <w:pStyle w:val="PPVBody"/>
      </w:pPr>
      <w:r>
        <w:t>The Review Panel deliberated at length on the issues raised by Mr Morris and others, and by Counsel assisting.  It noted that the process outlined in its Terms of Reference was not dissimilar to other recent and current Advisory Committee matters.  The Review Panel noted that it was cognisant of its overriding roles, responsibilities and duty to afford all parties procedural fairness and natural justice, and noted that it had acted with equity and good conscience in all dealings with parties.</w:t>
      </w:r>
    </w:p>
    <w:p w:rsidR="003D3896" w:rsidRDefault="003D3896" w:rsidP="003D3896">
      <w:pPr>
        <w:pStyle w:val="PPVBody"/>
      </w:pPr>
      <w:r>
        <w:t>The Review Panel proposed a way forward that involved adjourning the Hearing for a short period, and then splitting it into two stages.  Stage 1 would commence on Monday 19 February 2018, with submissions and evidence from the Minister and the two Councils.  Stage 2 would commence on Monday 9 April 2018 for all other parties.  Dates for filing evidence were to be staged accordingly.</w:t>
      </w:r>
    </w:p>
    <w:p w:rsidR="00785416" w:rsidRDefault="003D3896" w:rsidP="003D3896">
      <w:pPr>
        <w:pStyle w:val="PPVBody"/>
      </w:pPr>
      <w:r>
        <w:lastRenderedPageBreak/>
        <w:t xml:space="preserve">Following this </w:t>
      </w:r>
      <w:r w:rsidR="00E25036">
        <w:t>indication</w:t>
      </w:r>
      <w:r>
        <w:t xml:space="preserve">, there was further discussion from the Councils in particular about concerns that they would be required to present evidence without the benefit of receiving and reviewing evidence from the various other parties.  The Review Panel agreed that where appropriate, some evidence could be further staged.  It noted that it would consider any requests to recall witnesses to address matters raised in </w:t>
      </w:r>
      <w:r w:rsidR="00E25036">
        <w:t xml:space="preserve">other </w:t>
      </w:r>
      <w:r>
        <w:t>evidence, and that the Councils (and the Minister) would be provided with a right of reply at the conclusion of each Stage of the Hearing.</w:t>
      </w:r>
    </w:p>
    <w:p w:rsidR="00785416" w:rsidRDefault="003D3896" w:rsidP="003D3896">
      <w:pPr>
        <w:pStyle w:val="PPVBody"/>
      </w:pPr>
      <w:r>
        <w:t>Following this discussion, the Minister indicated that he had changed his mind about the two stage process and argued that his case and evidence should also be deferred.</w:t>
      </w:r>
    </w:p>
    <w:p w:rsidR="003D3896" w:rsidRDefault="003D3896" w:rsidP="003D3896">
      <w:pPr>
        <w:pStyle w:val="PPVBody"/>
      </w:pPr>
      <w:r>
        <w:t>The Review Panel ruled that the Hearing would commence on 19 February 2018 and run in two stages on the basis discussed.</w:t>
      </w:r>
    </w:p>
    <w:p w:rsidR="003D3896" w:rsidRPr="00264C80" w:rsidRDefault="003D3896" w:rsidP="003D3896">
      <w:pPr>
        <w:pStyle w:val="PPVBody"/>
      </w:pPr>
      <w:r>
        <w:t>The critical outcomes of this Directions Hearing were articulated in Document 24, dated 28 December 2018.</w:t>
      </w:r>
    </w:p>
    <w:p w:rsidR="003D3896" w:rsidRDefault="003D3896" w:rsidP="003D3896">
      <w:pPr>
        <w:pStyle w:val="Heading4"/>
        <w:rPr>
          <w:rFonts w:asciiTheme="minorHAnsi" w:hAnsiTheme="minorHAnsi"/>
        </w:rPr>
      </w:pPr>
      <w:r>
        <w:rPr>
          <w:rFonts w:asciiTheme="minorHAnsi" w:hAnsiTheme="minorHAnsi"/>
        </w:rPr>
        <w:t>Directions Hearing No. 2</w:t>
      </w:r>
    </w:p>
    <w:p w:rsidR="003D3896" w:rsidRPr="00F34841" w:rsidRDefault="003D3896" w:rsidP="003D3896">
      <w:pPr>
        <w:pStyle w:val="Heading5"/>
      </w:pPr>
      <w:r w:rsidRPr="00E3501E">
        <w:t>Issue</w:t>
      </w:r>
    </w:p>
    <w:p w:rsidR="003D3896" w:rsidRPr="00684142" w:rsidRDefault="003D3896" w:rsidP="003D3896">
      <w:pPr>
        <w:pStyle w:val="PPVBody"/>
      </w:pPr>
      <w:r w:rsidRPr="00684142">
        <w:t xml:space="preserve">The Review Panel received a </w:t>
      </w:r>
      <w:r>
        <w:t xml:space="preserve">written </w:t>
      </w:r>
      <w:r w:rsidRPr="00684142">
        <w:t xml:space="preserve">request on 19 January 2018 on behalf of the Minister to defer the commencement of </w:t>
      </w:r>
      <w:r>
        <w:t xml:space="preserve">the </w:t>
      </w:r>
      <w:r w:rsidRPr="00684142">
        <w:t xml:space="preserve">Stage 1 </w:t>
      </w:r>
      <w:r>
        <w:t>Hearing</w:t>
      </w:r>
      <w:r w:rsidRPr="00684142">
        <w:t xml:space="preserve"> from 19 February to 13 March 2018</w:t>
      </w:r>
      <w:r>
        <w:t>,</w:t>
      </w:r>
      <w:r w:rsidRPr="00684142">
        <w:t xml:space="preserve"> due to unavailability of some of its witnesses</w:t>
      </w:r>
      <w:r>
        <w:t xml:space="preserve"> (D26)</w:t>
      </w:r>
      <w:r w:rsidRPr="00684142">
        <w:t>.  That letter</w:t>
      </w:r>
      <w:r>
        <w:t xml:space="preserve"> </w:t>
      </w:r>
      <w:r w:rsidRPr="00684142">
        <w:t>requested an urgent Directions Hearing on 25 January 2018 to discuss the matter.</w:t>
      </w:r>
    </w:p>
    <w:p w:rsidR="003D3896" w:rsidRPr="00684142" w:rsidRDefault="003D3896" w:rsidP="003D3896">
      <w:pPr>
        <w:pStyle w:val="PPVBody"/>
      </w:pPr>
      <w:r w:rsidRPr="00684142">
        <w:t xml:space="preserve">On 23 January 2018, the Review Panel responded </w:t>
      </w:r>
      <w:r>
        <w:t xml:space="preserve">in writing </w:t>
      </w:r>
      <w:r w:rsidRPr="00684142">
        <w:t xml:space="preserve">by proposing a </w:t>
      </w:r>
      <w:r>
        <w:t xml:space="preserve">revised </w:t>
      </w:r>
      <w:r w:rsidRPr="00684142">
        <w:t>hearing program that would allow the Minister to present his case and evidence in two parts</w:t>
      </w:r>
      <w:r>
        <w:t xml:space="preserve"> (D27), meeting the availability constraints of the Minister</w:t>
      </w:r>
      <w:r w:rsidRPr="00684142">
        <w:t xml:space="preserve">.  The Review Panel advised </w:t>
      </w:r>
      <w:r>
        <w:t xml:space="preserve">by email (D28) </w:t>
      </w:r>
      <w:r w:rsidRPr="00684142">
        <w:t xml:space="preserve">that it did not </w:t>
      </w:r>
      <w:r>
        <w:t>consider that</w:t>
      </w:r>
      <w:r w:rsidRPr="00684142">
        <w:t xml:space="preserve"> a </w:t>
      </w:r>
      <w:r>
        <w:t xml:space="preserve">second </w:t>
      </w:r>
      <w:r w:rsidRPr="00684142">
        <w:t>Directions Hearing</w:t>
      </w:r>
      <w:r>
        <w:t xml:space="preserve"> was required</w:t>
      </w:r>
      <w:r w:rsidRPr="00684142">
        <w:t>.</w:t>
      </w:r>
    </w:p>
    <w:p w:rsidR="003D3896" w:rsidRDefault="003D3896" w:rsidP="003D3896">
      <w:pPr>
        <w:pStyle w:val="PPVBody"/>
      </w:pPr>
      <w:r w:rsidRPr="00684142">
        <w:t xml:space="preserve">The Review Panel received a further letter on behalf of the Minister on 25 January 2019 </w:t>
      </w:r>
      <w:r>
        <w:t xml:space="preserve">(D29) </w:t>
      </w:r>
      <w:r w:rsidRPr="00684142">
        <w:t>noting that concerns remained about the proposed scheduling</w:t>
      </w:r>
      <w:r>
        <w:t>,</w:t>
      </w:r>
      <w:r w:rsidRPr="00684142">
        <w:t xml:space="preserve"> and requested a Directions Hearing on 1 or 2 February 2018 to further discuss</w:t>
      </w:r>
      <w:r>
        <w:t xml:space="preserve"> the matter</w:t>
      </w:r>
      <w:r w:rsidRPr="00684142">
        <w:t>.</w:t>
      </w:r>
      <w:r>
        <w:t xml:space="preserve">  In its letter, Harwood Andrews noted on behalf of the Minister:</w:t>
      </w:r>
    </w:p>
    <w:p w:rsidR="003D3896" w:rsidRPr="00684142" w:rsidRDefault="003D3896" w:rsidP="003D3896">
      <w:pPr>
        <w:pStyle w:val="PPVQuote"/>
      </w:pPr>
      <w:r>
        <w:t>… the Minister is concerned that the Panel’s refusal to grant the adjournment as requested will result in a denial of procedural fairness and that the proposed directions are inadequate to ensure the opportunity to properly advance the case in favour of Amendment GC81.  In circumstances where the Minister is unable to fairly and efficiently present the case in favour of Amendment GC81, the Minister anticipates flow-on consequences for the orderly and efficient conduct of the both stages of the Hearing.</w:t>
      </w:r>
      <w:r>
        <w:rPr>
          <w:rStyle w:val="FootnoteReference"/>
        </w:rPr>
        <w:footnoteReference w:id="5"/>
      </w:r>
    </w:p>
    <w:p w:rsidR="003D3896" w:rsidRDefault="003D3896" w:rsidP="003D3896">
      <w:pPr>
        <w:pStyle w:val="PPVBody"/>
      </w:pPr>
      <w:r>
        <w:t>The letter advised that the Minister had discussed the matter with both Councils and that they had collectively proposed an alternative staging process for filing of submissions and evidence, and Stage 1 dates.</w:t>
      </w:r>
    </w:p>
    <w:p w:rsidR="003D3896" w:rsidRPr="00F34841" w:rsidRDefault="003D3896" w:rsidP="003D3896">
      <w:pPr>
        <w:pStyle w:val="Heading5"/>
      </w:pPr>
      <w:r w:rsidRPr="00F34841">
        <w:lastRenderedPageBreak/>
        <w:t>Review Panel response</w:t>
      </w:r>
    </w:p>
    <w:p w:rsidR="003D3896" w:rsidRDefault="003D3896" w:rsidP="003D3896">
      <w:pPr>
        <w:pStyle w:val="PPVBody"/>
      </w:pPr>
      <w:r w:rsidRPr="00684142">
        <w:t>A second Directions Hearing was held on 2 February 2018 at P</w:t>
      </w:r>
      <w:r>
        <w:t>PV</w:t>
      </w:r>
      <w:r w:rsidRPr="00684142">
        <w:t xml:space="preserve">.  </w:t>
      </w:r>
      <w:r>
        <w:t>Parties were notified of this by email (D30).</w:t>
      </w:r>
    </w:p>
    <w:p w:rsidR="003D3896" w:rsidRDefault="003D3896" w:rsidP="003D3896">
      <w:pPr>
        <w:pStyle w:val="PPVBody"/>
      </w:pPr>
      <w:r>
        <w:t xml:space="preserve">Ms Brennan and Mr Watters of Counsel appeared at the second Directions Hearing on behalf of the Minister, and tabled a submission that outlined the reasons for the request to delay the commencement of the Stage 1 Hearing (D34).  The </w:t>
      </w:r>
      <w:r w:rsidRPr="00AA3A0C">
        <w:t>submission</w:t>
      </w:r>
      <w:r>
        <w:t xml:space="preserve"> noted that the Minister was unable to retain expert witnesses in time to file evidence and that he would be required to advance his submissions prior to key evidence.  The submission noted that deferring Stage 1 as proposed by the Minister would not prejudice the dates for the proposed Stage 2.  The Councils generally supported these submissions.</w:t>
      </w:r>
    </w:p>
    <w:p w:rsidR="003D3896" w:rsidRDefault="003D3896" w:rsidP="003D3896">
      <w:pPr>
        <w:pStyle w:val="PPVBody"/>
      </w:pPr>
      <w:r>
        <w:t>Many landowner parties opposed the Minister’s request, citing procedural unfairness as a key reason.</w:t>
      </w:r>
    </w:p>
    <w:p w:rsidR="003D3896" w:rsidRDefault="003D3896" w:rsidP="003D3896">
      <w:pPr>
        <w:pStyle w:val="PPVBody"/>
      </w:pPr>
      <w:r>
        <w:t>The Review Panel noted that the Minister had indicated at the first Directions Hearing on 20 December 2017 that he was ready to proceed on the originally scheduled start date of 12 February 2018, and expressed concern that issues about availability of witnesses had not been raised then.  Nevertheless, after considering the matters raised, and noting that Stage 2 would be unaffected, the Review Panel granted a short deferral for the Minister and Councils’ cases to commence on 14 March 2018, rather than 1 March 2018.</w:t>
      </w:r>
    </w:p>
    <w:p w:rsidR="003D3896" w:rsidRDefault="003D3896" w:rsidP="003D3896">
      <w:pPr>
        <w:pStyle w:val="PPVBody"/>
      </w:pPr>
      <w:r>
        <w:t xml:space="preserve">Given parties had already been notified of the dates for Stage 1, the Review Panel commenced Stage 1 on 1 March 2018 so that those parties who </w:t>
      </w:r>
      <w:r w:rsidR="00E25036">
        <w:t>were willing to make submissions in advance of the Minister could choose to do so</w:t>
      </w:r>
      <w:r>
        <w:t xml:space="preserve">.  </w:t>
      </w:r>
      <w:r w:rsidR="00A26DCD">
        <w:t>At that stage, t</w:t>
      </w:r>
      <w:r>
        <w:t>he Review Panel noted that the Hearing would extend to 24 May 2018, given the extent of submissions, evidence and time requested by various parties.</w:t>
      </w:r>
    </w:p>
    <w:p w:rsidR="003D3896" w:rsidRPr="00684142" w:rsidRDefault="003D3896" w:rsidP="003D3896">
      <w:pPr>
        <w:pStyle w:val="PPVBody"/>
      </w:pPr>
      <w:r>
        <w:t>Revised Directions and a summary timetable were issued on 5 February 2018 (D35), and a complete Version 1 timetable was issued on 9 February 2018 (D38b).  At the request of landowners, t</w:t>
      </w:r>
      <w:r w:rsidRPr="00684142">
        <w:t>he Review Panel issued a written Statement of Reasons for its Direction</w:t>
      </w:r>
      <w:r>
        <w:t>s (D38a</w:t>
      </w:r>
      <w:r w:rsidRPr="00684142">
        <w:t>).</w:t>
      </w:r>
      <w:r>
        <w:t xml:space="preserve">  The Directions were updated on 28 February 2018 (D56).</w:t>
      </w:r>
    </w:p>
    <w:p w:rsidR="003D3896" w:rsidRPr="00684142" w:rsidRDefault="003D3896" w:rsidP="003D3896">
      <w:pPr>
        <w:pStyle w:val="PPVBody"/>
      </w:pPr>
      <w:r>
        <w:t>The Hearing commenced on Thursday 1 March 2018, in accordance with the Version 1 timetable (D38b).</w:t>
      </w:r>
    </w:p>
    <w:p w:rsidR="003D3896" w:rsidRDefault="003D3896" w:rsidP="003D3896">
      <w:pPr>
        <w:pStyle w:val="Heading4"/>
        <w:rPr>
          <w:rFonts w:asciiTheme="minorHAnsi" w:hAnsiTheme="minorHAnsi"/>
        </w:rPr>
      </w:pPr>
      <w:r>
        <w:rPr>
          <w:rFonts w:asciiTheme="minorHAnsi" w:hAnsiTheme="minorHAnsi"/>
        </w:rPr>
        <w:t>Email from DELWP</w:t>
      </w:r>
    </w:p>
    <w:p w:rsidR="003D3896" w:rsidRPr="00F34841" w:rsidRDefault="003D3896" w:rsidP="003D3896">
      <w:pPr>
        <w:pStyle w:val="Heading5"/>
      </w:pPr>
      <w:r w:rsidRPr="00E3501E">
        <w:t>Issue</w:t>
      </w:r>
    </w:p>
    <w:p w:rsidR="003D3896" w:rsidRDefault="00E25036" w:rsidP="003D3896">
      <w:pPr>
        <w:pStyle w:val="PPVBody"/>
      </w:pPr>
      <w:r>
        <w:t xml:space="preserve">During an afternoon break on </w:t>
      </w:r>
      <w:r w:rsidR="003D3896">
        <w:t xml:space="preserve">15 March 2018, the Chair opened an email </w:t>
      </w:r>
      <w:r>
        <w:t xml:space="preserve">that was in her inbox </w:t>
      </w:r>
      <w:r w:rsidR="003D3896">
        <w:t xml:space="preserve">from a staff member of Statutory Planning Services DELWP addressed to ‘all staff’.  </w:t>
      </w:r>
      <w:r>
        <w:t xml:space="preserve">When she opened the email, it became apparent that the email related to the subject matter of the Hearing.  </w:t>
      </w:r>
      <w:r w:rsidR="003D3896">
        <w:t xml:space="preserve">The email was accompanied by four attachments.  </w:t>
      </w:r>
      <w:r>
        <w:t>T</w:t>
      </w:r>
      <w:r w:rsidR="003D3896">
        <w:t>he Chair did not open the attachments.</w:t>
      </w:r>
    </w:p>
    <w:p w:rsidR="003D3896" w:rsidRDefault="003D3896" w:rsidP="003D3896">
      <w:pPr>
        <w:pStyle w:val="PPVBody"/>
      </w:pPr>
      <w:r>
        <w:t>At the end of the day, the Chair printed the email and showed it to the Deputy Chair.  Neither opened the attachments.  By this time, another</w:t>
      </w:r>
      <w:r w:rsidR="00E25036">
        <w:t xml:space="preserve"> email</w:t>
      </w:r>
      <w:r>
        <w:t xml:space="preserve"> message from the author </w:t>
      </w:r>
      <w:r w:rsidR="00E25036">
        <w:t xml:space="preserve">of the email </w:t>
      </w:r>
      <w:r>
        <w:t xml:space="preserve">was </w:t>
      </w:r>
      <w:r w:rsidR="00E25036">
        <w:t>received</w:t>
      </w:r>
      <w:r>
        <w:t xml:space="preserve"> advis</w:t>
      </w:r>
      <w:r w:rsidR="00E25036">
        <w:t>ing</w:t>
      </w:r>
      <w:r>
        <w:t xml:space="preserve"> that the email had been sent in error and requested that it be deleted by the recipients.</w:t>
      </w:r>
    </w:p>
    <w:p w:rsidR="003D3896" w:rsidRDefault="003D3896" w:rsidP="003D3896">
      <w:pPr>
        <w:pStyle w:val="PPVBody"/>
      </w:pPr>
      <w:r>
        <w:lastRenderedPageBreak/>
        <w:t xml:space="preserve">The Chair contacted </w:t>
      </w:r>
      <w:r w:rsidRPr="00E5286E">
        <w:t>Counsel assisting</w:t>
      </w:r>
      <w:r>
        <w:t xml:space="preserve"> to advise of this matter.  He asked the Chair to forward him the email, and when the Chair accessed her computer, both emails had been deleted.</w:t>
      </w:r>
    </w:p>
    <w:p w:rsidR="003D3896" w:rsidRDefault="003D3896" w:rsidP="003D3896">
      <w:pPr>
        <w:pStyle w:val="PPVBody"/>
      </w:pPr>
      <w:r>
        <w:t>At the Hearing on the following day, the Chair raised the sighting of this email as a procedural matter.</w:t>
      </w:r>
    </w:p>
    <w:p w:rsidR="00785416" w:rsidRDefault="003D3896" w:rsidP="003D3896">
      <w:pPr>
        <w:pStyle w:val="PPVBody"/>
      </w:pPr>
      <w:r>
        <w:t>Ms Brennan responded by noting that the email was sent unintentionally to all staff, and that it was retracted as soon as the error became known.  Various advocates called for the email to be made public, which Ms Brennan opposed</w:t>
      </w:r>
      <w:r w:rsidR="00C42263">
        <w:t>.  The matter was stood down briefly, and the Review Panel understands that discussions took place between the advocates which the Review Panel was not privy to</w:t>
      </w:r>
      <w:r>
        <w:t>.</w:t>
      </w:r>
    </w:p>
    <w:p w:rsidR="003D3896" w:rsidRDefault="003D3896" w:rsidP="003D3896">
      <w:pPr>
        <w:pStyle w:val="PPVBody"/>
      </w:pPr>
      <w:r>
        <w:t xml:space="preserve">The Review Panel asked that </w:t>
      </w:r>
      <w:r w:rsidR="00C42263">
        <w:t xml:space="preserve">Ms Brennan </w:t>
      </w:r>
      <w:r>
        <w:t xml:space="preserve">provide a written response to </w:t>
      </w:r>
      <w:r w:rsidR="00C42263">
        <w:t xml:space="preserve">the </w:t>
      </w:r>
      <w:r>
        <w:t>request</w:t>
      </w:r>
      <w:r w:rsidR="00C42263">
        <w:t xml:space="preserve"> for the email to be made public</w:t>
      </w:r>
      <w:r>
        <w:t>, which she provided on 21 March 2018 (D114).  At Ms Brennan’s request, D114 was noted on the Document List as a confidential document.</w:t>
      </w:r>
    </w:p>
    <w:p w:rsidR="003D3896" w:rsidRDefault="003D3896" w:rsidP="003D3896">
      <w:pPr>
        <w:pStyle w:val="PPVBody"/>
      </w:pPr>
      <w:r>
        <w:t xml:space="preserve">The Review Panel invited written submissions in response.  Two were received from Mr Wren </w:t>
      </w:r>
      <w:r w:rsidR="00B13277">
        <w:t xml:space="preserve">QC </w:t>
      </w:r>
      <w:r>
        <w:t xml:space="preserve">(D136) and Mr Canavan </w:t>
      </w:r>
      <w:r w:rsidR="00B13277">
        <w:t xml:space="preserve">QC </w:t>
      </w:r>
      <w:r>
        <w:t>(D137) (noting both acted for multiple parties).  Counsel assisting provided a written submission in response (D142).  These submissions were noted on the Document List as confidential documents.</w:t>
      </w:r>
    </w:p>
    <w:p w:rsidR="003D3896" w:rsidRPr="00F34841" w:rsidRDefault="003D3896" w:rsidP="003D3896">
      <w:pPr>
        <w:pStyle w:val="Heading5"/>
      </w:pPr>
      <w:r w:rsidRPr="00E3501E">
        <w:t>Review Panel response</w:t>
      </w:r>
    </w:p>
    <w:p w:rsidR="003D3896" w:rsidRPr="00D335EA" w:rsidRDefault="003D3896" w:rsidP="003D3896">
      <w:pPr>
        <w:pStyle w:val="PPVBody"/>
      </w:pPr>
      <w:r>
        <w:t>After reviewing the submissions and considering the issues raised, the Review Panel determined that a copy of the email (but not the attachments) would be placed on the Document List (D180), with the names, position titles and email addresses of individuals named in the email redacted.  The email, along with the relevant submissions (D114, D136, D137 and D142), was uploaded to the PPV website and the previously noted confidential status of the submissions was removed.</w:t>
      </w:r>
    </w:p>
    <w:p w:rsidR="003D3896" w:rsidRDefault="003D3896" w:rsidP="003D3896">
      <w:pPr>
        <w:pStyle w:val="Heading4"/>
        <w:rPr>
          <w:rFonts w:asciiTheme="minorHAnsi" w:hAnsiTheme="minorHAnsi"/>
        </w:rPr>
      </w:pPr>
      <w:r>
        <w:rPr>
          <w:rFonts w:asciiTheme="minorHAnsi" w:hAnsiTheme="minorHAnsi"/>
        </w:rPr>
        <w:t>Terms of Reference</w:t>
      </w:r>
    </w:p>
    <w:p w:rsidR="003D3896" w:rsidRPr="00F34841" w:rsidRDefault="003D3896" w:rsidP="003D3896">
      <w:pPr>
        <w:pStyle w:val="Heading5"/>
      </w:pPr>
      <w:r w:rsidRPr="00E3501E">
        <w:t>Issue</w:t>
      </w:r>
    </w:p>
    <w:p w:rsidR="003D3896" w:rsidRDefault="003D3896" w:rsidP="003D3896">
      <w:pPr>
        <w:pStyle w:val="PPVBody"/>
      </w:pPr>
      <w:r>
        <w:t>On 29 March 2018, Mr Canavan sought a ruling from the Review Panel on the Minister’s submission</w:t>
      </w:r>
      <w:r w:rsidR="00C42263">
        <w:rPr>
          <w:rStyle w:val="FootnoteReference"/>
        </w:rPr>
        <w:footnoteReference w:id="6"/>
      </w:r>
      <w:r>
        <w:t xml:space="preserve"> that it is not the role of the Review Panel to review the Vision for Fishermans Bend (in particular the population and jobs targets reflected in the Vision).  At the Review Panel’s direction, this request was provided in writing (D160).  The Minister tabled a written response (D171).  Further responses were invited, although none were formally made.  Mr Montebello alluded to the issue </w:t>
      </w:r>
      <w:r w:rsidR="00B13277">
        <w:t>in his addendum</w:t>
      </w:r>
      <w:r>
        <w:t xml:space="preserve"> to Document 182 at paragraphs 4 to 9.</w:t>
      </w:r>
    </w:p>
    <w:p w:rsidR="003D3896" w:rsidRPr="00F34841" w:rsidRDefault="003D3896" w:rsidP="003D3896">
      <w:pPr>
        <w:pStyle w:val="Heading5"/>
      </w:pPr>
      <w:r w:rsidRPr="00E3501E">
        <w:t>Review Panel response</w:t>
      </w:r>
    </w:p>
    <w:p w:rsidR="003D3896" w:rsidRDefault="003D3896" w:rsidP="003D3896">
      <w:pPr>
        <w:pStyle w:val="PPVBody"/>
      </w:pPr>
      <w:r>
        <w:t xml:space="preserve">On 9 April 2018 the Review Panel advised that it would not </w:t>
      </w:r>
      <w:r w:rsidR="00C42263">
        <w:t xml:space="preserve">be making any directions </w:t>
      </w:r>
      <w:r w:rsidR="008D51CE">
        <w:t>or</w:t>
      </w:r>
      <w:r w:rsidR="00312E7B">
        <w:t xml:space="preserve"> </w:t>
      </w:r>
      <w:r w:rsidR="00C42263">
        <w:t xml:space="preserve">findings in relation to </w:t>
      </w:r>
      <w:r>
        <w:t>Mr Canavan’s request, as it was interested to hear remaining submissions and evidence on the issues</w:t>
      </w:r>
      <w:r w:rsidR="00C42263">
        <w:t xml:space="preserve"> which will form part of its overall considerations and findings in finalising its report to the Minister</w:t>
      </w:r>
      <w:r>
        <w:t>.  Mr Canavan requested the reasons of the Review Panel in writing, which were tabled on 11 April 2018 (D201).</w:t>
      </w:r>
    </w:p>
    <w:p w:rsidR="003D3896" w:rsidRDefault="003D3896" w:rsidP="003D3896">
      <w:pPr>
        <w:pStyle w:val="Heading4"/>
      </w:pPr>
      <w:r>
        <w:lastRenderedPageBreak/>
        <w:t>Leave to recall Ms Hodyl</w:t>
      </w:r>
    </w:p>
    <w:p w:rsidR="00785416" w:rsidRDefault="003D3896" w:rsidP="00FC14F6">
      <w:pPr>
        <w:pStyle w:val="Heading5"/>
      </w:pPr>
      <w:r w:rsidRPr="00995068">
        <w:t>Issue</w:t>
      </w:r>
    </w:p>
    <w:p w:rsidR="00785416" w:rsidRDefault="003D3896" w:rsidP="003D3896">
      <w:pPr>
        <w:pStyle w:val="PPVBody"/>
      </w:pPr>
      <w:r>
        <w:t>In the week of 16 April 2018, Ms Brennan sought leave to recall Ms Hodyl to respond to Precinct specific urban design evidence.  She noted that as a function of the staged timetable, Ms Hodyl was not able to review urban design evidence presented by the landowners.  She argued that Ms Hodyl should be provided with the opportunity to respond to specific recommendations of other witnesses, and that the Review Panel would be assisted by Ms Hodyl’s opinions.</w:t>
      </w:r>
    </w:p>
    <w:p w:rsidR="003D3896" w:rsidRDefault="003D3896" w:rsidP="003D3896">
      <w:pPr>
        <w:pStyle w:val="PPVBody"/>
      </w:pPr>
      <w:r>
        <w:t>Neither Melbourne nor Port Phillip provided any comments in response to this request.</w:t>
      </w:r>
    </w:p>
    <w:p w:rsidR="003D3896" w:rsidRDefault="003D3896" w:rsidP="003D3896">
      <w:pPr>
        <w:pStyle w:val="PPVBody"/>
      </w:pPr>
      <w:r>
        <w:t xml:space="preserve">Mr Tweedie </w:t>
      </w:r>
      <w:r w:rsidR="00B13277">
        <w:t xml:space="preserve">SC </w:t>
      </w:r>
      <w:r>
        <w:t>strongly opposed the request.  He considered it would give the Minister an unfair advantage and that it was procedurally unfair given the procedures established for the Hearing process.  He then outlined what he considered to be the key timing issues, and that he would need to cross examine Ms Hodyl on the basis of changes to the draft Amendment documentation since exhibition (and since Ms Hodyl had given her evidence).  Both Mr Wren and Ms Collingwood adopted and endorsed the arguments of Mr Tweedie.</w:t>
      </w:r>
    </w:p>
    <w:p w:rsidR="003D3896" w:rsidRDefault="003D3896" w:rsidP="003D3896">
      <w:pPr>
        <w:pStyle w:val="PPVBody"/>
      </w:pPr>
      <w:r>
        <w:t>Ms Forsyth then sought to respond by saying that she thought it might be appropriate for Ms Hodyl to be recalled.</w:t>
      </w:r>
    </w:p>
    <w:p w:rsidR="003D3896" w:rsidRDefault="00C42263" w:rsidP="003D3896">
      <w:pPr>
        <w:pStyle w:val="PPVBody"/>
      </w:pPr>
      <w:r>
        <w:t>Counsel assisting</w:t>
      </w:r>
      <w:r w:rsidR="003D3896">
        <w:t xml:space="preserve"> noted that the Review Panel could regulate its own proceedings and that it had an obligation to afford natural justice to all parties.  He highlighted the concept of ‘puttage’, which related to the ability of a witness to defend </w:t>
      </w:r>
      <w:r>
        <w:t xml:space="preserve">or explain </w:t>
      </w:r>
      <w:r w:rsidR="003D3896">
        <w:t>herself in the light of cross examination.  He referred to section 46 of the Evidence Act, and noted that even though rules of evidence do not apply to an Advisory Committee, natural justice and procedural fairness do.  He expressed the view that it would be fair for the Minister, and potentially of benefit to the Review Panel, to hear from Ms Hodyl on matters that were not known to her when she provided her evidence.</w:t>
      </w:r>
    </w:p>
    <w:p w:rsidR="00785416" w:rsidRDefault="003D3896" w:rsidP="003D3896">
      <w:pPr>
        <w:pStyle w:val="PPVBody"/>
      </w:pPr>
      <w:r>
        <w:t xml:space="preserve">Mr Tweedie and Ms Collingwood further responded, with Ms Collingwood noting that if Ms Hodyl was to be recalled, any evidence should be confined to </w:t>
      </w:r>
      <w:r w:rsidRPr="00947222">
        <w:rPr>
          <w:i/>
        </w:rPr>
        <w:t>“truly matters of which she is unaware</w:t>
      </w:r>
      <w:r>
        <w:t>”.</w:t>
      </w:r>
    </w:p>
    <w:p w:rsidR="003D3896" w:rsidRPr="00995068" w:rsidRDefault="003D3896" w:rsidP="00FC14F6">
      <w:pPr>
        <w:pStyle w:val="Heading5"/>
      </w:pPr>
      <w:r w:rsidRPr="00995068">
        <w:t>Review Panel response</w:t>
      </w:r>
    </w:p>
    <w:p w:rsidR="003D3896" w:rsidRDefault="003D3896" w:rsidP="003D3896">
      <w:pPr>
        <w:pStyle w:val="PPVBody"/>
      </w:pPr>
      <w:r>
        <w:t>After considering all the issues raised, and noting that the Hearing process allowed the original evidence of Ms Hodyl to be tested at length, the Review Panel directed Ms Brennan to provide a brief or document on the specific issues upon which the Minister would be seeking further evidence from Ms Hodyl, and why.</w:t>
      </w:r>
    </w:p>
    <w:p w:rsidR="00785416" w:rsidRDefault="003D3896" w:rsidP="003D3896">
      <w:pPr>
        <w:pStyle w:val="PPVBody"/>
      </w:pPr>
      <w:r>
        <w:t>The initial response was provided on 19 April 2018 (D251), but it did not comply with the Direction or address the issues requested by the Review Panel.  While initially the Review Panel accepted the response, upon further review of the submissions made by landholders, the Review Panel reversed its decision to allow it and it sought a further response from Ms Brennan.  This was resubmitted on 30 April 2018 (D277).</w:t>
      </w:r>
    </w:p>
    <w:p w:rsidR="003D3896" w:rsidRPr="00D335EA" w:rsidRDefault="003D3896" w:rsidP="003D3896">
      <w:pPr>
        <w:pStyle w:val="PPVBody"/>
      </w:pPr>
      <w:r>
        <w:t xml:space="preserve">As is transpired, Ms Hodyl was not recalled to provide further evidence, although she did prepare further addenda responding to the recommendations of </w:t>
      </w:r>
      <w:r w:rsidRPr="005C1A55">
        <w:t>other experts (D</w:t>
      </w:r>
      <w:r w:rsidR="005C1A55" w:rsidRPr="005C1A55">
        <w:t>277</w:t>
      </w:r>
      <w:r w:rsidRPr="005C1A55">
        <w:t>).</w:t>
      </w:r>
    </w:p>
    <w:p w:rsidR="003D3896" w:rsidRDefault="003D3896" w:rsidP="003D3896">
      <w:pPr>
        <w:pStyle w:val="Heading4"/>
        <w:rPr>
          <w:rFonts w:asciiTheme="minorHAnsi" w:hAnsiTheme="minorHAnsi"/>
        </w:rPr>
      </w:pPr>
      <w:bookmarkStart w:id="34" w:name="_Ref519673756"/>
      <w:r>
        <w:rPr>
          <w:rFonts w:asciiTheme="minorHAnsi" w:hAnsiTheme="minorHAnsi"/>
        </w:rPr>
        <w:lastRenderedPageBreak/>
        <w:t>Use of Capital City Zone for the provision of open space and laneways</w:t>
      </w:r>
      <w:bookmarkEnd w:id="34"/>
    </w:p>
    <w:p w:rsidR="003D3896" w:rsidRPr="00F34841" w:rsidRDefault="003D3896" w:rsidP="003D3896">
      <w:pPr>
        <w:pStyle w:val="Heading5"/>
      </w:pPr>
      <w:r w:rsidRPr="00E3501E">
        <w:t>Issue</w:t>
      </w:r>
    </w:p>
    <w:p w:rsidR="003D3896" w:rsidRDefault="003D3896" w:rsidP="003D3896">
      <w:r>
        <w:t>Several submitters made legal submissions regarding the provisions in the Part B version of the proposed Capital City Zone schedule that required land identified for future streets, lanes and open space to be transferred to the relevant authority at no cost.  The relevant provisions read:</w:t>
      </w:r>
    </w:p>
    <w:p w:rsidR="003D3896" w:rsidRDefault="003D3896" w:rsidP="003D3896">
      <w:pPr>
        <w:ind w:left="720"/>
        <w:rPr>
          <w:i/>
        </w:rPr>
      </w:pPr>
      <w:r w:rsidRPr="00557189">
        <w:rPr>
          <w:b/>
          <w:i/>
        </w:rPr>
        <w:t>4.0</w:t>
      </w:r>
      <w:r w:rsidRPr="00557189">
        <w:rPr>
          <w:b/>
          <w:i/>
        </w:rPr>
        <w:tab/>
        <w:t>Buildings and works</w:t>
      </w:r>
    </w:p>
    <w:p w:rsidR="003D3896" w:rsidRPr="00557189" w:rsidRDefault="003D3896" w:rsidP="003D3896">
      <w:pPr>
        <w:ind w:left="720" w:firstLine="720"/>
        <w:rPr>
          <w:i/>
        </w:rPr>
      </w:pPr>
      <w:r w:rsidRPr="00557189">
        <w:rPr>
          <w:i/>
        </w:rPr>
        <w:t>…</w:t>
      </w:r>
    </w:p>
    <w:p w:rsidR="003D3896" w:rsidRPr="00557189" w:rsidRDefault="003D3896" w:rsidP="003D3896">
      <w:pPr>
        <w:ind w:left="720" w:firstLine="720"/>
        <w:rPr>
          <w:i/>
        </w:rPr>
      </w:pPr>
      <w:r w:rsidRPr="00557189">
        <w:rPr>
          <w:b/>
          <w:i/>
        </w:rPr>
        <w:t>Permit requirement</w:t>
      </w:r>
    </w:p>
    <w:p w:rsidR="003D3896" w:rsidRPr="00557189" w:rsidRDefault="003D3896" w:rsidP="003D3896">
      <w:pPr>
        <w:ind w:left="1418" w:firstLine="11"/>
        <w:rPr>
          <w:i/>
        </w:rPr>
      </w:pPr>
      <w:r w:rsidRPr="00557189">
        <w:rPr>
          <w:i/>
        </w:rPr>
        <w:t xml:space="preserve">A permit must not be granted or amended to construct a building or construct or carry out works in respect of land shown as a new road, street or laneway on the relevant Map in the schedule until an agreement made under section 173 of the Planning and Environment Act 1987 has been entered into by the landowner, the </w:t>
      </w:r>
      <w:r>
        <w:rPr>
          <w:i/>
        </w:rPr>
        <w:t>r</w:t>
      </w:r>
      <w:r w:rsidRPr="00557189">
        <w:rPr>
          <w:i/>
        </w:rPr>
        <w:t xml:space="preserve">esponsible </w:t>
      </w:r>
      <w:r>
        <w:rPr>
          <w:i/>
        </w:rPr>
        <w:t>a</w:t>
      </w:r>
      <w:r w:rsidRPr="00557189">
        <w:rPr>
          <w:i/>
        </w:rPr>
        <w:t xml:space="preserve">uthority and the local council (if not the </w:t>
      </w:r>
      <w:r>
        <w:rPr>
          <w:i/>
        </w:rPr>
        <w:t>r</w:t>
      </w:r>
      <w:r w:rsidRPr="00557189">
        <w:rPr>
          <w:i/>
        </w:rPr>
        <w:t xml:space="preserve">esponsible </w:t>
      </w:r>
      <w:r>
        <w:rPr>
          <w:i/>
        </w:rPr>
        <w:t>a</w:t>
      </w:r>
      <w:r w:rsidRPr="00557189">
        <w:rPr>
          <w:i/>
        </w:rPr>
        <w:t>uthority) which must provide for:</w:t>
      </w:r>
    </w:p>
    <w:p w:rsidR="003D3896" w:rsidRPr="00557189" w:rsidRDefault="003D3896" w:rsidP="003D3896">
      <w:pPr>
        <w:pStyle w:val="ListParagraph"/>
        <w:numPr>
          <w:ilvl w:val="0"/>
          <w:numId w:val="11"/>
        </w:numPr>
        <w:rPr>
          <w:i/>
        </w:rPr>
      </w:pPr>
      <w:r w:rsidRPr="00557189">
        <w:rPr>
          <w:i/>
        </w:rPr>
        <w:t>In respect of any part of the land which is shown as new roads, streets or laneways on the relevant Map in the schedule:</w:t>
      </w:r>
    </w:p>
    <w:p w:rsidR="003D3896" w:rsidRPr="00557189" w:rsidRDefault="003D3896" w:rsidP="003D3896">
      <w:pPr>
        <w:pStyle w:val="ListParagraph"/>
        <w:numPr>
          <w:ilvl w:val="0"/>
          <w:numId w:val="12"/>
        </w:numPr>
        <w:ind w:left="2880" w:hanging="731"/>
        <w:rPr>
          <w:i/>
        </w:rPr>
      </w:pPr>
      <w:r w:rsidRPr="00557189">
        <w:rPr>
          <w:i/>
        </w:rPr>
        <w:t xml:space="preserve">Its construction to the satisfaction of the </w:t>
      </w:r>
      <w:r>
        <w:rPr>
          <w:i/>
        </w:rPr>
        <w:t>r</w:t>
      </w:r>
      <w:r w:rsidRPr="00557189">
        <w:rPr>
          <w:i/>
        </w:rPr>
        <w:t xml:space="preserve">esponsible </w:t>
      </w:r>
      <w:r>
        <w:rPr>
          <w:i/>
        </w:rPr>
        <w:t>a</w:t>
      </w:r>
      <w:r w:rsidRPr="00557189">
        <w:rPr>
          <w:i/>
        </w:rPr>
        <w:t>uthority and the relevant road management authority; and</w:t>
      </w:r>
    </w:p>
    <w:p w:rsidR="003D3896" w:rsidRDefault="003D3896" w:rsidP="003D3896">
      <w:pPr>
        <w:pStyle w:val="ListParagraph"/>
        <w:numPr>
          <w:ilvl w:val="0"/>
          <w:numId w:val="12"/>
        </w:numPr>
        <w:ind w:left="2880" w:hanging="731"/>
        <w:rPr>
          <w:i/>
        </w:rPr>
      </w:pPr>
      <w:r w:rsidRPr="00557189">
        <w:rPr>
          <w:i/>
        </w:rPr>
        <w:t>Its transfer to, or vesting in, the relevant road authority as a public road at no cost to the relevant road authority.</w:t>
      </w:r>
    </w:p>
    <w:p w:rsidR="003D3896" w:rsidRPr="00557189" w:rsidRDefault="003D3896" w:rsidP="003D3896">
      <w:pPr>
        <w:ind w:left="1418" w:firstLine="11"/>
        <w:rPr>
          <w:i/>
        </w:rPr>
      </w:pPr>
      <w:r w:rsidRPr="00557189">
        <w:rPr>
          <w:i/>
        </w:rPr>
        <w:t xml:space="preserve">A permit must not be granted or amended to construct a building or construct or carry out works in respect of land shown as new open space on the relevant Map in the schedule until an agreement made under section 173 of the Planning and Environment Act 1987 has been entered into by the landowner, the </w:t>
      </w:r>
      <w:r>
        <w:rPr>
          <w:i/>
        </w:rPr>
        <w:t>r</w:t>
      </w:r>
      <w:r w:rsidRPr="00557189">
        <w:rPr>
          <w:i/>
        </w:rPr>
        <w:t xml:space="preserve">esponsible </w:t>
      </w:r>
      <w:r>
        <w:rPr>
          <w:i/>
        </w:rPr>
        <w:t>a</w:t>
      </w:r>
      <w:r w:rsidRPr="00557189">
        <w:rPr>
          <w:i/>
        </w:rPr>
        <w:t xml:space="preserve">uthority and the local council (if not the </w:t>
      </w:r>
      <w:r>
        <w:rPr>
          <w:i/>
        </w:rPr>
        <w:t>r</w:t>
      </w:r>
      <w:r w:rsidRPr="00557189">
        <w:rPr>
          <w:i/>
        </w:rPr>
        <w:t xml:space="preserve">esponsible </w:t>
      </w:r>
      <w:r>
        <w:rPr>
          <w:i/>
        </w:rPr>
        <w:t>a</w:t>
      </w:r>
      <w:r w:rsidRPr="00557189">
        <w:rPr>
          <w:i/>
        </w:rPr>
        <w:t>uthority) which must provide for its transfer or vesting in the local council as public open space at no cost to the local council.</w:t>
      </w:r>
    </w:p>
    <w:p w:rsidR="003D3896" w:rsidRPr="00B16216" w:rsidRDefault="003D3896" w:rsidP="003D3896">
      <w:r>
        <w:t>Legal i</w:t>
      </w:r>
      <w:r w:rsidRPr="00B16216">
        <w:t>ssues raised include</w:t>
      </w:r>
      <w:r>
        <w:t>d whether</w:t>
      </w:r>
      <w:r w:rsidRPr="00B16216">
        <w:t>:</w:t>
      </w:r>
    </w:p>
    <w:p w:rsidR="003D3896" w:rsidRDefault="003D3896" w:rsidP="003D3896">
      <w:pPr>
        <w:pStyle w:val="PPVBullet1"/>
      </w:pPr>
      <w:r w:rsidRPr="00B16216">
        <w:t>the provisions (and therefore the draft Amendment) are legally valid</w:t>
      </w:r>
    </w:p>
    <w:p w:rsidR="003D3896" w:rsidRPr="00B16216" w:rsidRDefault="003D3896" w:rsidP="003D3896">
      <w:pPr>
        <w:pStyle w:val="PPVBullet1"/>
      </w:pPr>
      <w:r w:rsidRPr="00B16216">
        <w:t>the provisions amount to a de facto reservation of the affected land for public purposes</w:t>
      </w:r>
    </w:p>
    <w:p w:rsidR="003D3896" w:rsidRPr="00B16216" w:rsidRDefault="003D3896" w:rsidP="003D3896">
      <w:pPr>
        <w:pStyle w:val="PPVBullet1"/>
      </w:pPr>
      <w:r w:rsidRPr="00B16216">
        <w:t xml:space="preserve">the provisions trigger compensation under section 98(1)(a) of the </w:t>
      </w:r>
      <w:r w:rsidRPr="00C445A8">
        <w:t>Act</w:t>
      </w:r>
      <w:r w:rsidRPr="00B16216">
        <w:t>, on the basis that the land is, in substance, ‘reserved for a public purpose under a planning scheme’</w:t>
      </w:r>
    </w:p>
    <w:p w:rsidR="003D3896" w:rsidRPr="00B16216" w:rsidRDefault="003D3896" w:rsidP="003D3896">
      <w:pPr>
        <w:pStyle w:val="PPVBullet1"/>
      </w:pPr>
      <w:r w:rsidRPr="00B16216">
        <w:t>(if a permit application were refused)</w:t>
      </w:r>
      <w:r>
        <w:t>,</w:t>
      </w:r>
      <w:r w:rsidRPr="00B16216">
        <w:t xml:space="preserve"> the provisions trigger compensation under section 98(2) of the Act, on the basis that refusal would be because the land ‘is or will be needed for a public purpose’</w:t>
      </w:r>
    </w:p>
    <w:p w:rsidR="003D3896" w:rsidRPr="00B16216" w:rsidRDefault="003D3896" w:rsidP="003D3896">
      <w:pPr>
        <w:pStyle w:val="PPVBullet1"/>
      </w:pPr>
      <w:r w:rsidRPr="00B16216">
        <w:t>a Public Acquisition Overlay should be applied to the affected land.</w:t>
      </w:r>
    </w:p>
    <w:p w:rsidR="00785416" w:rsidRDefault="003D3896" w:rsidP="003D3896">
      <w:pPr>
        <w:pStyle w:val="PPVBody"/>
      </w:pPr>
      <w:r>
        <w:t xml:space="preserve">The Minister submitted that </w:t>
      </w:r>
      <w:r>
        <w:rPr>
          <w:rFonts w:asciiTheme="minorHAnsi" w:hAnsiTheme="minorHAnsi"/>
        </w:rPr>
        <w:t xml:space="preserve">the proposed approach </w:t>
      </w:r>
      <w:r>
        <w:t xml:space="preserve">was both lawful, and fair and equitable, because the affected landowners </w:t>
      </w:r>
      <w:r w:rsidRPr="00A90F8A">
        <w:t xml:space="preserve">retained the ability to develop the </w:t>
      </w:r>
      <w:r>
        <w:t xml:space="preserve">full FAR entitlement </w:t>
      </w:r>
      <w:r w:rsidRPr="00A90F8A">
        <w:t>on the balance of the</w:t>
      </w:r>
      <w:r>
        <w:t>ir</w:t>
      </w:r>
      <w:r w:rsidRPr="00A90F8A">
        <w:t xml:space="preserve"> site</w:t>
      </w:r>
      <w:r>
        <w:t>s.  Ms Hodyl</w:t>
      </w:r>
      <w:r w:rsidR="00C42263">
        <w:t xml:space="preserve">’s evidence was that her </w:t>
      </w:r>
      <w:r>
        <w:t xml:space="preserve">modelling demonstrated that </w:t>
      </w:r>
      <w:r>
        <w:lastRenderedPageBreak/>
        <w:t>this was possible on all but one of the affected sites (in response to which the proposed height limit was increased to allow the FAR to be achieved).</w:t>
      </w:r>
    </w:p>
    <w:p w:rsidR="003D3896" w:rsidRDefault="003D3896" w:rsidP="003D3896">
      <w:pPr>
        <w:pStyle w:val="PPVBody"/>
      </w:pPr>
      <w:r>
        <w:t xml:space="preserve">The Minister tabled an opinion from </w:t>
      </w:r>
      <w:r w:rsidR="008D7047">
        <w:t xml:space="preserve">Mr </w:t>
      </w:r>
      <w:r>
        <w:t>Batt QC and M</w:t>
      </w:r>
      <w:r w:rsidR="008D7047">
        <w:t xml:space="preserve">s </w:t>
      </w:r>
      <w:r>
        <w:t xml:space="preserve">Foley which concluded that the provisions were </w:t>
      </w:r>
      <w:r w:rsidRPr="005C1A55">
        <w:t>lawful (D</w:t>
      </w:r>
      <w:r w:rsidR="005C1A55" w:rsidRPr="005C1A55">
        <w:t>155</w:t>
      </w:r>
      <w:r w:rsidRPr="005C1A55">
        <w:t>).</w:t>
      </w:r>
    </w:p>
    <w:p w:rsidR="003D3896" w:rsidRDefault="003D3896" w:rsidP="003D3896">
      <w:pPr>
        <w:pStyle w:val="PPVBody"/>
        <w:rPr>
          <w:rFonts w:asciiTheme="minorHAnsi" w:hAnsiTheme="minorHAnsi"/>
        </w:rPr>
      </w:pPr>
      <w:r>
        <w:rPr>
          <w:rFonts w:asciiTheme="minorHAnsi" w:hAnsiTheme="minorHAnsi"/>
        </w:rPr>
        <w:t>Landowners argued that the proposed approach amounted to an unlawful acquisition of property without compensation.  They argued that it was unfair, and failed to take into account the fact that:</w:t>
      </w:r>
    </w:p>
    <w:p w:rsidR="003D3896" w:rsidRDefault="003D3896" w:rsidP="003D3896">
      <w:pPr>
        <w:pStyle w:val="PPVBullet1"/>
      </w:pPr>
      <w:r>
        <w:t>developing the same amount of floorspace on a smaller footprint is generally more expensive, as the building must be built higher</w:t>
      </w:r>
    </w:p>
    <w:p w:rsidR="003D3896" w:rsidRDefault="003D3896" w:rsidP="003D3896">
      <w:pPr>
        <w:pStyle w:val="PPVBullet1"/>
      </w:pPr>
      <w:r>
        <w:t>the value of the remaining site may be reduced, for example by virtue of land that could have been used for communal open space for the private use of residents having been lost to a public park</w:t>
      </w:r>
    </w:p>
    <w:p w:rsidR="003D3896" w:rsidRDefault="003D3896" w:rsidP="003D3896">
      <w:pPr>
        <w:pStyle w:val="PPVBullet1"/>
      </w:pPr>
      <w:r>
        <w:t>they would lose the ability to take advantage of a FAU on the affected part of the site</w:t>
      </w:r>
    </w:p>
    <w:p w:rsidR="003D3896" w:rsidRDefault="003D3896" w:rsidP="003D3896">
      <w:pPr>
        <w:pStyle w:val="PPVBullet1"/>
      </w:pPr>
      <w:r>
        <w:t>they would lose the ability to develop uncapped commercial floorspace, over and above that allowed by the FAR, on the affected part of the site (as provided for in the exhibited version of the control, but not in the Part C version).</w:t>
      </w:r>
    </w:p>
    <w:p w:rsidR="003D3896" w:rsidRPr="002D1D6D" w:rsidRDefault="003D3896" w:rsidP="003D3896">
      <w:pPr>
        <w:pStyle w:val="PPVBody"/>
      </w:pPr>
      <w:r>
        <w:t>Mr Canavan and Mr Morris made extensive oral submissions in relation to this matter, which the Review Panel directed be put in writing by Friday 11 May 2018 (D290 and D296).  Written submissions were provided in Documents 301 and 304.</w:t>
      </w:r>
    </w:p>
    <w:p w:rsidR="003D3896" w:rsidRPr="00F34841" w:rsidRDefault="003D3896" w:rsidP="003D3896">
      <w:pPr>
        <w:pStyle w:val="Heading5"/>
      </w:pPr>
      <w:r w:rsidRPr="00E3501E">
        <w:t>Review Panel response</w:t>
      </w:r>
    </w:p>
    <w:p w:rsidR="003D3896" w:rsidRDefault="003D3896" w:rsidP="003D3896">
      <w:r>
        <w:t>Recognising it is not the role of the Review Panel to make legal rulings, the Review Panel considered that it would benefit from a legal opinion from Counsel assisting regarding the legal issues raised by parties.  On 8 May 2018, the Review Panel sought the</w:t>
      </w:r>
      <w:r w:rsidRPr="007D0335">
        <w:t xml:space="preserve"> </w:t>
      </w:r>
      <w:r>
        <w:t xml:space="preserve">legal </w:t>
      </w:r>
      <w:r w:rsidRPr="007D0335">
        <w:t xml:space="preserve">opinion </w:t>
      </w:r>
      <w:r w:rsidR="008D7047">
        <w:t xml:space="preserve">from </w:t>
      </w:r>
      <w:r w:rsidR="00E5286E">
        <w:t>Counsel assisting</w:t>
      </w:r>
      <w:r w:rsidR="008D7047">
        <w:t xml:space="preserve"> by</w:t>
      </w:r>
      <w:r>
        <w:t xml:space="preserve"> 18 </w:t>
      </w:r>
      <w:r w:rsidRPr="007D0335">
        <w:t>May 2018</w:t>
      </w:r>
      <w:r>
        <w:t xml:space="preserve"> (D299).</w:t>
      </w:r>
    </w:p>
    <w:p w:rsidR="003D3896" w:rsidRDefault="003D3896" w:rsidP="003D3896">
      <w:pPr>
        <w:pStyle w:val="PPVBody"/>
        <w:rPr>
          <w:rFonts w:asciiTheme="minorHAnsi" w:hAnsiTheme="minorHAnsi"/>
        </w:rPr>
      </w:pPr>
      <w:r>
        <w:t xml:space="preserve">On 14 May 2018, the Minister tabled the Part C version of the controls (D307, D308, D309, D310) that, in essence, resiled from the Clause 4.0 provisions.  </w:t>
      </w:r>
      <w:r w:rsidRPr="00A90F8A">
        <w:rPr>
          <w:rFonts w:asciiTheme="minorHAnsi" w:hAnsiTheme="minorHAnsi"/>
        </w:rPr>
        <w:t>Instead</w:t>
      </w:r>
      <w:r>
        <w:rPr>
          <w:rFonts w:asciiTheme="minorHAnsi" w:hAnsiTheme="minorHAnsi"/>
        </w:rPr>
        <w:t>:</w:t>
      </w:r>
    </w:p>
    <w:p w:rsidR="003D3896" w:rsidRDefault="003D3896" w:rsidP="003D3896">
      <w:pPr>
        <w:pStyle w:val="PPVBullet1"/>
      </w:pPr>
      <w:r w:rsidRPr="00A90F8A">
        <w:t xml:space="preserve">land required for </w:t>
      </w:r>
      <w:r>
        <w:t>public purposes</w:t>
      </w:r>
      <w:r w:rsidRPr="00A90F8A">
        <w:t xml:space="preserve"> is </w:t>
      </w:r>
      <w:r>
        <w:t xml:space="preserve">now </w:t>
      </w:r>
      <w:r w:rsidRPr="00A90F8A">
        <w:t xml:space="preserve">proposed to be acquired through </w:t>
      </w:r>
      <w:r>
        <w:t xml:space="preserve">the mechanisms under the recently passed </w:t>
      </w:r>
      <w:r>
        <w:rPr>
          <w:i/>
        </w:rPr>
        <w:t xml:space="preserve">Planning and Environment (Public Land Contributions) Act 2018 </w:t>
      </w:r>
      <w:r>
        <w:t xml:space="preserve">in association with a (yet to be prepared) </w:t>
      </w:r>
      <w:r w:rsidRPr="00A90F8A">
        <w:t>Infrastructure Contributions Plan</w:t>
      </w:r>
      <w:r>
        <w:t xml:space="preserve"> (ICP)</w:t>
      </w:r>
    </w:p>
    <w:p w:rsidR="003D3896" w:rsidRDefault="003D3896" w:rsidP="003D3896">
      <w:pPr>
        <w:pStyle w:val="PPVBullet1"/>
      </w:pPr>
      <w:r>
        <w:t>land required for streets and laneways is now proposed to be acquired through either:</w:t>
      </w:r>
    </w:p>
    <w:p w:rsidR="003D3896" w:rsidRDefault="003D3896" w:rsidP="003D3896">
      <w:pPr>
        <w:pStyle w:val="PPVBullet2"/>
      </w:pPr>
      <w:r>
        <w:t>an ICP (for streets and laneways that benefit land beyond the site), or</w:t>
      </w:r>
    </w:p>
    <w:p w:rsidR="003D3896" w:rsidRDefault="003D3896" w:rsidP="003D3896">
      <w:pPr>
        <w:pStyle w:val="PPVBullet2"/>
        <w:tabs>
          <w:tab w:val="clear" w:pos="1134"/>
          <w:tab w:val="num" w:pos="360"/>
        </w:tabs>
      </w:pPr>
      <w:r>
        <w:t>as part of developer works (for local streets and laneways that benefit the land itself)</w:t>
      </w:r>
      <w:r w:rsidRPr="00A90F8A">
        <w:t>.</w:t>
      </w:r>
    </w:p>
    <w:p w:rsidR="003D3896" w:rsidRPr="00D335EA" w:rsidRDefault="003D3896" w:rsidP="003D3896">
      <w:pPr>
        <w:pStyle w:val="PPVBody"/>
      </w:pPr>
      <w:r>
        <w:t>While this change of position raised other issues, the Review Panel advised Counsel assisting that it no longer required a legal opinion.</w:t>
      </w:r>
    </w:p>
    <w:p w:rsidR="003D3896" w:rsidRDefault="003D3896" w:rsidP="003D3896">
      <w:pPr>
        <w:pStyle w:val="Heading4"/>
      </w:pPr>
      <w:r>
        <w:t>The Part C version of the controls</w:t>
      </w:r>
    </w:p>
    <w:p w:rsidR="003D3896" w:rsidRPr="00F34841" w:rsidRDefault="003D3896" w:rsidP="003D3896">
      <w:pPr>
        <w:pStyle w:val="Heading5"/>
      </w:pPr>
      <w:r w:rsidRPr="00E3501E">
        <w:t>Issue</w:t>
      </w:r>
    </w:p>
    <w:p w:rsidR="003D3896" w:rsidRDefault="003D3896" w:rsidP="003D3896">
      <w:pPr>
        <w:pStyle w:val="PPVBody"/>
        <w:rPr>
          <w:rFonts w:asciiTheme="minorHAnsi" w:hAnsiTheme="minorHAnsi"/>
        </w:rPr>
      </w:pPr>
      <w:r>
        <w:rPr>
          <w:rFonts w:asciiTheme="minorHAnsi" w:hAnsiTheme="minorHAnsi"/>
        </w:rPr>
        <w:t xml:space="preserve">On Day 39 (16 May 2018), Mr Canavan submitted that the hearing process should be abandoned, or in the alternative, be adjourned to provide a fair opportunity to consider the changes introduced in the Part C controls, </w:t>
      </w:r>
      <w:r w:rsidR="00851DC3">
        <w:rPr>
          <w:rFonts w:asciiTheme="minorHAnsi" w:hAnsiTheme="minorHAnsi"/>
        </w:rPr>
        <w:t xml:space="preserve">together with </w:t>
      </w:r>
      <w:r>
        <w:rPr>
          <w:rFonts w:asciiTheme="minorHAnsi" w:hAnsiTheme="minorHAnsi"/>
        </w:rPr>
        <w:t xml:space="preserve">the proposed introduction of an </w:t>
      </w:r>
      <w:r>
        <w:rPr>
          <w:rFonts w:asciiTheme="minorHAnsi" w:hAnsiTheme="minorHAnsi"/>
        </w:rPr>
        <w:lastRenderedPageBreak/>
        <w:t>ICP.  In putting forward this proposition, he submitted that he had no time to review the Part C controls.  He argued that the changes proposed in the Part C controls were extensive and substantial, and effectively represented a different amendment to that exhibited.  He submitted that the controls will affect approximately 300 landowners, and that it would be unfair to allow the Part C controls to be tabled and to continue the Hearing on that basis.</w:t>
      </w:r>
    </w:p>
    <w:p w:rsidR="003D3896" w:rsidRDefault="003D3896" w:rsidP="003D3896">
      <w:pPr>
        <w:pStyle w:val="PPVBody"/>
        <w:rPr>
          <w:rFonts w:asciiTheme="minorHAnsi" w:hAnsiTheme="minorHAnsi"/>
        </w:rPr>
      </w:pPr>
      <w:r>
        <w:rPr>
          <w:rFonts w:asciiTheme="minorHAnsi" w:hAnsiTheme="minorHAnsi"/>
        </w:rPr>
        <w:t>Mr Canavan reiterated many earlier submissions he made at various times during the course of the Directions Hearings and the Hearing itself.  He alleged (among other matters):</w:t>
      </w:r>
    </w:p>
    <w:p w:rsidR="003D3896" w:rsidRDefault="003D3896" w:rsidP="003D3896">
      <w:pPr>
        <w:pStyle w:val="PPVBullet1"/>
      </w:pPr>
      <w:r>
        <w:t>indecent and undue haste of the process</w:t>
      </w:r>
    </w:p>
    <w:p w:rsidR="003D3896" w:rsidRDefault="003D3896" w:rsidP="003D3896">
      <w:pPr>
        <w:pStyle w:val="PPVBullet1"/>
      </w:pPr>
      <w:r>
        <w:t>a lack of procedural fairness</w:t>
      </w:r>
    </w:p>
    <w:p w:rsidR="003D3896" w:rsidRDefault="003D3896" w:rsidP="003D3896">
      <w:pPr>
        <w:pStyle w:val="PPVBullet1"/>
      </w:pPr>
      <w:r>
        <w:t>that the process was being driven by political intent and ambition of the Minister</w:t>
      </w:r>
    </w:p>
    <w:p w:rsidR="003D3896" w:rsidRDefault="003D3896" w:rsidP="003D3896">
      <w:pPr>
        <w:pStyle w:val="PPVBullet1"/>
      </w:pPr>
      <w:r>
        <w:t>that the integrity, independence and competence of the Review Panel were compromised (including innuendo that the Review Panel was being influenced by officers of DELWP and/or the Minister), and implied that the reputation of PPV has been ‘sullied’ as a result.</w:t>
      </w:r>
    </w:p>
    <w:p w:rsidR="003D3896" w:rsidRDefault="003D3896" w:rsidP="003D3896">
      <w:pPr>
        <w:pStyle w:val="PPVBody"/>
        <w:rPr>
          <w:rFonts w:asciiTheme="minorHAnsi" w:hAnsiTheme="minorHAnsi"/>
        </w:rPr>
      </w:pPr>
      <w:r>
        <w:rPr>
          <w:rFonts w:asciiTheme="minorHAnsi" w:hAnsiTheme="minorHAnsi"/>
        </w:rPr>
        <w:t xml:space="preserve">The Review Panel had set aside time for closing submissions on 23 May 2018 on the timetable since </w:t>
      </w:r>
      <w:r w:rsidRPr="005C1A55">
        <w:rPr>
          <w:rFonts w:asciiTheme="minorHAnsi" w:hAnsiTheme="minorHAnsi"/>
        </w:rPr>
        <w:t xml:space="preserve">Version 1 (which was issued on </w:t>
      </w:r>
      <w:r w:rsidR="005C1A55" w:rsidRPr="005C1A55">
        <w:rPr>
          <w:rFonts w:asciiTheme="minorHAnsi" w:hAnsiTheme="minorHAnsi"/>
        </w:rPr>
        <w:t>9 February 2018</w:t>
      </w:r>
      <w:r w:rsidRPr="005C1A55">
        <w:rPr>
          <w:rFonts w:asciiTheme="minorHAnsi" w:hAnsiTheme="minorHAnsi"/>
        </w:rPr>
        <w:t>).  Notwithstanding, Mr Canavan argued that none of his team were able to prepare and attend on that</w:t>
      </w:r>
      <w:r>
        <w:rPr>
          <w:rFonts w:asciiTheme="minorHAnsi" w:hAnsiTheme="minorHAnsi"/>
        </w:rPr>
        <w:t xml:space="preserve"> day.</w:t>
      </w:r>
    </w:p>
    <w:p w:rsidR="003D3896" w:rsidRDefault="003D3896" w:rsidP="003D3896">
      <w:pPr>
        <w:pStyle w:val="PPVBody"/>
        <w:rPr>
          <w:rFonts w:asciiTheme="minorHAnsi" w:hAnsiTheme="minorHAnsi"/>
        </w:rPr>
      </w:pPr>
      <w:r>
        <w:rPr>
          <w:rFonts w:asciiTheme="minorHAnsi" w:hAnsiTheme="minorHAnsi"/>
        </w:rPr>
        <w:t>Ms Collingwood endorsed Mr Canavan’s submissions to the extent that her clients needed more time to consider the Part C controls before making closing submissions, as did Mr Moylan.</w:t>
      </w:r>
    </w:p>
    <w:p w:rsidR="00785416" w:rsidRDefault="003D3896" w:rsidP="003D3896">
      <w:pPr>
        <w:pStyle w:val="PPVBody"/>
        <w:rPr>
          <w:rFonts w:asciiTheme="minorHAnsi" w:hAnsiTheme="minorHAnsi"/>
        </w:rPr>
      </w:pPr>
      <w:r>
        <w:rPr>
          <w:rFonts w:asciiTheme="minorHAnsi" w:hAnsiTheme="minorHAnsi"/>
        </w:rPr>
        <w:t>Port Phillip responded that the Hearing should not be abandoned or delayed.  Mr Montebello submitted that the Part C controls, including the proposed introduction of an ICP, effectively responded to the repeated calls from Port Phillip and many others (including the landowners represented by Mr Canavan) for a Development Contributions Plan or similar to deal with public infrastructure.</w:t>
      </w:r>
    </w:p>
    <w:p w:rsidR="003D3896" w:rsidRDefault="003D3896" w:rsidP="003D3896">
      <w:pPr>
        <w:pStyle w:val="PPVBody"/>
        <w:rPr>
          <w:rFonts w:asciiTheme="minorHAnsi" w:hAnsiTheme="minorHAnsi"/>
        </w:rPr>
      </w:pPr>
      <w:r>
        <w:rPr>
          <w:rFonts w:asciiTheme="minorHAnsi" w:hAnsiTheme="minorHAnsi"/>
        </w:rPr>
        <w:t>Melbourne noted that the provision of an Infrastructure Contributions Overlay or similar had always been on the table, and was a direct response to submissions.  Melbourne noted it could meet the timeframes proposed, and suggested that a further opportunity be provided to other parties for closing, but within 10 days of 24 May 2018.</w:t>
      </w:r>
    </w:p>
    <w:p w:rsidR="003D3896" w:rsidRDefault="003D3896" w:rsidP="003D3896">
      <w:pPr>
        <w:pStyle w:val="PPVBody"/>
        <w:rPr>
          <w:rFonts w:asciiTheme="minorHAnsi" w:hAnsiTheme="minorHAnsi"/>
        </w:rPr>
      </w:pPr>
      <w:r>
        <w:rPr>
          <w:rFonts w:asciiTheme="minorHAnsi" w:hAnsiTheme="minorHAnsi"/>
        </w:rPr>
        <w:t>The Minister wholly rejected the claims made by Mr Canavan and noted that the Review Panel had repeatedly provided the landowners with a fair opportunity to be heard, unopposed by the Minister.  Ms Brennan noted the considerable flexibility provided by the timetable, including the opportunity for the landowners to hear the entirety of the Minister’s case before having to file evidence or prepare submissions – which she submitted was a considerable</w:t>
      </w:r>
      <w:r w:rsidRPr="009D5BAD">
        <w:rPr>
          <w:rFonts w:asciiTheme="minorHAnsi" w:hAnsiTheme="minorHAnsi"/>
        </w:rPr>
        <w:t xml:space="preserve"> </w:t>
      </w:r>
      <w:r>
        <w:rPr>
          <w:rFonts w:asciiTheme="minorHAnsi" w:hAnsiTheme="minorHAnsi"/>
        </w:rPr>
        <w:t>advantage to the landowners.  She rejected arguments put by some that the process had in some way compromised the integrity of the planning system in Victoria.  She reiterated that the role of the Review Panel (as an Advisory Committee) is different to that of a Panel, and that the opportunity for closing submissions had been timetabled from the beginning of the process.</w:t>
      </w:r>
    </w:p>
    <w:p w:rsidR="003D3896" w:rsidRDefault="003D3896" w:rsidP="003D3896">
      <w:pPr>
        <w:pStyle w:val="PPVBody"/>
        <w:rPr>
          <w:rFonts w:asciiTheme="minorHAnsi" w:hAnsiTheme="minorHAnsi"/>
        </w:rPr>
      </w:pPr>
      <w:r>
        <w:rPr>
          <w:rFonts w:asciiTheme="minorHAnsi" w:hAnsiTheme="minorHAnsi"/>
        </w:rPr>
        <w:t>Ms Brennan noted that many of the changes proposed in the Part C controls had been as a direct consequence of the many submissions of Mr Tweedie in particular relating to the proposed mechanisms in the C</w:t>
      </w:r>
      <w:r w:rsidR="00346B0A">
        <w:rPr>
          <w:rFonts w:asciiTheme="minorHAnsi" w:hAnsiTheme="minorHAnsi"/>
        </w:rPr>
        <w:t>apital City Zone (CCZ)</w:t>
      </w:r>
      <w:r>
        <w:rPr>
          <w:rFonts w:asciiTheme="minorHAnsi" w:hAnsiTheme="minorHAnsi"/>
        </w:rPr>
        <w:t xml:space="preserve"> for acquiring public land.  She noted that the application of ICPs in urban renewal areas, and the land acquisition mechanisms </w:t>
      </w:r>
      <w:r>
        <w:rPr>
          <w:rFonts w:asciiTheme="minorHAnsi" w:hAnsiTheme="minorHAnsi"/>
        </w:rPr>
        <w:lastRenderedPageBreak/>
        <w:t>provided for under the Public Land Contributions Act, were supported by the Property Council of Australia.</w:t>
      </w:r>
    </w:p>
    <w:p w:rsidR="003D3896" w:rsidRPr="00F34841" w:rsidRDefault="003D3896" w:rsidP="003D3896">
      <w:pPr>
        <w:pStyle w:val="Heading5"/>
      </w:pPr>
      <w:r w:rsidRPr="00E3501E">
        <w:t>Review Panel response</w:t>
      </w:r>
    </w:p>
    <w:p w:rsidR="00785416" w:rsidRDefault="003D3896" w:rsidP="003D3896">
      <w:pPr>
        <w:pStyle w:val="PPVBody"/>
        <w:rPr>
          <w:rFonts w:asciiTheme="minorHAnsi" w:hAnsiTheme="minorHAnsi"/>
        </w:rPr>
      </w:pPr>
      <w:r>
        <w:rPr>
          <w:rFonts w:asciiTheme="minorHAnsi" w:hAnsiTheme="minorHAnsi"/>
        </w:rPr>
        <w:t>The Review Panel categorically rejected any allegation or assertion that it had not acted in accordance with procedural fairness and the principles of natural justice</w:t>
      </w:r>
      <w:r w:rsidR="008D51CE">
        <w:rPr>
          <w:rFonts w:asciiTheme="minorHAnsi" w:hAnsiTheme="minorHAnsi"/>
        </w:rPr>
        <w:t xml:space="preserve"> throughout the course of the Hearing</w:t>
      </w:r>
      <w:r>
        <w:rPr>
          <w:rFonts w:asciiTheme="minorHAnsi" w:hAnsiTheme="minorHAnsi"/>
        </w:rPr>
        <w:t>.  The Review Panel confirmed that it had not been told, directed or given any advice on this process by the Minister, the Deputy Secretary Planning of DELWP or anyone else in DELWP, including in relation to the timetable and the hearing schedule.</w:t>
      </w:r>
    </w:p>
    <w:p w:rsidR="003D3896" w:rsidRDefault="003D3896" w:rsidP="003D3896">
      <w:pPr>
        <w:pStyle w:val="PPVBody"/>
        <w:rPr>
          <w:rFonts w:asciiTheme="minorHAnsi" w:hAnsiTheme="minorHAnsi"/>
        </w:rPr>
      </w:pPr>
      <w:r>
        <w:rPr>
          <w:rFonts w:asciiTheme="minorHAnsi" w:hAnsiTheme="minorHAnsi"/>
        </w:rPr>
        <w:t>The Review Panel has inquired into the draft Amendment comprehensively and systematically throughout the process.  It has repeatedly asked for significant information from the Minister to inform its considerations, and confirmed during the Hearing that it would independently assess the draft Amendment on the basis of the submissions and evidence before it, and would provide its advice and recommendations to the Minister without fear or favour.</w:t>
      </w:r>
    </w:p>
    <w:p w:rsidR="003D3896" w:rsidRDefault="003D3896" w:rsidP="003D3896">
      <w:pPr>
        <w:pStyle w:val="PPVBody"/>
        <w:rPr>
          <w:rFonts w:asciiTheme="minorHAnsi" w:hAnsiTheme="minorHAnsi"/>
        </w:rPr>
      </w:pPr>
      <w:r>
        <w:rPr>
          <w:rFonts w:asciiTheme="minorHAnsi" w:hAnsiTheme="minorHAnsi"/>
        </w:rPr>
        <w:t>In relation to the particular matters raised about deferring closing submissions, the Review Panel confirmed it would continue with the timetabled final week (D298), but would set aside the week of 18 June 2018 to provide the opportunity for any party who required more time to prepare and present its closing submissions.  In this regard, it issued Direction 26 on 17 May 2018 (D321).</w:t>
      </w:r>
    </w:p>
    <w:p w:rsidR="003D3896" w:rsidRDefault="003D3896" w:rsidP="003D3896">
      <w:pPr>
        <w:pStyle w:val="PPVBody"/>
        <w:rPr>
          <w:rFonts w:asciiTheme="minorHAnsi" w:hAnsiTheme="minorHAnsi"/>
        </w:rPr>
      </w:pPr>
      <w:r>
        <w:rPr>
          <w:rFonts w:asciiTheme="minorHAnsi" w:hAnsiTheme="minorHAnsi"/>
        </w:rPr>
        <w:t xml:space="preserve">Subsequently, the Review Panel scheduled two further days for closing submissions, on 19 and 21 June 2018.  Ten written submissions were received and seven parties made closing </w:t>
      </w:r>
      <w:r w:rsidRPr="00450690">
        <w:rPr>
          <w:rFonts w:asciiTheme="minorHAnsi" w:hAnsiTheme="minorHAnsi"/>
        </w:rPr>
        <w:t xml:space="preserve">submissions </w:t>
      </w:r>
      <w:r>
        <w:rPr>
          <w:rFonts w:asciiTheme="minorHAnsi" w:hAnsiTheme="minorHAnsi"/>
        </w:rPr>
        <w:t xml:space="preserve">at the Hearing </w:t>
      </w:r>
      <w:r w:rsidRPr="00450690">
        <w:rPr>
          <w:rFonts w:asciiTheme="minorHAnsi" w:hAnsiTheme="minorHAnsi"/>
        </w:rPr>
        <w:t>(</w:t>
      </w:r>
      <w:r>
        <w:rPr>
          <w:rFonts w:asciiTheme="minorHAnsi" w:hAnsiTheme="minorHAnsi"/>
        </w:rPr>
        <w:t xml:space="preserve">D357, D358, </w:t>
      </w:r>
      <w:r w:rsidRPr="00450690">
        <w:rPr>
          <w:rFonts w:asciiTheme="minorHAnsi" w:hAnsiTheme="minorHAnsi"/>
        </w:rPr>
        <w:t>D359, D360, D361,</w:t>
      </w:r>
      <w:r>
        <w:rPr>
          <w:rFonts w:asciiTheme="minorHAnsi" w:hAnsiTheme="minorHAnsi"/>
        </w:rPr>
        <w:t xml:space="preserve"> D362, D363, D364, D365, D366, D368, D369, D370, D371).  This </w:t>
      </w:r>
      <w:r w:rsidR="00B13277">
        <w:rPr>
          <w:rFonts w:asciiTheme="minorHAnsi" w:hAnsiTheme="minorHAnsi"/>
        </w:rPr>
        <w:t>was followed by further closing submissions</w:t>
      </w:r>
      <w:r>
        <w:rPr>
          <w:rFonts w:asciiTheme="minorHAnsi" w:hAnsiTheme="minorHAnsi"/>
        </w:rPr>
        <w:t xml:space="preserve"> from the two Councils and the Minister (D372, D373, D374).</w:t>
      </w:r>
    </w:p>
    <w:p w:rsidR="005912AF" w:rsidRDefault="005912AF" w:rsidP="005912AF">
      <w:pPr>
        <w:pStyle w:val="Heading4"/>
      </w:pPr>
      <w:r>
        <w:t>Further matter</w:t>
      </w:r>
    </w:p>
    <w:p w:rsidR="005912AF" w:rsidRDefault="005912AF" w:rsidP="003D3896">
      <w:pPr>
        <w:pStyle w:val="PPVBody"/>
        <w:rPr>
          <w:rFonts w:asciiTheme="minorHAnsi" w:hAnsiTheme="minorHAnsi"/>
        </w:rPr>
      </w:pPr>
      <w:r>
        <w:rPr>
          <w:rFonts w:asciiTheme="minorHAnsi" w:hAnsiTheme="minorHAnsi"/>
        </w:rPr>
        <w:t>While not raised as a procedural matter, the Review Panel provides some comment on the extent and usefulness of cross examination at the Hearing.  It was a very long Hearing, with many witnesses and extensive cross examination.  Some cross examination went for several hours, even days in the case of Ms Hodyl and Mr Sheppard (noting Mr Sheppard provided evidence for several parties).  Cross examination is useful for a matter such as this, but the Review Panel found that much of it was not helpful to its deliberations.</w:t>
      </w:r>
    </w:p>
    <w:p w:rsidR="00992C81" w:rsidRDefault="00992C81" w:rsidP="003D3896">
      <w:pPr>
        <w:pStyle w:val="PPVBody"/>
        <w:rPr>
          <w:rFonts w:asciiTheme="minorHAnsi" w:hAnsiTheme="minorHAnsi"/>
        </w:rPr>
      </w:pPr>
      <w:r>
        <w:rPr>
          <w:rFonts w:asciiTheme="minorHAnsi" w:hAnsiTheme="minorHAnsi"/>
        </w:rPr>
        <w:t>Long and extensive cross examination can and does result in fatigue for all – the witness, the advocate and those Hearing the matter.</w:t>
      </w:r>
    </w:p>
    <w:p w:rsidR="00785416" w:rsidRDefault="00992C81" w:rsidP="003D3896">
      <w:pPr>
        <w:pStyle w:val="PPVBody"/>
        <w:rPr>
          <w:rFonts w:asciiTheme="minorHAnsi" w:hAnsiTheme="minorHAnsi"/>
        </w:rPr>
      </w:pPr>
      <w:r>
        <w:rPr>
          <w:rFonts w:asciiTheme="minorHAnsi" w:hAnsiTheme="minorHAnsi"/>
        </w:rPr>
        <w:t xml:space="preserve">In the Review Panel’s opinion, there was too much cross examination that was not particularly relevant to the issues being dealt with.  Much of it was laborious.  Extensive cross examination can defeat its own purpose, that is, it can get to the point where what is being asked is not being helpful due to lack of purpose and precision.  Some really good short sharp points </w:t>
      </w:r>
      <w:r w:rsidR="00AA230F">
        <w:rPr>
          <w:rFonts w:asciiTheme="minorHAnsi" w:hAnsiTheme="minorHAnsi"/>
        </w:rPr>
        <w:t>are</w:t>
      </w:r>
      <w:r>
        <w:rPr>
          <w:rFonts w:asciiTheme="minorHAnsi" w:hAnsiTheme="minorHAnsi"/>
        </w:rPr>
        <w:t xml:space="preserve"> far better and more helpful than many long and less direct points.</w:t>
      </w:r>
    </w:p>
    <w:p w:rsidR="00607994" w:rsidRPr="00A90F8A" w:rsidRDefault="008E6605" w:rsidP="008B68A1">
      <w:pPr>
        <w:pStyle w:val="Heading1"/>
        <w:rPr>
          <w:rFonts w:asciiTheme="minorHAnsi" w:hAnsiTheme="minorHAnsi"/>
        </w:rPr>
      </w:pPr>
      <w:bookmarkStart w:id="35" w:name="_Toc519710237"/>
      <w:bookmarkStart w:id="36" w:name="_Toc519766797"/>
      <w:r w:rsidRPr="00A90F8A">
        <w:rPr>
          <w:rFonts w:asciiTheme="minorHAnsi" w:hAnsiTheme="minorHAnsi"/>
        </w:rPr>
        <w:lastRenderedPageBreak/>
        <w:t>About Fisherman</w:t>
      </w:r>
      <w:r w:rsidR="00FD2ABD" w:rsidRPr="00A90F8A">
        <w:rPr>
          <w:rFonts w:asciiTheme="minorHAnsi" w:hAnsiTheme="minorHAnsi"/>
        </w:rPr>
        <w:t>s Bend</w:t>
      </w:r>
      <w:bookmarkEnd w:id="35"/>
      <w:bookmarkEnd w:id="36"/>
    </w:p>
    <w:p w:rsidR="00B40278" w:rsidRDefault="00E4382F" w:rsidP="00E4382F">
      <w:pPr>
        <w:overflowPunct w:val="0"/>
        <w:autoSpaceDE w:val="0"/>
        <w:autoSpaceDN w:val="0"/>
        <w:adjustRightInd w:val="0"/>
        <w:spacing w:before="60"/>
        <w:textAlignment w:val="baseline"/>
        <w:rPr>
          <w:rFonts w:asciiTheme="minorHAnsi" w:hAnsiTheme="minorHAnsi"/>
        </w:rPr>
      </w:pPr>
      <w:r w:rsidRPr="00F243A8">
        <w:rPr>
          <w:rFonts w:asciiTheme="minorHAnsi" w:hAnsiTheme="minorHAnsi" w:cstheme="minorHAnsi"/>
        </w:rPr>
        <w:t xml:space="preserve">Fishermans Bend is an inner Melbourne area of </w:t>
      </w:r>
      <w:r>
        <w:rPr>
          <w:rFonts w:asciiTheme="minorHAnsi" w:hAnsiTheme="minorHAnsi" w:cstheme="minorHAnsi"/>
        </w:rPr>
        <w:t xml:space="preserve">approximately </w:t>
      </w:r>
      <w:r w:rsidRPr="00F243A8">
        <w:rPr>
          <w:rFonts w:asciiTheme="minorHAnsi" w:hAnsiTheme="minorHAnsi" w:cstheme="minorHAnsi"/>
        </w:rPr>
        <w:t>4</w:t>
      </w:r>
      <w:r>
        <w:rPr>
          <w:rFonts w:asciiTheme="minorHAnsi" w:hAnsiTheme="minorHAnsi" w:cstheme="minorHAnsi"/>
        </w:rPr>
        <w:t>55 hectares, located</w:t>
      </w:r>
      <w:r w:rsidRPr="00F243A8">
        <w:rPr>
          <w:rFonts w:asciiTheme="minorHAnsi" w:hAnsiTheme="minorHAnsi" w:cstheme="minorHAnsi"/>
        </w:rPr>
        <w:t xml:space="preserve"> south west of Melbourne’s CBD</w:t>
      </w:r>
      <w:r>
        <w:rPr>
          <w:rFonts w:asciiTheme="minorHAnsi" w:hAnsiTheme="minorHAnsi" w:cstheme="minorHAnsi"/>
        </w:rPr>
        <w:t>.  At its furthest point, it is four kilometres from the CBD</w:t>
      </w:r>
      <w:r w:rsidRPr="00F243A8">
        <w:rPr>
          <w:rFonts w:asciiTheme="minorHAnsi" w:hAnsiTheme="minorHAnsi" w:cstheme="minorHAnsi"/>
        </w:rPr>
        <w:t xml:space="preserve">. </w:t>
      </w:r>
      <w:r>
        <w:rPr>
          <w:rFonts w:asciiTheme="minorHAnsi" w:hAnsiTheme="minorHAnsi" w:cstheme="minorHAnsi"/>
        </w:rPr>
        <w:t xml:space="preserve"> </w:t>
      </w:r>
      <w:r w:rsidRPr="00F243A8">
        <w:rPr>
          <w:rFonts w:asciiTheme="minorHAnsi" w:hAnsiTheme="minorHAnsi" w:cstheme="minorHAnsi"/>
        </w:rPr>
        <w:t xml:space="preserve">It is </w:t>
      </w:r>
      <w:r w:rsidRPr="00F243A8">
        <w:rPr>
          <w:rFonts w:asciiTheme="minorHAnsi" w:hAnsiTheme="minorHAnsi"/>
        </w:rPr>
        <w:t>geographically bound by the Yarra River to the north and west, South Melbourne to the east and Port Melbourne to the south.</w:t>
      </w:r>
    </w:p>
    <w:p w:rsidR="00E4382F" w:rsidRPr="00A90F8A" w:rsidRDefault="00E4382F" w:rsidP="00E4382F">
      <w:pPr>
        <w:overflowPunct w:val="0"/>
        <w:autoSpaceDE w:val="0"/>
        <w:autoSpaceDN w:val="0"/>
        <w:adjustRightInd w:val="0"/>
        <w:spacing w:before="60"/>
        <w:textAlignment w:val="baseline"/>
        <w:rPr>
          <w:rFonts w:asciiTheme="minorHAnsi" w:hAnsiTheme="minorHAnsi"/>
        </w:rPr>
      </w:pPr>
      <w:r>
        <w:rPr>
          <w:rFonts w:asciiTheme="minorHAnsi" w:hAnsiTheme="minorHAnsi"/>
        </w:rPr>
        <w:t xml:space="preserve">Fishermans Bend </w:t>
      </w:r>
      <w:r w:rsidRPr="00A90F8A">
        <w:rPr>
          <w:rFonts w:asciiTheme="minorHAnsi" w:hAnsiTheme="minorHAnsi"/>
        </w:rPr>
        <w:t>is divided into five precincts</w:t>
      </w:r>
      <w:r>
        <w:rPr>
          <w:rFonts w:asciiTheme="minorHAnsi" w:hAnsiTheme="minorHAnsi"/>
        </w:rPr>
        <w:t xml:space="preserve"> in the following municipalities (</w:t>
      </w:r>
      <w:r w:rsidR="000E0848">
        <w:rPr>
          <w:rFonts w:asciiTheme="minorHAnsi" w:hAnsiTheme="minorHAnsi"/>
        </w:rPr>
        <w:fldChar w:fldCharType="begin"/>
      </w:r>
      <w:r w:rsidR="000E0848">
        <w:rPr>
          <w:rFonts w:asciiTheme="minorHAnsi" w:hAnsiTheme="minorHAnsi"/>
        </w:rPr>
        <w:instrText xml:space="preserve"> REF _Ref519718927 \h </w:instrText>
      </w:r>
      <w:r w:rsidR="000E0848">
        <w:rPr>
          <w:rFonts w:asciiTheme="minorHAnsi" w:hAnsiTheme="minorHAnsi"/>
        </w:rPr>
      </w:r>
      <w:r w:rsidR="000E0848">
        <w:rPr>
          <w:rFonts w:asciiTheme="minorHAnsi" w:hAnsiTheme="minorHAnsi"/>
        </w:rPr>
        <w:fldChar w:fldCharType="separate"/>
      </w:r>
      <w:r w:rsidR="00A307EC">
        <w:t xml:space="preserve">Figure </w:t>
      </w:r>
      <w:r w:rsidR="00A307EC">
        <w:rPr>
          <w:noProof/>
        </w:rPr>
        <w:t>1</w:t>
      </w:r>
      <w:r w:rsidR="000E0848">
        <w:rPr>
          <w:rFonts w:asciiTheme="minorHAnsi" w:hAnsiTheme="minorHAnsi"/>
        </w:rPr>
        <w:fldChar w:fldCharType="end"/>
      </w:r>
      <w:r>
        <w:rPr>
          <w:rFonts w:asciiTheme="minorHAnsi" w:hAnsiTheme="minorHAnsi"/>
        </w:rPr>
        <w:t>):</w:t>
      </w:r>
    </w:p>
    <w:p w:rsidR="00E4382F" w:rsidRDefault="00E4382F" w:rsidP="00E4382F">
      <w:pPr>
        <w:pStyle w:val="PPVBullet1"/>
      </w:pPr>
      <w:r w:rsidRPr="00A90F8A">
        <w:t>Lorimer</w:t>
      </w:r>
      <w:r>
        <w:t xml:space="preserve"> (Melbourne)</w:t>
      </w:r>
    </w:p>
    <w:p w:rsidR="00E4382F" w:rsidRPr="00A90F8A" w:rsidRDefault="00E4382F" w:rsidP="00E4382F">
      <w:pPr>
        <w:pStyle w:val="PPVBullet1"/>
      </w:pPr>
      <w:r w:rsidRPr="00A90F8A">
        <w:rPr>
          <w:rFonts w:asciiTheme="minorHAnsi" w:hAnsiTheme="minorHAnsi"/>
        </w:rPr>
        <w:t>Montague</w:t>
      </w:r>
      <w:r>
        <w:rPr>
          <w:rFonts w:asciiTheme="minorHAnsi" w:hAnsiTheme="minorHAnsi"/>
        </w:rPr>
        <w:t xml:space="preserve"> (Port Phillip)</w:t>
      </w:r>
    </w:p>
    <w:p w:rsidR="00E4382F" w:rsidRPr="00A90F8A" w:rsidRDefault="00E4382F" w:rsidP="00E4382F">
      <w:pPr>
        <w:pStyle w:val="PPVBullet1"/>
      </w:pPr>
      <w:r w:rsidRPr="00A90F8A">
        <w:t>Sandridge</w:t>
      </w:r>
      <w:r>
        <w:t xml:space="preserve"> (Port Phillip)</w:t>
      </w:r>
    </w:p>
    <w:p w:rsidR="00E4382F" w:rsidRDefault="00E4382F" w:rsidP="00E4382F">
      <w:pPr>
        <w:pStyle w:val="PPVBullet1"/>
      </w:pPr>
      <w:r w:rsidRPr="00A90F8A">
        <w:t>Wirraway</w:t>
      </w:r>
      <w:r>
        <w:t xml:space="preserve"> (Port Phillip)</w:t>
      </w:r>
    </w:p>
    <w:p w:rsidR="00E4382F" w:rsidRDefault="00E4382F" w:rsidP="00E4382F">
      <w:pPr>
        <w:pStyle w:val="PPVBullet1"/>
      </w:pPr>
      <w:r>
        <w:t>Employment (Melbourne).</w:t>
      </w:r>
    </w:p>
    <w:p w:rsidR="00E4382F" w:rsidRDefault="00E4382F" w:rsidP="00E4382F">
      <w:pPr>
        <w:pStyle w:val="PPVBody"/>
      </w:pPr>
      <w:r>
        <w:t>The Lorimer, Montague, Sandridge and Wirraway Precincts are currently zoned C</w:t>
      </w:r>
      <w:r w:rsidR="00346B0A">
        <w:t>CZ</w:t>
      </w:r>
      <w:r w:rsidRPr="00D666FE">
        <w:t>.</w:t>
      </w:r>
      <w:r>
        <w:t xml:space="preserve">  The Employment Precinct is currently zoned Industrial Zone</w:t>
      </w:r>
      <w:r w:rsidR="00A03494">
        <w:t xml:space="preserve"> and Commercial 2 Zone</w:t>
      </w:r>
      <w:r>
        <w:t>.</w:t>
      </w:r>
    </w:p>
    <w:p w:rsidR="00E4382F" w:rsidRPr="002D1D6D" w:rsidRDefault="00E4382F" w:rsidP="00E4382F">
      <w:pPr>
        <w:pStyle w:val="PPVBody"/>
        <w:rPr>
          <w:rFonts w:asciiTheme="minorHAnsi" w:hAnsiTheme="minorHAnsi"/>
        </w:rPr>
      </w:pPr>
      <w:r w:rsidRPr="00F243A8">
        <w:rPr>
          <w:rFonts w:asciiTheme="minorHAnsi" w:hAnsiTheme="minorHAnsi"/>
        </w:rPr>
        <w:t xml:space="preserve">The draft Amendment proposes to introduce a revised suite of planning controls to the </w:t>
      </w:r>
      <w:r>
        <w:rPr>
          <w:rFonts w:asciiTheme="minorHAnsi" w:hAnsiTheme="minorHAnsi"/>
        </w:rPr>
        <w:t>CCZ zoned Precincts</w:t>
      </w:r>
      <w:r w:rsidRPr="00F243A8">
        <w:rPr>
          <w:rFonts w:asciiTheme="minorHAnsi" w:hAnsiTheme="minorHAnsi"/>
        </w:rPr>
        <w:t xml:space="preserve">, in order to facilitate the </w:t>
      </w:r>
      <w:r>
        <w:rPr>
          <w:rFonts w:asciiTheme="minorHAnsi" w:hAnsiTheme="minorHAnsi"/>
        </w:rPr>
        <w:t xml:space="preserve">urban </w:t>
      </w:r>
      <w:r w:rsidRPr="00F243A8">
        <w:rPr>
          <w:rFonts w:asciiTheme="minorHAnsi" w:hAnsiTheme="minorHAnsi"/>
        </w:rPr>
        <w:t xml:space="preserve">renewal of Fishermans Bend.  The draft </w:t>
      </w:r>
      <w:r>
        <w:rPr>
          <w:rFonts w:asciiTheme="minorHAnsi" w:hAnsiTheme="minorHAnsi"/>
        </w:rPr>
        <w:t>A</w:t>
      </w:r>
      <w:r w:rsidRPr="00F243A8">
        <w:rPr>
          <w:rFonts w:asciiTheme="minorHAnsi" w:hAnsiTheme="minorHAnsi"/>
        </w:rPr>
        <w:t>mendment is underpinned by the draft Framework and the Vision.</w:t>
      </w:r>
    </w:p>
    <w:p w:rsidR="00450690" w:rsidRPr="00A90F8A" w:rsidRDefault="00734DC5" w:rsidP="00734DC5">
      <w:pPr>
        <w:pStyle w:val="Caption"/>
        <w:rPr>
          <w:rFonts w:asciiTheme="minorHAnsi" w:hAnsiTheme="minorHAnsi"/>
        </w:rPr>
      </w:pPr>
      <w:bookmarkStart w:id="37" w:name="_Ref519718927"/>
      <w:bookmarkStart w:id="38" w:name="_Toc519719104"/>
      <w:bookmarkStart w:id="39" w:name="_Toc519710372"/>
      <w:r>
        <w:t xml:space="preserve">Figure </w:t>
      </w:r>
      <w:fldSimple w:instr=" SEQ Figure \* ARABIC ">
        <w:r w:rsidR="00A307EC">
          <w:rPr>
            <w:noProof/>
          </w:rPr>
          <w:t>1</w:t>
        </w:r>
      </w:fldSimple>
      <w:bookmarkEnd w:id="37"/>
      <w:r w:rsidR="00450690">
        <w:rPr>
          <w:rFonts w:asciiTheme="minorHAnsi" w:hAnsiTheme="minorHAnsi"/>
        </w:rPr>
        <w:t>:</w:t>
      </w:r>
      <w:r w:rsidR="00450690">
        <w:rPr>
          <w:rFonts w:asciiTheme="minorHAnsi" w:hAnsiTheme="minorHAnsi"/>
        </w:rPr>
        <w:tab/>
      </w:r>
      <w:r w:rsidR="00450690" w:rsidRPr="00A90F8A">
        <w:rPr>
          <w:rFonts w:asciiTheme="minorHAnsi" w:hAnsiTheme="minorHAnsi"/>
        </w:rPr>
        <w:t>Fishermans Bend Precincts</w:t>
      </w:r>
      <w:bookmarkEnd w:id="38"/>
      <w:bookmarkEnd w:id="39"/>
    </w:p>
    <w:p w:rsidR="00450690" w:rsidRPr="00A90F8A" w:rsidRDefault="00450690" w:rsidP="00450690">
      <w:pPr>
        <w:keepNext/>
        <w:overflowPunct w:val="0"/>
        <w:autoSpaceDE w:val="0"/>
        <w:autoSpaceDN w:val="0"/>
        <w:adjustRightInd w:val="0"/>
        <w:spacing w:before="0" w:after="60"/>
        <w:textAlignment w:val="baseline"/>
        <w:rPr>
          <w:rFonts w:asciiTheme="minorHAnsi" w:hAnsiTheme="minorHAnsi"/>
        </w:rPr>
      </w:pPr>
      <w:r w:rsidRPr="00A90F8A">
        <w:rPr>
          <w:rFonts w:asciiTheme="minorHAnsi" w:hAnsiTheme="minorHAnsi"/>
          <w:noProof/>
        </w:rPr>
        <w:drawing>
          <wp:inline distT="0" distB="0" distL="0" distR="0" wp14:anchorId="14B290F3" wp14:editId="216F691C">
            <wp:extent cx="5759450" cy="3539544"/>
            <wp:effectExtent l="0" t="0" r="0" b="3810"/>
            <wp:docPr id="22" name="Picture 22" descr="A map depicting the five linked precincts of Montague, Lorimer, Sandridge, Wirraway and Employment Precinct." title="Figure 4. Fishermans Bend Precin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0917 FB precinct map"/>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759450" cy="3539544"/>
                    </a:xfrm>
                    <a:prstGeom prst="rect">
                      <a:avLst/>
                    </a:prstGeom>
                    <a:noFill/>
                    <a:ln>
                      <a:noFill/>
                    </a:ln>
                  </pic:spPr>
                </pic:pic>
              </a:graphicData>
            </a:graphic>
          </wp:inline>
        </w:drawing>
      </w:r>
    </w:p>
    <w:p w:rsidR="00450690" w:rsidRPr="001E2A06" w:rsidRDefault="00450690" w:rsidP="00450690">
      <w:pPr>
        <w:keepNext/>
        <w:overflowPunct w:val="0"/>
        <w:autoSpaceDE w:val="0"/>
        <w:autoSpaceDN w:val="0"/>
        <w:adjustRightInd w:val="0"/>
        <w:spacing w:before="0" w:after="60"/>
        <w:textAlignment w:val="baseline"/>
        <w:rPr>
          <w:rFonts w:asciiTheme="minorHAnsi" w:hAnsiTheme="minorHAnsi"/>
          <w:sz w:val="20"/>
          <w:szCs w:val="20"/>
        </w:rPr>
      </w:pPr>
      <w:r w:rsidRPr="001E2A06">
        <w:rPr>
          <w:rFonts w:asciiTheme="minorHAnsi" w:hAnsiTheme="minorHAnsi"/>
          <w:sz w:val="20"/>
          <w:szCs w:val="20"/>
        </w:rPr>
        <w:t>Source:</w:t>
      </w:r>
      <w:r w:rsidR="004C0CFF">
        <w:rPr>
          <w:rFonts w:asciiTheme="minorHAnsi" w:hAnsiTheme="minorHAnsi"/>
          <w:sz w:val="20"/>
          <w:szCs w:val="20"/>
        </w:rPr>
        <w:t xml:space="preserve"> draft</w:t>
      </w:r>
      <w:r w:rsidRPr="001E2A06">
        <w:rPr>
          <w:rFonts w:asciiTheme="minorHAnsi" w:hAnsiTheme="minorHAnsi"/>
          <w:sz w:val="20"/>
          <w:szCs w:val="20"/>
        </w:rPr>
        <w:t xml:space="preserve"> Framework, page 20</w:t>
      </w:r>
    </w:p>
    <w:p w:rsidR="00192607" w:rsidRPr="00D666FE" w:rsidRDefault="00CC5E3C" w:rsidP="00AD73C3">
      <w:pPr>
        <w:pStyle w:val="PPVBody"/>
        <w:rPr>
          <w:rFonts w:asciiTheme="minorHAnsi" w:hAnsiTheme="minorHAnsi"/>
        </w:rPr>
      </w:pPr>
      <w:r w:rsidRPr="00D666FE">
        <w:rPr>
          <w:rFonts w:asciiTheme="minorHAnsi" w:hAnsiTheme="minorHAnsi"/>
        </w:rPr>
        <w:t>The existing land use</w:t>
      </w:r>
      <w:r w:rsidR="00117F31">
        <w:rPr>
          <w:rFonts w:asciiTheme="minorHAnsi" w:hAnsiTheme="minorHAnsi"/>
        </w:rPr>
        <w:t>s</w:t>
      </w:r>
      <w:r w:rsidRPr="00D666FE">
        <w:rPr>
          <w:rFonts w:asciiTheme="minorHAnsi" w:hAnsiTheme="minorHAnsi"/>
        </w:rPr>
        <w:t xml:space="preserve"> in Fishermans Bend </w:t>
      </w:r>
      <w:r w:rsidR="006875DE">
        <w:rPr>
          <w:rFonts w:asciiTheme="minorHAnsi" w:hAnsiTheme="minorHAnsi"/>
        </w:rPr>
        <w:t xml:space="preserve">are </w:t>
      </w:r>
      <w:r w:rsidR="00192607" w:rsidRPr="00D666FE">
        <w:rPr>
          <w:rFonts w:asciiTheme="minorHAnsi" w:hAnsiTheme="minorHAnsi"/>
        </w:rPr>
        <w:t>predominantly industrial and commercial</w:t>
      </w:r>
      <w:r w:rsidRPr="00D666FE">
        <w:rPr>
          <w:rFonts w:asciiTheme="minorHAnsi" w:hAnsiTheme="minorHAnsi"/>
        </w:rPr>
        <w:t xml:space="preserve"> with a small amount of residential</w:t>
      </w:r>
      <w:r w:rsidR="00374E11" w:rsidRPr="00D666FE">
        <w:rPr>
          <w:rFonts w:asciiTheme="minorHAnsi" w:hAnsiTheme="minorHAnsi"/>
        </w:rPr>
        <w:t>.</w:t>
      </w:r>
      <w:r w:rsidR="00374E11">
        <w:rPr>
          <w:rFonts w:asciiTheme="minorHAnsi" w:hAnsiTheme="minorHAnsi"/>
        </w:rPr>
        <w:t xml:space="preserve">  </w:t>
      </w:r>
      <w:r w:rsidR="00374E11" w:rsidRPr="00D666FE">
        <w:rPr>
          <w:rFonts w:asciiTheme="minorHAnsi" w:hAnsiTheme="minorHAnsi"/>
        </w:rPr>
        <w:t>B</w:t>
      </w:r>
      <w:r w:rsidR="000A5990" w:rsidRPr="00D666FE">
        <w:rPr>
          <w:rFonts w:asciiTheme="minorHAnsi" w:hAnsiTheme="minorHAnsi"/>
        </w:rPr>
        <w:t xml:space="preserve">uilt form within the area </w:t>
      </w:r>
      <w:r w:rsidR="00C42263">
        <w:rPr>
          <w:rFonts w:asciiTheme="minorHAnsi" w:hAnsiTheme="minorHAnsi"/>
        </w:rPr>
        <w:t xml:space="preserve">largely </w:t>
      </w:r>
      <w:r w:rsidR="000A5990" w:rsidRPr="00D666FE">
        <w:rPr>
          <w:rFonts w:asciiTheme="minorHAnsi" w:hAnsiTheme="minorHAnsi"/>
        </w:rPr>
        <w:t>comprises low level industrial and commercial building stock.</w:t>
      </w:r>
      <w:r w:rsidR="00C4312E" w:rsidRPr="00D666FE">
        <w:rPr>
          <w:rFonts w:asciiTheme="minorHAnsi" w:hAnsiTheme="minorHAnsi"/>
        </w:rPr>
        <w:t xml:space="preserve">  </w:t>
      </w:r>
      <w:r w:rsidR="009E7A8B" w:rsidRPr="00D666FE">
        <w:rPr>
          <w:rFonts w:asciiTheme="minorHAnsi" w:hAnsiTheme="minorHAnsi"/>
        </w:rPr>
        <w:t>Land parcel</w:t>
      </w:r>
      <w:r w:rsidR="00C4312E" w:rsidRPr="00D666FE">
        <w:rPr>
          <w:rFonts w:asciiTheme="minorHAnsi" w:hAnsiTheme="minorHAnsi"/>
        </w:rPr>
        <w:t xml:space="preserve"> </w:t>
      </w:r>
      <w:r w:rsidR="009E7A8B" w:rsidRPr="00D666FE">
        <w:rPr>
          <w:rFonts w:asciiTheme="minorHAnsi" w:hAnsiTheme="minorHAnsi"/>
        </w:rPr>
        <w:t>sizes</w:t>
      </w:r>
      <w:r w:rsidR="00C4312E" w:rsidRPr="00D666FE">
        <w:rPr>
          <w:rFonts w:asciiTheme="minorHAnsi" w:hAnsiTheme="minorHAnsi"/>
        </w:rPr>
        <w:t xml:space="preserve"> vary from large sites through much of the area, to small, fragmented parcels in the Montague </w:t>
      </w:r>
      <w:r w:rsidR="006C32DA">
        <w:rPr>
          <w:rFonts w:asciiTheme="minorHAnsi" w:hAnsiTheme="minorHAnsi"/>
        </w:rPr>
        <w:t>P</w:t>
      </w:r>
      <w:r w:rsidR="00C4312E" w:rsidRPr="00D666FE">
        <w:rPr>
          <w:rFonts w:asciiTheme="minorHAnsi" w:hAnsiTheme="minorHAnsi"/>
        </w:rPr>
        <w:t>recinct.</w:t>
      </w:r>
      <w:r w:rsidR="00C42263">
        <w:rPr>
          <w:rFonts w:asciiTheme="minorHAnsi" w:hAnsiTheme="minorHAnsi"/>
        </w:rPr>
        <w:t xml:space="preserve">  There are some higher rise modern buildings.</w:t>
      </w:r>
    </w:p>
    <w:p w:rsidR="00D666FE" w:rsidRPr="00D666FE" w:rsidRDefault="00D666FE" w:rsidP="00D666FE">
      <w:pPr>
        <w:pStyle w:val="PPVBody"/>
        <w:rPr>
          <w:rFonts w:asciiTheme="minorHAnsi" w:hAnsiTheme="minorHAnsi"/>
        </w:rPr>
      </w:pPr>
      <w:r w:rsidRPr="00D666FE">
        <w:rPr>
          <w:rFonts w:asciiTheme="minorHAnsi" w:hAnsiTheme="minorHAnsi"/>
        </w:rPr>
        <w:lastRenderedPageBreak/>
        <w:t>The majority</w:t>
      </w:r>
      <w:r w:rsidR="00F243A8">
        <w:rPr>
          <w:rFonts w:asciiTheme="minorHAnsi" w:hAnsiTheme="minorHAnsi"/>
        </w:rPr>
        <w:t xml:space="preserve"> of land (approximately 90 per cent</w:t>
      </w:r>
      <w:r w:rsidR="00667D5D">
        <w:rPr>
          <w:rFonts w:asciiTheme="minorHAnsi" w:hAnsiTheme="minorHAnsi"/>
        </w:rPr>
        <w:t xml:space="preserve"> and approximately 300 landowners</w:t>
      </w:r>
      <w:r w:rsidR="00F243A8">
        <w:rPr>
          <w:rFonts w:asciiTheme="minorHAnsi" w:hAnsiTheme="minorHAnsi"/>
        </w:rPr>
        <w:t>)</w:t>
      </w:r>
      <w:r w:rsidRPr="00D666FE">
        <w:rPr>
          <w:rFonts w:asciiTheme="minorHAnsi" w:hAnsiTheme="minorHAnsi"/>
        </w:rPr>
        <w:t xml:space="preserve"> is in fragmented private ownership.  It is home to several major businesses</w:t>
      </w:r>
      <w:r w:rsidR="00667D5D">
        <w:rPr>
          <w:rFonts w:asciiTheme="minorHAnsi" w:hAnsiTheme="minorHAnsi"/>
        </w:rPr>
        <w:t>.</w:t>
      </w:r>
    </w:p>
    <w:p w:rsidR="00E4382F" w:rsidRPr="00D666FE" w:rsidRDefault="00E4382F" w:rsidP="00E4382F">
      <w:pPr>
        <w:pStyle w:val="PPVBody"/>
        <w:rPr>
          <w:rFonts w:asciiTheme="minorHAnsi" w:hAnsiTheme="minorHAnsi"/>
        </w:rPr>
      </w:pPr>
      <w:r w:rsidRPr="00D666FE">
        <w:rPr>
          <w:rFonts w:asciiTheme="minorHAnsi" w:hAnsiTheme="minorHAnsi"/>
        </w:rPr>
        <w:t xml:space="preserve">There are </w:t>
      </w:r>
      <w:r>
        <w:rPr>
          <w:rFonts w:asciiTheme="minorHAnsi" w:hAnsiTheme="minorHAnsi"/>
        </w:rPr>
        <w:t xml:space="preserve">three </w:t>
      </w:r>
      <w:r w:rsidRPr="00D666FE">
        <w:rPr>
          <w:rFonts w:asciiTheme="minorHAnsi" w:hAnsiTheme="minorHAnsi"/>
        </w:rPr>
        <w:t>major freight transport routes</w:t>
      </w:r>
      <w:r>
        <w:rPr>
          <w:rFonts w:asciiTheme="minorHAnsi" w:hAnsiTheme="minorHAnsi"/>
        </w:rPr>
        <w:t xml:space="preserve"> that run through or adjacent to Fishermans Bend – Lorimer Street, Plummer Street</w:t>
      </w:r>
      <w:r w:rsidRPr="00D666FE">
        <w:rPr>
          <w:rFonts w:asciiTheme="minorHAnsi" w:hAnsiTheme="minorHAnsi"/>
        </w:rPr>
        <w:t xml:space="preserve"> </w:t>
      </w:r>
      <w:r>
        <w:rPr>
          <w:rFonts w:asciiTheme="minorHAnsi" w:hAnsiTheme="minorHAnsi"/>
        </w:rPr>
        <w:t>and Williamstown Road</w:t>
      </w:r>
      <w:r w:rsidRPr="00D666FE">
        <w:rPr>
          <w:rFonts w:asciiTheme="minorHAnsi" w:hAnsiTheme="minorHAnsi"/>
        </w:rPr>
        <w:t xml:space="preserve">.  </w:t>
      </w:r>
      <w:r>
        <w:rPr>
          <w:rFonts w:asciiTheme="minorHAnsi" w:hAnsiTheme="minorHAnsi"/>
        </w:rPr>
        <w:t xml:space="preserve">There are elevated crossings over the </w:t>
      </w:r>
      <w:r w:rsidRPr="00D666FE">
        <w:rPr>
          <w:rFonts w:asciiTheme="minorHAnsi" w:hAnsiTheme="minorHAnsi"/>
        </w:rPr>
        <w:t>West</w:t>
      </w:r>
      <w:r>
        <w:rPr>
          <w:rFonts w:asciiTheme="minorHAnsi" w:hAnsiTheme="minorHAnsi"/>
        </w:rPr>
        <w:t xml:space="preserve"> G</w:t>
      </w:r>
      <w:r w:rsidRPr="00D666FE">
        <w:rPr>
          <w:rFonts w:asciiTheme="minorHAnsi" w:hAnsiTheme="minorHAnsi"/>
        </w:rPr>
        <w:t>ate Freeway at Salmon and Ingles Streets</w:t>
      </w:r>
      <w:r>
        <w:rPr>
          <w:rFonts w:asciiTheme="minorHAnsi" w:hAnsiTheme="minorHAnsi"/>
        </w:rPr>
        <w:t>,</w:t>
      </w:r>
      <w:r w:rsidRPr="00D666FE">
        <w:rPr>
          <w:rFonts w:asciiTheme="minorHAnsi" w:hAnsiTheme="minorHAnsi"/>
        </w:rPr>
        <w:t xml:space="preserve"> as well as West</w:t>
      </w:r>
      <w:r>
        <w:rPr>
          <w:rFonts w:asciiTheme="minorHAnsi" w:hAnsiTheme="minorHAnsi"/>
        </w:rPr>
        <w:t xml:space="preserve"> G</w:t>
      </w:r>
      <w:r w:rsidRPr="00D666FE">
        <w:rPr>
          <w:rFonts w:asciiTheme="minorHAnsi" w:hAnsiTheme="minorHAnsi"/>
        </w:rPr>
        <w:t>ate Freeway access points at Todd Road and Montague Street.</w:t>
      </w:r>
      <w:r>
        <w:rPr>
          <w:rFonts w:asciiTheme="minorHAnsi" w:hAnsiTheme="minorHAnsi"/>
        </w:rPr>
        <w:t xml:space="preserve"> </w:t>
      </w:r>
      <w:r w:rsidRPr="00D666FE">
        <w:rPr>
          <w:rFonts w:asciiTheme="minorHAnsi" w:hAnsiTheme="minorHAnsi"/>
        </w:rPr>
        <w:t xml:space="preserve"> </w:t>
      </w:r>
      <w:r>
        <w:rPr>
          <w:rFonts w:asciiTheme="minorHAnsi" w:hAnsiTheme="minorHAnsi"/>
        </w:rPr>
        <w:t>A</w:t>
      </w:r>
      <w:r w:rsidRPr="00D666FE">
        <w:rPr>
          <w:rFonts w:asciiTheme="minorHAnsi" w:hAnsiTheme="minorHAnsi"/>
        </w:rPr>
        <w:t xml:space="preserve"> light rail line</w:t>
      </w:r>
      <w:r>
        <w:rPr>
          <w:rFonts w:asciiTheme="minorHAnsi" w:hAnsiTheme="minorHAnsi"/>
        </w:rPr>
        <w:t xml:space="preserve"> exists</w:t>
      </w:r>
      <w:r w:rsidRPr="00D666FE">
        <w:rPr>
          <w:rFonts w:asciiTheme="minorHAnsi" w:hAnsiTheme="minorHAnsi"/>
        </w:rPr>
        <w:t xml:space="preserve"> along Montague Street</w:t>
      </w:r>
      <w:r>
        <w:rPr>
          <w:rFonts w:asciiTheme="minorHAnsi" w:hAnsiTheme="minorHAnsi"/>
        </w:rPr>
        <w:t xml:space="preserve">, in addition to </w:t>
      </w:r>
      <w:r w:rsidRPr="00D666FE">
        <w:rPr>
          <w:rFonts w:asciiTheme="minorHAnsi" w:hAnsiTheme="minorHAnsi"/>
        </w:rPr>
        <w:t xml:space="preserve">one bus </w:t>
      </w:r>
      <w:r>
        <w:rPr>
          <w:rFonts w:asciiTheme="minorHAnsi" w:hAnsiTheme="minorHAnsi"/>
        </w:rPr>
        <w:t>route</w:t>
      </w:r>
      <w:r w:rsidRPr="00D666FE">
        <w:rPr>
          <w:rFonts w:asciiTheme="minorHAnsi" w:hAnsiTheme="minorHAnsi"/>
        </w:rPr>
        <w:t xml:space="preserve"> </w:t>
      </w:r>
      <w:r>
        <w:rPr>
          <w:rFonts w:asciiTheme="minorHAnsi" w:hAnsiTheme="minorHAnsi"/>
        </w:rPr>
        <w:t xml:space="preserve">which services the </w:t>
      </w:r>
      <w:r w:rsidRPr="00D666FE">
        <w:rPr>
          <w:rFonts w:asciiTheme="minorHAnsi" w:hAnsiTheme="minorHAnsi"/>
        </w:rPr>
        <w:t>area.</w:t>
      </w:r>
    </w:p>
    <w:p w:rsidR="00E4382F" w:rsidRPr="00D666FE" w:rsidRDefault="00E4382F" w:rsidP="00E4382F">
      <w:pPr>
        <w:pStyle w:val="PPVBody"/>
        <w:rPr>
          <w:rFonts w:asciiTheme="minorHAnsi" w:hAnsiTheme="minorHAnsi"/>
        </w:rPr>
      </w:pPr>
      <w:r>
        <w:rPr>
          <w:rFonts w:asciiTheme="minorHAnsi" w:hAnsiTheme="minorHAnsi"/>
        </w:rPr>
        <w:t>Some key</w:t>
      </w:r>
      <w:r w:rsidRPr="00D666FE">
        <w:rPr>
          <w:rFonts w:asciiTheme="minorHAnsi" w:hAnsiTheme="minorHAnsi"/>
        </w:rPr>
        <w:t xml:space="preserve"> </w:t>
      </w:r>
      <w:r>
        <w:rPr>
          <w:rFonts w:asciiTheme="minorHAnsi" w:hAnsiTheme="minorHAnsi"/>
        </w:rPr>
        <w:t xml:space="preserve">land use </w:t>
      </w:r>
      <w:r w:rsidRPr="00D666FE">
        <w:rPr>
          <w:rFonts w:asciiTheme="minorHAnsi" w:hAnsiTheme="minorHAnsi"/>
        </w:rPr>
        <w:t xml:space="preserve">factors </w:t>
      </w:r>
      <w:r>
        <w:rPr>
          <w:rFonts w:asciiTheme="minorHAnsi" w:hAnsiTheme="minorHAnsi"/>
        </w:rPr>
        <w:t>that</w:t>
      </w:r>
      <w:r w:rsidRPr="00D666FE">
        <w:rPr>
          <w:rFonts w:asciiTheme="minorHAnsi" w:hAnsiTheme="minorHAnsi"/>
        </w:rPr>
        <w:t xml:space="preserve"> influence Fishermans Bend’s future development</w:t>
      </w:r>
      <w:r>
        <w:rPr>
          <w:rFonts w:asciiTheme="minorHAnsi" w:hAnsiTheme="minorHAnsi"/>
        </w:rPr>
        <w:t xml:space="preserve"> include</w:t>
      </w:r>
      <w:r w:rsidRPr="00D666FE">
        <w:rPr>
          <w:rFonts w:asciiTheme="minorHAnsi" w:hAnsiTheme="minorHAnsi"/>
        </w:rPr>
        <w:t>:</w:t>
      </w:r>
    </w:p>
    <w:p w:rsidR="00E4382F" w:rsidRPr="00D666FE" w:rsidRDefault="00E4382F" w:rsidP="00E4382F">
      <w:pPr>
        <w:pStyle w:val="PPVBullet1"/>
      </w:pPr>
      <w:r w:rsidRPr="00D666FE">
        <w:rPr>
          <w:rFonts w:asciiTheme="minorHAnsi" w:hAnsiTheme="minorHAnsi"/>
        </w:rPr>
        <w:t>much of the area is comprised of large</w:t>
      </w:r>
      <w:r>
        <w:rPr>
          <w:rFonts w:asciiTheme="minorHAnsi" w:hAnsiTheme="minorHAnsi"/>
        </w:rPr>
        <w:t xml:space="preserve"> </w:t>
      </w:r>
      <w:r w:rsidRPr="00D666FE">
        <w:rPr>
          <w:rFonts w:asciiTheme="minorHAnsi" w:hAnsiTheme="minorHAnsi"/>
        </w:rPr>
        <w:t>industrial lots and wide roads designed for industrial transport</w:t>
      </w:r>
    </w:p>
    <w:p w:rsidR="00E4382F" w:rsidRPr="00D666FE" w:rsidRDefault="00E4382F" w:rsidP="00E4382F">
      <w:pPr>
        <w:pStyle w:val="PPVBullet1"/>
      </w:pPr>
      <w:r w:rsidRPr="00D666FE">
        <w:t>the vast majority of the land is privately owned</w:t>
      </w:r>
      <w:r>
        <w:t>,</w:t>
      </w:r>
      <w:r w:rsidRPr="00D666FE">
        <w:t xml:space="preserve"> and ownership is fragmented</w:t>
      </w:r>
    </w:p>
    <w:p w:rsidR="00E4382F" w:rsidRDefault="00E4382F" w:rsidP="00E4382F">
      <w:pPr>
        <w:pStyle w:val="PPVBullet1"/>
      </w:pPr>
      <w:r w:rsidRPr="00D666FE">
        <w:t>much of the area has challenging geotechnical factors and land and groundwater contamination due to past industrial practices</w:t>
      </w:r>
    </w:p>
    <w:p w:rsidR="00E4382F" w:rsidRPr="00D666FE" w:rsidRDefault="00E4382F" w:rsidP="00E4382F">
      <w:pPr>
        <w:pStyle w:val="PPVBullet1"/>
      </w:pPr>
      <w:r>
        <w:t>large areas are subject to flooding</w:t>
      </w:r>
    </w:p>
    <w:p w:rsidR="00E4382F" w:rsidRPr="00D666FE" w:rsidRDefault="00E4382F" w:rsidP="00E4382F">
      <w:pPr>
        <w:pStyle w:val="PPVBullet1"/>
      </w:pPr>
      <w:r w:rsidRPr="00D666FE">
        <w:t>public open space, community infrastructure</w:t>
      </w:r>
      <w:r>
        <w:t>, public transport and</w:t>
      </w:r>
      <w:r w:rsidRPr="00D666FE">
        <w:t xml:space="preserve"> residential amenity</w:t>
      </w:r>
      <w:r>
        <w:t xml:space="preserve"> are currently limited</w:t>
      </w:r>
    </w:p>
    <w:p w:rsidR="00E4382F" w:rsidRPr="00D666FE" w:rsidRDefault="00E4382F" w:rsidP="00E4382F">
      <w:pPr>
        <w:pStyle w:val="PPVBullet1"/>
      </w:pPr>
      <w:r>
        <w:t xml:space="preserve">the area is bound to the south </w:t>
      </w:r>
      <w:r w:rsidRPr="00D666FE">
        <w:t>by exist</w:t>
      </w:r>
      <w:r>
        <w:t>ing low</w:t>
      </w:r>
      <w:r w:rsidR="00165DB1">
        <w:t>-</w:t>
      </w:r>
      <w:r>
        <w:t>rise residential areas,</w:t>
      </w:r>
      <w:r w:rsidRPr="00737E8A">
        <w:t xml:space="preserve"> </w:t>
      </w:r>
      <w:r>
        <w:t>and to the east by more intensive residential development in Southbank.</w:t>
      </w:r>
    </w:p>
    <w:p w:rsidR="00785416" w:rsidRDefault="00126224" w:rsidP="00DD6314">
      <w:pPr>
        <w:pStyle w:val="Heading2"/>
      </w:pPr>
      <w:bookmarkStart w:id="40" w:name="_Toc519710238"/>
      <w:bookmarkStart w:id="41" w:name="_Toc519766798"/>
      <w:r w:rsidRPr="00D666FE">
        <w:t xml:space="preserve">Planning </w:t>
      </w:r>
      <w:r w:rsidR="006875DE">
        <w:t>h</w:t>
      </w:r>
      <w:r w:rsidRPr="00D666FE">
        <w:t>istory</w:t>
      </w:r>
      <w:r w:rsidR="000438D8" w:rsidRPr="00D666FE">
        <w:t xml:space="preserve"> of </w:t>
      </w:r>
      <w:r w:rsidR="00D666FE" w:rsidRPr="00D666FE">
        <w:t>Fishermans Bend</w:t>
      </w:r>
      <w:bookmarkEnd w:id="40"/>
      <w:bookmarkEnd w:id="41"/>
    </w:p>
    <w:p w:rsidR="00E4382F" w:rsidRPr="00D666FE" w:rsidRDefault="00E4382F" w:rsidP="00E4382F">
      <w:pPr>
        <w:pStyle w:val="PPVBody"/>
        <w:rPr>
          <w:rFonts w:asciiTheme="minorHAnsi" w:hAnsiTheme="minorHAnsi"/>
        </w:rPr>
      </w:pPr>
      <w:r>
        <w:rPr>
          <w:rFonts w:asciiTheme="minorHAnsi" w:hAnsiTheme="minorHAnsi"/>
        </w:rPr>
        <w:t xml:space="preserve">Fishermans Bend </w:t>
      </w:r>
      <w:r w:rsidRPr="00D666FE">
        <w:rPr>
          <w:rFonts w:asciiTheme="minorHAnsi" w:hAnsiTheme="minorHAnsi"/>
        </w:rPr>
        <w:t>has had a short</w:t>
      </w:r>
      <w:r>
        <w:rPr>
          <w:rFonts w:asciiTheme="minorHAnsi" w:hAnsiTheme="minorHAnsi"/>
        </w:rPr>
        <w:t xml:space="preserve"> but detailed planning history.  </w:t>
      </w:r>
      <w:r w:rsidRPr="00D666FE">
        <w:rPr>
          <w:rFonts w:asciiTheme="minorHAnsi" w:hAnsiTheme="minorHAnsi"/>
        </w:rPr>
        <w:t xml:space="preserve">On 5 July 2012, the </w:t>
      </w:r>
      <w:r>
        <w:rPr>
          <w:rFonts w:asciiTheme="minorHAnsi" w:hAnsiTheme="minorHAnsi"/>
        </w:rPr>
        <w:t xml:space="preserve">(former) </w:t>
      </w:r>
      <w:r w:rsidRPr="00D666FE">
        <w:rPr>
          <w:rFonts w:asciiTheme="minorHAnsi" w:hAnsiTheme="minorHAnsi"/>
        </w:rPr>
        <w:t>Minister declared Fishermans Bend a ‘Project of State Significance’, pursuant to section</w:t>
      </w:r>
      <w:r>
        <w:rPr>
          <w:rFonts w:asciiTheme="minorHAnsi" w:hAnsiTheme="minorHAnsi"/>
        </w:rPr>
        <w:t xml:space="preserve"> 201(f) of the </w:t>
      </w:r>
      <w:r w:rsidRPr="002D1D6D">
        <w:rPr>
          <w:rFonts w:asciiTheme="minorHAnsi" w:hAnsiTheme="minorHAnsi"/>
          <w:i/>
        </w:rPr>
        <w:t>Planning and Environment Act 1987</w:t>
      </w:r>
      <w:r>
        <w:rPr>
          <w:rFonts w:asciiTheme="minorHAnsi" w:hAnsiTheme="minorHAnsi"/>
        </w:rPr>
        <w:t xml:space="preserve"> (the Act)</w:t>
      </w:r>
      <w:r w:rsidRPr="00D666FE">
        <w:rPr>
          <w:rFonts w:asciiTheme="minorHAnsi" w:hAnsiTheme="minorHAnsi"/>
        </w:rPr>
        <w:t xml:space="preserve">.  </w:t>
      </w:r>
      <w:r w:rsidR="00C42263">
        <w:rPr>
          <w:rFonts w:asciiTheme="minorHAnsi" w:hAnsiTheme="minorHAnsi"/>
        </w:rPr>
        <w:t>O</w:t>
      </w:r>
      <w:r>
        <w:rPr>
          <w:rFonts w:asciiTheme="minorHAnsi" w:hAnsiTheme="minorHAnsi"/>
        </w:rPr>
        <w:t>n 29 June 2012, he</w:t>
      </w:r>
      <w:r w:rsidRPr="00D666FE">
        <w:rPr>
          <w:rFonts w:asciiTheme="minorHAnsi" w:hAnsiTheme="minorHAnsi"/>
        </w:rPr>
        <w:t xml:space="preserve"> approved Amendment C170 to the Melbourne Planning Scheme and Amendment C102 to the Port Phillip Planning Scheme</w:t>
      </w:r>
      <w:r>
        <w:rPr>
          <w:rFonts w:asciiTheme="minorHAnsi" w:hAnsiTheme="minorHAnsi"/>
        </w:rPr>
        <w:t>,</w:t>
      </w:r>
      <w:r w:rsidRPr="00D666FE">
        <w:rPr>
          <w:rFonts w:asciiTheme="minorHAnsi" w:hAnsiTheme="minorHAnsi"/>
        </w:rPr>
        <w:t xml:space="preserve"> to rezone the land </w:t>
      </w:r>
      <w:r>
        <w:rPr>
          <w:rFonts w:asciiTheme="minorHAnsi" w:hAnsiTheme="minorHAnsi"/>
        </w:rPr>
        <w:t xml:space="preserve">in </w:t>
      </w:r>
      <w:r w:rsidRPr="00D666FE">
        <w:rPr>
          <w:rFonts w:asciiTheme="minorHAnsi" w:hAnsiTheme="minorHAnsi"/>
        </w:rPr>
        <w:t xml:space="preserve">the Montague, Lorimer, Wirraway and Sandridge Precincts to the </w:t>
      </w:r>
      <w:r>
        <w:rPr>
          <w:rFonts w:asciiTheme="minorHAnsi" w:hAnsiTheme="minorHAnsi"/>
        </w:rPr>
        <w:t>CCZ, and to make the (then) Metropolitan Planning Authority responsible authority for applications over certain thresholds</w:t>
      </w:r>
      <w:r w:rsidRPr="00D666FE">
        <w:rPr>
          <w:rFonts w:asciiTheme="minorHAnsi" w:hAnsiTheme="minorHAnsi"/>
        </w:rPr>
        <w:t xml:space="preserve">.  The rezoning occurred in the absence of </w:t>
      </w:r>
      <w:r>
        <w:rPr>
          <w:rFonts w:asciiTheme="minorHAnsi" w:hAnsiTheme="minorHAnsi"/>
        </w:rPr>
        <w:t xml:space="preserve">a strategic </w:t>
      </w:r>
      <w:r w:rsidRPr="00D666FE">
        <w:rPr>
          <w:rFonts w:asciiTheme="minorHAnsi" w:hAnsiTheme="minorHAnsi"/>
        </w:rPr>
        <w:t xml:space="preserve">framework </w:t>
      </w:r>
      <w:r>
        <w:rPr>
          <w:rFonts w:asciiTheme="minorHAnsi" w:hAnsiTheme="minorHAnsi"/>
        </w:rPr>
        <w:t>or</w:t>
      </w:r>
      <w:r w:rsidRPr="00D666FE">
        <w:rPr>
          <w:rFonts w:asciiTheme="minorHAnsi" w:hAnsiTheme="minorHAnsi"/>
        </w:rPr>
        <w:t xml:space="preserve"> </w:t>
      </w:r>
      <w:r>
        <w:rPr>
          <w:rFonts w:asciiTheme="minorHAnsi" w:hAnsiTheme="minorHAnsi"/>
        </w:rPr>
        <w:t xml:space="preserve">comprehensive </w:t>
      </w:r>
      <w:r w:rsidRPr="00D666FE">
        <w:rPr>
          <w:rFonts w:asciiTheme="minorHAnsi" w:hAnsiTheme="minorHAnsi"/>
        </w:rPr>
        <w:t>development guidelines.</w:t>
      </w:r>
    </w:p>
    <w:p w:rsidR="00E4382F" w:rsidRPr="00D666FE" w:rsidRDefault="00E4382F" w:rsidP="00E4382F">
      <w:pPr>
        <w:pStyle w:val="Heading4"/>
        <w:rPr>
          <w:rFonts w:asciiTheme="minorHAnsi" w:hAnsiTheme="minorHAnsi"/>
        </w:rPr>
      </w:pPr>
      <w:r w:rsidRPr="00D666FE">
        <w:rPr>
          <w:rFonts w:asciiTheme="minorHAnsi" w:hAnsiTheme="minorHAnsi"/>
        </w:rPr>
        <w:t>Fishermans Bend Urban Renewal Area Draft Vision, 2013</w:t>
      </w:r>
    </w:p>
    <w:p w:rsidR="00E4382F" w:rsidRPr="00D666FE" w:rsidRDefault="00E4382F" w:rsidP="00E4382F">
      <w:pPr>
        <w:pStyle w:val="PPVBody"/>
        <w:rPr>
          <w:rFonts w:asciiTheme="minorHAnsi" w:hAnsiTheme="minorHAnsi"/>
        </w:rPr>
      </w:pPr>
      <w:r w:rsidRPr="00D666FE">
        <w:rPr>
          <w:rFonts w:asciiTheme="minorHAnsi" w:hAnsiTheme="minorHAnsi"/>
        </w:rPr>
        <w:t xml:space="preserve">In September 2013, the </w:t>
      </w:r>
      <w:r w:rsidRPr="00D666FE">
        <w:rPr>
          <w:rFonts w:asciiTheme="minorHAnsi" w:hAnsiTheme="minorHAnsi"/>
          <w:i/>
        </w:rPr>
        <w:t>Fishermans Bend Urban Renewal Area Draft Vision</w:t>
      </w:r>
      <w:r w:rsidRPr="00D666FE">
        <w:rPr>
          <w:rFonts w:asciiTheme="minorHAnsi" w:hAnsiTheme="minorHAnsi"/>
        </w:rPr>
        <w:t xml:space="preserve"> was released by Places Victoria </w:t>
      </w:r>
      <w:r>
        <w:rPr>
          <w:rFonts w:asciiTheme="minorHAnsi" w:hAnsiTheme="minorHAnsi"/>
        </w:rPr>
        <w:t>in collaboration with the S</w:t>
      </w:r>
      <w:r w:rsidRPr="00D666FE">
        <w:rPr>
          <w:rFonts w:asciiTheme="minorHAnsi" w:hAnsiTheme="minorHAnsi"/>
        </w:rPr>
        <w:t xml:space="preserve">tate </w:t>
      </w:r>
      <w:r>
        <w:rPr>
          <w:rFonts w:asciiTheme="minorHAnsi" w:hAnsiTheme="minorHAnsi"/>
        </w:rPr>
        <w:t>G</w:t>
      </w:r>
      <w:r w:rsidRPr="00D666FE">
        <w:rPr>
          <w:rFonts w:asciiTheme="minorHAnsi" w:hAnsiTheme="minorHAnsi"/>
        </w:rPr>
        <w:t xml:space="preserve">overnment, Port Phillip, Melbourne and the Office of the Victorian Government Architect.  </w:t>
      </w:r>
      <w:r>
        <w:rPr>
          <w:rFonts w:asciiTheme="minorHAnsi" w:hAnsiTheme="minorHAnsi"/>
        </w:rPr>
        <w:t>It</w:t>
      </w:r>
      <w:r w:rsidRPr="00D666FE">
        <w:rPr>
          <w:rFonts w:asciiTheme="minorHAnsi" w:hAnsiTheme="minorHAnsi"/>
        </w:rPr>
        <w:t xml:space="preserve"> outline</w:t>
      </w:r>
      <w:r>
        <w:rPr>
          <w:rFonts w:asciiTheme="minorHAnsi" w:hAnsiTheme="minorHAnsi"/>
        </w:rPr>
        <w:t>d</w:t>
      </w:r>
      <w:r w:rsidRPr="00D666FE">
        <w:rPr>
          <w:rFonts w:asciiTheme="minorHAnsi" w:hAnsiTheme="minorHAnsi"/>
        </w:rPr>
        <w:t xml:space="preserve"> key aspirations and qualities for Fishermans Bend</w:t>
      </w:r>
      <w:r>
        <w:rPr>
          <w:rFonts w:asciiTheme="minorHAnsi" w:hAnsiTheme="minorHAnsi"/>
        </w:rPr>
        <w:t>:</w:t>
      </w:r>
    </w:p>
    <w:p w:rsidR="00E4382F" w:rsidRPr="00D666FE" w:rsidRDefault="00E4382F" w:rsidP="00E4382F">
      <w:pPr>
        <w:pStyle w:val="PPVQuote"/>
        <w:rPr>
          <w:rFonts w:asciiTheme="minorHAnsi" w:hAnsiTheme="minorHAnsi"/>
        </w:rPr>
      </w:pPr>
      <w:r w:rsidRPr="00D666FE">
        <w:rPr>
          <w:rFonts w:asciiTheme="minorHAnsi" w:hAnsiTheme="minorHAnsi"/>
        </w:rPr>
        <w:t>The Fishermans Bend Urban Renewal Area provides a unique opportunity to expand Melbourne Central City to the south</w:t>
      </w:r>
      <w:r>
        <w:rPr>
          <w:rFonts w:asciiTheme="minorHAnsi" w:hAnsiTheme="minorHAnsi"/>
        </w:rPr>
        <w:t>west</w:t>
      </w:r>
      <w:r w:rsidRPr="00D666FE">
        <w:rPr>
          <w:rFonts w:asciiTheme="minorHAnsi" w:hAnsiTheme="minorHAnsi"/>
        </w:rPr>
        <w:t>, connecting the existing Central Business District to Port Phillip Bay.</w:t>
      </w:r>
      <w:r>
        <w:rPr>
          <w:rFonts w:asciiTheme="minorHAnsi" w:hAnsiTheme="minorHAnsi"/>
        </w:rPr>
        <w:t xml:space="preserve">  </w:t>
      </w:r>
      <w:r w:rsidRPr="00D666FE">
        <w:rPr>
          <w:rFonts w:asciiTheme="minorHAnsi" w:hAnsiTheme="minorHAnsi"/>
        </w:rPr>
        <w:t>By 2050, Fishermans Bend could accommodate up to 40,000 new jobs and 80,000 residents.</w:t>
      </w:r>
      <w:r w:rsidRPr="00820B43">
        <w:rPr>
          <w:rStyle w:val="FootnoteReference"/>
          <w:rFonts w:asciiTheme="minorHAnsi" w:hAnsiTheme="minorHAnsi"/>
          <w:i w:val="0"/>
        </w:rPr>
        <w:footnoteReference w:id="7"/>
      </w:r>
    </w:p>
    <w:p w:rsidR="00E4382F" w:rsidRDefault="00E4382F" w:rsidP="00E4382F">
      <w:pPr>
        <w:pStyle w:val="PPVBody"/>
        <w:rPr>
          <w:rFonts w:asciiTheme="minorHAnsi" w:hAnsiTheme="minorHAnsi"/>
        </w:rPr>
      </w:pPr>
      <w:r w:rsidRPr="00D666FE">
        <w:rPr>
          <w:rFonts w:asciiTheme="minorHAnsi" w:hAnsiTheme="minorHAnsi"/>
        </w:rPr>
        <w:t>It anticipated 24,000 new residents by 2025 and 80,000 new residents by 2050.</w:t>
      </w:r>
      <w:r w:rsidRPr="00820B43">
        <w:rPr>
          <w:rStyle w:val="FootnoteReference"/>
        </w:rPr>
        <w:footnoteReference w:id="8"/>
      </w:r>
    </w:p>
    <w:p w:rsidR="00E4382F" w:rsidRPr="00A90F8A" w:rsidRDefault="00E4382F" w:rsidP="00E4382F">
      <w:pPr>
        <w:pStyle w:val="PPVBody"/>
        <w:rPr>
          <w:rFonts w:asciiTheme="minorHAnsi" w:hAnsiTheme="minorHAnsi"/>
        </w:rPr>
      </w:pPr>
      <w:r w:rsidRPr="00D666FE">
        <w:rPr>
          <w:rFonts w:asciiTheme="minorHAnsi" w:hAnsiTheme="minorHAnsi"/>
        </w:rPr>
        <w:t>The draft Visio</w:t>
      </w:r>
      <w:r>
        <w:rPr>
          <w:rFonts w:asciiTheme="minorHAnsi" w:hAnsiTheme="minorHAnsi"/>
        </w:rPr>
        <w:t>n covered the four CCZ Precincts</w:t>
      </w:r>
      <w:r w:rsidRPr="00D666FE">
        <w:rPr>
          <w:rFonts w:asciiTheme="minorHAnsi" w:hAnsiTheme="minorHAnsi"/>
        </w:rPr>
        <w:t>, but did not in</w:t>
      </w:r>
      <w:r>
        <w:rPr>
          <w:rFonts w:asciiTheme="minorHAnsi" w:hAnsiTheme="minorHAnsi"/>
        </w:rPr>
        <w:t>clude the Employment Precinct</w:t>
      </w:r>
      <w:r w:rsidRPr="00D666FE">
        <w:rPr>
          <w:rFonts w:asciiTheme="minorHAnsi" w:hAnsiTheme="minorHAnsi"/>
        </w:rPr>
        <w:t>.  Th</w:t>
      </w:r>
      <w:r>
        <w:rPr>
          <w:rFonts w:asciiTheme="minorHAnsi" w:hAnsiTheme="minorHAnsi"/>
        </w:rPr>
        <w:t xml:space="preserve">e Employment Precinct was added </w:t>
      </w:r>
      <w:r w:rsidRPr="00D666FE">
        <w:rPr>
          <w:rFonts w:asciiTheme="minorHAnsi" w:hAnsiTheme="minorHAnsi"/>
        </w:rPr>
        <w:t>in 2015.</w:t>
      </w:r>
    </w:p>
    <w:p w:rsidR="00E4382F" w:rsidRPr="00A90F8A" w:rsidRDefault="00E4382F" w:rsidP="00E4382F">
      <w:pPr>
        <w:pStyle w:val="Heading4"/>
        <w:rPr>
          <w:rFonts w:asciiTheme="minorHAnsi" w:hAnsiTheme="minorHAnsi"/>
        </w:rPr>
      </w:pPr>
      <w:r>
        <w:rPr>
          <w:rFonts w:asciiTheme="minorHAnsi" w:hAnsiTheme="minorHAnsi"/>
        </w:rPr>
        <w:lastRenderedPageBreak/>
        <w:t xml:space="preserve">Amendment GC7 and the </w:t>
      </w:r>
      <w:r w:rsidRPr="00A90F8A">
        <w:rPr>
          <w:rFonts w:asciiTheme="minorHAnsi" w:hAnsiTheme="minorHAnsi"/>
        </w:rPr>
        <w:t>Fishermans Bend Strategic Framework Plan, 2014</w:t>
      </w:r>
    </w:p>
    <w:p w:rsidR="00E4382F" w:rsidRDefault="00E4382F" w:rsidP="00E4382F">
      <w:pPr>
        <w:pStyle w:val="PPVBody"/>
        <w:rPr>
          <w:rFonts w:asciiTheme="minorHAnsi" w:hAnsiTheme="minorHAnsi"/>
        </w:rPr>
      </w:pPr>
      <w:r w:rsidRPr="00A90F8A">
        <w:rPr>
          <w:rFonts w:asciiTheme="minorHAnsi" w:hAnsiTheme="minorHAnsi"/>
        </w:rPr>
        <w:t xml:space="preserve">In July 2014, Amendment GC7 introduced the </w:t>
      </w:r>
      <w:r w:rsidRPr="00A90F8A">
        <w:rPr>
          <w:rFonts w:asciiTheme="minorHAnsi" w:hAnsiTheme="minorHAnsi"/>
          <w:i/>
        </w:rPr>
        <w:t>Fishermans Bend Strategic Framework Plan (</w:t>
      </w:r>
      <w:r w:rsidRPr="00573BC7">
        <w:rPr>
          <w:rFonts w:asciiTheme="minorHAnsi" w:hAnsiTheme="minorHAnsi"/>
          <w:i/>
        </w:rPr>
        <w:t xml:space="preserve">July 2014) </w:t>
      </w:r>
      <w:r w:rsidRPr="00573BC7">
        <w:rPr>
          <w:rFonts w:asciiTheme="minorHAnsi" w:hAnsiTheme="minorHAnsi"/>
        </w:rPr>
        <w:t xml:space="preserve">as an </w:t>
      </w:r>
      <w:r>
        <w:rPr>
          <w:rFonts w:asciiTheme="minorHAnsi" w:hAnsiTheme="minorHAnsi"/>
        </w:rPr>
        <w:t>I</w:t>
      </w:r>
      <w:r w:rsidRPr="00573BC7">
        <w:rPr>
          <w:rFonts w:asciiTheme="minorHAnsi" w:hAnsiTheme="minorHAnsi"/>
        </w:rPr>
        <w:t xml:space="preserve">ncorporated </w:t>
      </w:r>
      <w:r>
        <w:rPr>
          <w:rFonts w:asciiTheme="minorHAnsi" w:hAnsiTheme="minorHAnsi"/>
        </w:rPr>
        <w:t>D</w:t>
      </w:r>
      <w:r w:rsidRPr="00573BC7">
        <w:rPr>
          <w:rFonts w:asciiTheme="minorHAnsi" w:hAnsiTheme="minorHAnsi"/>
        </w:rPr>
        <w:t xml:space="preserve">ocument to the Melbourne and Port Phillip Planning Schemes.  </w:t>
      </w:r>
      <w:r>
        <w:rPr>
          <w:rFonts w:asciiTheme="minorHAnsi" w:hAnsiTheme="minorHAnsi"/>
        </w:rPr>
        <w:t>The Framework Plan</w:t>
      </w:r>
      <w:r w:rsidRPr="00573BC7">
        <w:rPr>
          <w:rFonts w:asciiTheme="minorHAnsi" w:hAnsiTheme="minorHAnsi"/>
        </w:rPr>
        <w:t xml:space="preserve"> </w:t>
      </w:r>
      <w:r>
        <w:rPr>
          <w:rFonts w:asciiTheme="minorHAnsi" w:hAnsiTheme="minorHAnsi"/>
        </w:rPr>
        <w:t>was</w:t>
      </w:r>
      <w:r w:rsidRPr="00A90F8A">
        <w:rPr>
          <w:rFonts w:asciiTheme="minorHAnsi" w:hAnsiTheme="minorHAnsi"/>
        </w:rPr>
        <w:t xml:space="preserve"> prepared by the Metropolitan </w:t>
      </w:r>
      <w:r w:rsidRPr="00573BC7">
        <w:rPr>
          <w:rFonts w:asciiTheme="minorHAnsi" w:hAnsiTheme="minorHAnsi"/>
        </w:rPr>
        <w:t xml:space="preserve">Planning Authority (now </w:t>
      </w:r>
      <w:r>
        <w:rPr>
          <w:rFonts w:asciiTheme="minorHAnsi" w:hAnsiTheme="minorHAnsi"/>
        </w:rPr>
        <w:t xml:space="preserve">the </w:t>
      </w:r>
      <w:r w:rsidRPr="00573BC7">
        <w:rPr>
          <w:rFonts w:asciiTheme="minorHAnsi" w:hAnsiTheme="minorHAnsi"/>
        </w:rPr>
        <w:t>Victorian Planning Authority)</w:t>
      </w:r>
      <w:r>
        <w:rPr>
          <w:rFonts w:asciiTheme="minorHAnsi" w:hAnsiTheme="minorHAnsi"/>
        </w:rPr>
        <w:t>, and</w:t>
      </w:r>
      <w:r w:rsidRPr="00573BC7">
        <w:rPr>
          <w:rFonts w:asciiTheme="minorHAnsi" w:hAnsiTheme="minorHAnsi"/>
        </w:rPr>
        <w:t xml:space="preserve"> introduced guidance in the form of discretionary height limits and design guidelines</w:t>
      </w:r>
      <w:r w:rsidRPr="00903FF8">
        <w:rPr>
          <w:rFonts w:asciiTheme="minorHAnsi" w:hAnsiTheme="minorHAnsi"/>
        </w:rPr>
        <w:t xml:space="preserve"> </w:t>
      </w:r>
      <w:r>
        <w:rPr>
          <w:rFonts w:asciiTheme="minorHAnsi" w:hAnsiTheme="minorHAnsi"/>
        </w:rPr>
        <w:t xml:space="preserve">for </w:t>
      </w:r>
      <w:r w:rsidRPr="00573BC7">
        <w:rPr>
          <w:rFonts w:asciiTheme="minorHAnsi" w:hAnsiTheme="minorHAnsi"/>
        </w:rPr>
        <w:t xml:space="preserve">the </w:t>
      </w:r>
      <w:r>
        <w:rPr>
          <w:rFonts w:asciiTheme="minorHAnsi" w:hAnsiTheme="minorHAnsi"/>
        </w:rPr>
        <w:t>CCZ P</w:t>
      </w:r>
      <w:r w:rsidRPr="00573BC7">
        <w:rPr>
          <w:rFonts w:asciiTheme="minorHAnsi" w:hAnsiTheme="minorHAnsi"/>
        </w:rPr>
        <w:t>recincts.</w:t>
      </w:r>
    </w:p>
    <w:p w:rsidR="00E4382F" w:rsidRPr="00573BC7" w:rsidRDefault="00E4382F" w:rsidP="00E4382F">
      <w:pPr>
        <w:pStyle w:val="PPVBody"/>
        <w:rPr>
          <w:rFonts w:asciiTheme="minorHAnsi" w:hAnsiTheme="minorHAnsi"/>
        </w:rPr>
      </w:pPr>
      <w:r w:rsidRPr="00573BC7">
        <w:rPr>
          <w:rFonts w:asciiTheme="minorHAnsi" w:hAnsiTheme="minorHAnsi"/>
        </w:rPr>
        <w:t xml:space="preserve">Following the change of </w:t>
      </w:r>
      <w:r>
        <w:rPr>
          <w:rFonts w:asciiTheme="minorHAnsi" w:hAnsiTheme="minorHAnsi"/>
        </w:rPr>
        <w:t>g</w:t>
      </w:r>
      <w:r w:rsidRPr="00573BC7">
        <w:rPr>
          <w:rFonts w:asciiTheme="minorHAnsi" w:hAnsiTheme="minorHAnsi"/>
        </w:rPr>
        <w:t>overnment in late 2014, Amendment GC29 was introduced in April 2015.</w:t>
      </w:r>
      <w:r>
        <w:rPr>
          <w:rFonts w:asciiTheme="minorHAnsi" w:hAnsiTheme="minorHAnsi"/>
        </w:rPr>
        <w:t xml:space="preserve">  </w:t>
      </w:r>
      <w:r w:rsidRPr="00573BC7">
        <w:rPr>
          <w:rFonts w:asciiTheme="minorHAnsi" w:hAnsiTheme="minorHAnsi"/>
        </w:rPr>
        <w:t xml:space="preserve">Amendment </w:t>
      </w:r>
      <w:r>
        <w:rPr>
          <w:rFonts w:asciiTheme="minorHAnsi" w:hAnsiTheme="minorHAnsi"/>
        </w:rPr>
        <w:t xml:space="preserve">CG29 made </w:t>
      </w:r>
      <w:r w:rsidRPr="00573BC7">
        <w:rPr>
          <w:rFonts w:asciiTheme="minorHAnsi" w:hAnsiTheme="minorHAnsi"/>
        </w:rPr>
        <w:t xml:space="preserve">the Minister the responsible authority for determining permit applications in the </w:t>
      </w:r>
      <w:r>
        <w:rPr>
          <w:rFonts w:asciiTheme="minorHAnsi" w:hAnsiTheme="minorHAnsi"/>
        </w:rPr>
        <w:t>CCZ P</w:t>
      </w:r>
      <w:r w:rsidRPr="00573BC7">
        <w:rPr>
          <w:rFonts w:asciiTheme="minorHAnsi" w:hAnsiTheme="minorHAnsi"/>
        </w:rPr>
        <w:t>recinct</w:t>
      </w:r>
      <w:r>
        <w:rPr>
          <w:rFonts w:asciiTheme="minorHAnsi" w:hAnsiTheme="minorHAnsi"/>
        </w:rPr>
        <w:t>s</w:t>
      </w:r>
      <w:r w:rsidRPr="00573BC7">
        <w:rPr>
          <w:rFonts w:asciiTheme="minorHAnsi" w:hAnsiTheme="minorHAnsi"/>
        </w:rPr>
        <w:t xml:space="preserve"> </w:t>
      </w:r>
      <w:r>
        <w:rPr>
          <w:rFonts w:asciiTheme="minorHAnsi" w:hAnsiTheme="minorHAnsi"/>
        </w:rPr>
        <w:t>above</w:t>
      </w:r>
      <w:r w:rsidRPr="00573BC7">
        <w:rPr>
          <w:rFonts w:asciiTheme="minorHAnsi" w:hAnsiTheme="minorHAnsi"/>
        </w:rPr>
        <w:t xml:space="preserve"> certain threshold</w:t>
      </w:r>
      <w:r>
        <w:rPr>
          <w:rFonts w:asciiTheme="minorHAnsi" w:hAnsiTheme="minorHAnsi"/>
        </w:rPr>
        <w:t>s</w:t>
      </w:r>
      <w:r w:rsidRPr="00573BC7">
        <w:rPr>
          <w:rFonts w:asciiTheme="minorHAnsi" w:hAnsiTheme="minorHAnsi"/>
        </w:rPr>
        <w:t xml:space="preserve"> (this was formerly the </w:t>
      </w:r>
      <w:r w:rsidR="004734D8">
        <w:rPr>
          <w:rFonts w:asciiTheme="minorHAnsi" w:hAnsiTheme="minorHAnsi"/>
        </w:rPr>
        <w:t xml:space="preserve">role of the </w:t>
      </w:r>
      <w:r w:rsidRPr="00573BC7">
        <w:rPr>
          <w:rFonts w:asciiTheme="minorHAnsi" w:hAnsiTheme="minorHAnsi"/>
        </w:rPr>
        <w:t>M</w:t>
      </w:r>
      <w:r>
        <w:rPr>
          <w:rFonts w:asciiTheme="minorHAnsi" w:hAnsiTheme="minorHAnsi"/>
        </w:rPr>
        <w:t xml:space="preserve">etropolitan </w:t>
      </w:r>
      <w:r w:rsidRPr="00573BC7">
        <w:rPr>
          <w:rFonts w:asciiTheme="minorHAnsi" w:hAnsiTheme="minorHAnsi"/>
        </w:rPr>
        <w:t>P</w:t>
      </w:r>
      <w:r>
        <w:rPr>
          <w:rFonts w:asciiTheme="minorHAnsi" w:hAnsiTheme="minorHAnsi"/>
        </w:rPr>
        <w:t xml:space="preserve">lanning </w:t>
      </w:r>
      <w:r w:rsidRPr="00573BC7">
        <w:rPr>
          <w:rFonts w:asciiTheme="minorHAnsi" w:hAnsiTheme="minorHAnsi"/>
        </w:rPr>
        <w:t>A</w:t>
      </w:r>
      <w:r>
        <w:rPr>
          <w:rFonts w:asciiTheme="minorHAnsi" w:hAnsiTheme="minorHAnsi"/>
        </w:rPr>
        <w:t>uthority</w:t>
      </w:r>
      <w:r w:rsidRPr="00573BC7">
        <w:rPr>
          <w:rFonts w:asciiTheme="minorHAnsi" w:hAnsiTheme="minorHAnsi"/>
        </w:rPr>
        <w:t>), introduced interim mandatory heights controls of between 4 and 40 storeys</w:t>
      </w:r>
      <w:r>
        <w:rPr>
          <w:rFonts w:asciiTheme="minorHAnsi" w:hAnsiTheme="minorHAnsi"/>
        </w:rPr>
        <w:t>,</w:t>
      </w:r>
      <w:r w:rsidRPr="00573BC7">
        <w:rPr>
          <w:rFonts w:asciiTheme="minorHAnsi" w:hAnsiTheme="minorHAnsi"/>
        </w:rPr>
        <w:t xml:space="preserve"> and updated the Framework Plan to remove reference to discretionary height limits and the sustainable transport plan.</w:t>
      </w:r>
    </w:p>
    <w:p w:rsidR="00E4382F" w:rsidRPr="00D666FE" w:rsidRDefault="00E4382F" w:rsidP="00E4382F">
      <w:pPr>
        <w:pStyle w:val="Heading4"/>
        <w:rPr>
          <w:rFonts w:asciiTheme="minorHAnsi" w:hAnsiTheme="minorHAnsi"/>
        </w:rPr>
      </w:pPr>
      <w:r w:rsidRPr="00D666FE">
        <w:rPr>
          <w:rFonts w:asciiTheme="minorHAnsi" w:hAnsiTheme="minorHAnsi"/>
        </w:rPr>
        <w:t>Fishermans Bend Vision</w:t>
      </w:r>
      <w:r>
        <w:rPr>
          <w:rFonts w:asciiTheme="minorHAnsi" w:hAnsiTheme="minorHAnsi"/>
        </w:rPr>
        <w:t xml:space="preserve"> 2016</w:t>
      </w:r>
    </w:p>
    <w:p w:rsidR="00E4382F" w:rsidRPr="00573BC7" w:rsidRDefault="00E4382F" w:rsidP="00E4382F">
      <w:pPr>
        <w:pStyle w:val="PPVBody"/>
        <w:rPr>
          <w:rFonts w:asciiTheme="minorHAnsi" w:hAnsiTheme="minorHAnsi"/>
        </w:rPr>
      </w:pPr>
      <w:r w:rsidRPr="00573BC7">
        <w:rPr>
          <w:rFonts w:asciiTheme="minorHAnsi" w:hAnsiTheme="minorHAnsi"/>
        </w:rPr>
        <w:t xml:space="preserve">The </w:t>
      </w:r>
      <w:r w:rsidRPr="002D1D6D">
        <w:rPr>
          <w:rFonts w:asciiTheme="minorHAnsi" w:hAnsiTheme="minorHAnsi"/>
          <w:i/>
        </w:rPr>
        <w:t>Fishermans Bend Vision</w:t>
      </w:r>
      <w:r>
        <w:rPr>
          <w:rFonts w:asciiTheme="minorHAnsi" w:hAnsiTheme="minorHAnsi"/>
          <w:i/>
        </w:rPr>
        <w:t>,</w:t>
      </w:r>
      <w:r w:rsidRPr="002D1D6D">
        <w:rPr>
          <w:rFonts w:asciiTheme="minorHAnsi" w:hAnsiTheme="minorHAnsi"/>
          <w:i/>
        </w:rPr>
        <w:t xml:space="preserve"> </w:t>
      </w:r>
      <w:r>
        <w:rPr>
          <w:rFonts w:asciiTheme="minorHAnsi" w:hAnsiTheme="minorHAnsi"/>
          <w:i/>
        </w:rPr>
        <w:t>the Next Chapter in Melbourne’s Growth Story (</w:t>
      </w:r>
      <w:r w:rsidRPr="002D1D6D">
        <w:rPr>
          <w:rFonts w:asciiTheme="minorHAnsi" w:hAnsiTheme="minorHAnsi"/>
          <w:i/>
        </w:rPr>
        <w:t>September 2016</w:t>
      </w:r>
      <w:r>
        <w:rPr>
          <w:rFonts w:asciiTheme="minorHAnsi" w:hAnsiTheme="minorHAnsi"/>
          <w:i/>
        </w:rPr>
        <w:t>)</w:t>
      </w:r>
      <w:r w:rsidRPr="00573BC7">
        <w:rPr>
          <w:rFonts w:asciiTheme="minorHAnsi" w:hAnsiTheme="minorHAnsi"/>
        </w:rPr>
        <w:t xml:space="preserve"> was released by the Taskforce in response to public consultation on </w:t>
      </w:r>
      <w:r>
        <w:rPr>
          <w:rFonts w:asciiTheme="minorHAnsi" w:hAnsiTheme="minorHAnsi"/>
        </w:rPr>
        <w:t>a r</w:t>
      </w:r>
      <w:r w:rsidRPr="00573BC7">
        <w:rPr>
          <w:rFonts w:asciiTheme="minorHAnsi" w:hAnsiTheme="minorHAnsi"/>
        </w:rPr>
        <w:t xml:space="preserve">ecast Vision.  The </w:t>
      </w:r>
      <w:r>
        <w:rPr>
          <w:rFonts w:asciiTheme="minorHAnsi" w:hAnsiTheme="minorHAnsi"/>
        </w:rPr>
        <w:t xml:space="preserve">2016 </w:t>
      </w:r>
      <w:r w:rsidRPr="00573BC7">
        <w:rPr>
          <w:rFonts w:asciiTheme="minorHAnsi" w:hAnsiTheme="minorHAnsi"/>
        </w:rPr>
        <w:t xml:space="preserve">Vision brought the total </w:t>
      </w:r>
      <w:r>
        <w:rPr>
          <w:rFonts w:asciiTheme="minorHAnsi" w:hAnsiTheme="minorHAnsi"/>
        </w:rPr>
        <w:t xml:space="preserve">Fishermans Bend </w:t>
      </w:r>
      <w:r w:rsidRPr="00573BC7">
        <w:rPr>
          <w:rFonts w:asciiTheme="minorHAnsi" w:hAnsiTheme="minorHAnsi"/>
        </w:rPr>
        <w:t xml:space="preserve">renewal area to 485 hectares through the inclusion of Westgate Park and surrounding Parks Victoria land holdings.  Its aim was to set the underlying principles that would guide </w:t>
      </w:r>
      <w:r>
        <w:rPr>
          <w:rFonts w:asciiTheme="minorHAnsi" w:hAnsiTheme="minorHAnsi"/>
        </w:rPr>
        <w:t>a subsequently prepared Fishermans Bend</w:t>
      </w:r>
      <w:r w:rsidRPr="00573BC7">
        <w:rPr>
          <w:rFonts w:asciiTheme="minorHAnsi" w:hAnsiTheme="minorHAnsi"/>
        </w:rPr>
        <w:t xml:space="preserve"> Framework and </w:t>
      </w:r>
      <w:r w:rsidR="00FC563B">
        <w:rPr>
          <w:rFonts w:asciiTheme="minorHAnsi" w:hAnsiTheme="minorHAnsi"/>
        </w:rPr>
        <w:t>Precinct Plans</w:t>
      </w:r>
      <w:r>
        <w:rPr>
          <w:rFonts w:asciiTheme="minorHAnsi" w:hAnsiTheme="minorHAnsi"/>
        </w:rPr>
        <w:t xml:space="preserve"> for each of the CCZ zoned Precincts</w:t>
      </w:r>
      <w:r w:rsidRPr="00573BC7">
        <w:rPr>
          <w:rFonts w:asciiTheme="minorHAnsi" w:hAnsiTheme="minorHAnsi"/>
        </w:rPr>
        <w:t>.</w:t>
      </w:r>
    </w:p>
    <w:p w:rsidR="00E4382F" w:rsidRDefault="00E4382F" w:rsidP="00E4382F">
      <w:pPr>
        <w:pStyle w:val="Heading4"/>
      </w:pPr>
      <w:r>
        <w:t>Amendment GC50</w:t>
      </w:r>
    </w:p>
    <w:p w:rsidR="00785416" w:rsidRDefault="00E4382F" w:rsidP="00E4382F">
      <w:pPr>
        <w:pStyle w:val="PPVBody"/>
        <w:rPr>
          <w:rFonts w:asciiTheme="minorHAnsi" w:hAnsiTheme="minorHAnsi"/>
        </w:rPr>
      </w:pPr>
      <w:r w:rsidRPr="00573BC7">
        <w:rPr>
          <w:rFonts w:asciiTheme="minorHAnsi" w:hAnsiTheme="minorHAnsi"/>
        </w:rPr>
        <w:t xml:space="preserve">In November 2016, Amendment GC50 </w:t>
      </w:r>
      <w:r w:rsidRPr="00A90F8A">
        <w:rPr>
          <w:rFonts w:asciiTheme="minorHAnsi" w:hAnsiTheme="minorHAnsi"/>
        </w:rPr>
        <w:t xml:space="preserve">introduced interim mandatory built form controls and policy changes to encourage </w:t>
      </w:r>
      <w:r w:rsidRPr="00FA0D82">
        <w:rPr>
          <w:rFonts w:asciiTheme="minorHAnsi" w:hAnsiTheme="minorHAnsi"/>
        </w:rPr>
        <w:t>e</w:t>
      </w:r>
      <w:r w:rsidRPr="00930602">
        <w:rPr>
          <w:rFonts w:asciiTheme="minorHAnsi" w:hAnsiTheme="minorHAnsi"/>
        </w:rPr>
        <w:t xml:space="preserve">mployment uses, dwelling </w:t>
      </w:r>
      <w:r w:rsidRPr="004D66B6">
        <w:rPr>
          <w:rFonts w:asciiTheme="minorHAnsi" w:hAnsiTheme="minorHAnsi"/>
        </w:rPr>
        <w:t>diversity and affordable housing</w:t>
      </w:r>
      <w:r>
        <w:rPr>
          <w:rFonts w:asciiTheme="minorHAnsi" w:hAnsiTheme="minorHAnsi"/>
        </w:rPr>
        <w:t xml:space="preserve"> in Fishermans Bend</w:t>
      </w:r>
      <w:r w:rsidRPr="004D66B6">
        <w:rPr>
          <w:rFonts w:asciiTheme="minorHAnsi" w:hAnsiTheme="minorHAnsi"/>
        </w:rPr>
        <w:t xml:space="preserve">.  </w:t>
      </w:r>
      <w:r w:rsidRPr="00930602">
        <w:rPr>
          <w:rFonts w:asciiTheme="minorHAnsi" w:hAnsiTheme="minorHAnsi"/>
        </w:rPr>
        <w:t>They included mandatory street wall heights, tower setbacks and separation distances.</w:t>
      </w:r>
      <w:r>
        <w:rPr>
          <w:rFonts w:asciiTheme="minorHAnsi" w:hAnsiTheme="minorHAnsi"/>
        </w:rPr>
        <w:t xml:space="preserve">  </w:t>
      </w:r>
      <w:r w:rsidRPr="004D66B6">
        <w:rPr>
          <w:rFonts w:asciiTheme="minorHAnsi" w:hAnsiTheme="minorHAnsi"/>
        </w:rPr>
        <w:t>These were set to expire on 31 March 2018.</w:t>
      </w:r>
      <w:r>
        <w:rPr>
          <w:rFonts w:asciiTheme="minorHAnsi" w:hAnsiTheme="minorHAnsi"/>
        </w:rPr>
        <w:t xml:space="preserve"> </w:t>
      </w:r>
      <w:r w:rsidRPr="004D66B6">
        <w:rPr>
          <w:rFonts w:asciiTheme="minorHAnsi" w:hAnsiTheme="minorHAnsi"/>
        </w:rPr>
        <w:t xml:space="preserve"> </w:t>
      </w:r>
      <w:r w:rsidRPr="00930602">
        <w:rPr>
          <w:rFonts w:asciiTheme="minorHAnsi" w:hAnsiTheme="minorHAnsi"/>
        </w:rPr>
        <w:t>In addition, a revised set of interim design guidelines were introduced</w:t>
      </w:r>
      <w:r>
        <w:rPr>
          <w:rFonts w:asciiTheme="minorHAnsi" w:hAnsiTheme="minorHAnsi"/>
        </w:rPr>
        <w:t xml:space="preserve"> into the amended </w:t>
      </w:r>
      <w:r>
        <w:rPr>
          <w:rFonts w:asciiTheme="minorHAnsi" w:hAnsiTheme="minorHAnsi"/>
          <w:i/>
        </w:rPr>
        <w:t>Fishermans Bend Strategic Framework Plan</w:t>
      </w:r>
      <w:r w:rsidRPr="00930602">
        <w:rPr>
          <w:rFonts w:asciiTheme="minorHAnsi" w:hAnsiTheme="minorHAnsi"/>
        </w:rPr>
        <w:t>, focusing on improving building and street amenity and improving the delivery of affordable and diverse housing.</w:t>
      </w:r>
    </w:p>
    <w:p w:rsidR="00E4382F" w:rsidRPr="00930602" w:rsidRDefault="00E4382F" w:rsidP="00E4382F">
      <w:pPr>
        <w:pStyle w:val="PPVBody"/>
        <w:rPr>
          <w:rFonts w:asciiTheme="minorHAnsi" w:hAnsiTheme="minorHAnsi"/>
        </w:rPr>
      </w:pPr>
      <w:r w:rsidRPr="004D66B6">
        <w:rPr>
          <w:rFonts w:asciiTheme="minorHAnsi" w:hAnsiTheme="minorHAnsi"/>
        </w:rPr>
        <w:t>The interim controls were extended to 31 March 2019, through Amendment GC89 which was gazetted on 29 March 2018.</w:t>
      </w:r>
    </w:p>
    <w:p w:rsidR="00E4382F" w:rsidRPr="00930602" w:rsidRDefault="00E4382F" w:rsidP="00E4382F">
      <w:pPr>
        <w:pStyle w:val="Heading2"/>
      </w:pPr>
      <w:bookmarkStart w:id="43" w:name="_Toc519710239"/>
      <w:bookmarkStart w:id="44" w:name="_Toc519766799"/>
      <w:r w:rsidRPr="00930602">
        <w:t>Fishermans Bend Ministerial Advisory Committee</w:t>
      </w:r>
      <w:bookmarkEnd w:id="43"/>
      <w:bookmarkEnd w:id="44"/>
    </w:p>
    <w:p w:rsidR="00E4382F" w:rsidRDefault="00E4382F" w:rsidP="00E4382F">
      <w:pPr>
        <w:pStyle w:val="PPVBody"/>
        <w:rPr>
          <w:rFonts w:asciiTheme="minorHAnsi" w:hAnsiTheme="minorHAnsi"/>
        </w:rPr>
      </w:pPr>
      <w:r w:rsidRPr="00930602">
        <w:rPr>
          <w:rFonts w:asciiTheme="minorHAnsi" w:hAnsiTheme="minorHAnsi"/>
        </w:rPr>
        <w:t>The Minister appointed the Fishermans Bend Ministerial Advisory Committee (</w:t>
      </w:r>
      <w:r>
        <w:rPr>
          <w:rFonts w:asciiTheme="minorHAnsi" w:hAnsiTheme="minorHAnsi"/>
        </w:rPr>
        <w:t xml:space="preserve">the </w:t>
      </w:r>
      <w:r w:rsidRPr="00930602">
        <w:rPr>
          <w:rFonts w:asciiTheme="minorHAnsi" w:hAnsiTheme="minorHAnsi"/>
        </w:rPr>
        <w:t>MAC) in July 2015 to review the process</w:t>
      </w:r>
      <w:r>
        <w:rPr>
          <w:rFonts w:asciiTheme="minorHAnsi" w:hAnsiTheme="minorHAnsi"/>
        </w:rPr>
        <w:t xml:space="preserve"> undertaken</w:t>
      </w:r>
      <w:r w:rsidRPr="00930602">
        <w:rPr>
          <w:rFonts w:asciiTheme="minorHAnsi" w:hAnsiTheme="minorHAnsi"/>
        </w:rPr>
        <w:t xml:space="preserve"> to date for </w:t>
      </w:r>
      <w:r>
        <w:rPr>
          <w:rFonts w:asciiTheme="minorHAnsi" w:hAnsiTheme="minorHAnsi"/>
        </w:rPr>
        <w:t xml:space="preserve">the planning of Fishermans Bend.  </w:t>
      </w:r>
      <w:r w:rsidRPr="00930602">
        <w:rPr>
          <w:rFonts w:asciiTheme="minorHAnsi" w:hAnsiTheme="minorHAnsi"/>
        </w:rPr>
        <w:t>The MAC submitted a Stage 1 report in October 2015</w:t>
      </w:r>
      <w:r>
        <w:rPr>
          <w:rFonts w:asciiTheme="minorHAnsi" w:hAnsiTheme="minorHAnsi"/>
        </w:rPr>
        <w:t xml:space="preserve"> to the Minister</w:t>
      </w:r>
      <w:r w:rsidRPr="00930602">
        <w:rPr>
          <w:rFonts w:asciiTheme="minorHAnsi" w:hAnsiTheme="minorHAnsi"/>
        </w:rPr>
        <w:t xml:space="preserve"> which included 40 recommendations for future planning in the area</w:t>
      </w:r>
      <w:r>
        <w:rPr>
          <w:rFonts w:asciiTheme="minorHAnsi" w:hAnsiTheme="minorHAnsi"/>
        </w:rPr>
        <w:t>.  All</w:t>
      </w:r>
      <w:r w:rsidRPr="00930602">
        <w:rPr>
          <w:rFonts w:asciiTheme="minorHAnsi" w:hAnsiTheme="minorHAnsi"/>
        </w:rPr>
        <w:t xml:space="preserve"> were either fully or partially supported by the </w:t>
      </w:r>
      <w:r>
        <w:rPr>
          <w:rFonts w:asciiTheme="minorHAnsi" w:hAnsiTheme="minorHAnsi"/>
        </w:rPr>
        <w:t xml:space="preserve">State </w:t>
      </w:r>
      <w:r w:rsidRPr="00930602">
        <w:rPr>
          <w:rFonts w:asciiTheme="minorHAnsi" w:hAnsiTheme="minorHAnsi"/>
        </w:rPr>
        <w:t>Government.</w:t>
      </w:r>
    </w:p>
    <w:p w:rsidR="00E4382F" w:rsidRPr="00930602" w:rsidRDefault="00E4382F" w:rsidP="00E4382F">
      <w:pPr>
        <w:pStyle w:val="PPVBody"/>
      </w:pPr>
      <w:r>
        <w:t xml:space="preserve">The MAC </w:t>
      </w:r>
      <w:r w:rsidRPr="00930602">
        <w:t xml:space="preserve">Report </w:t>
      </w:r>
      <w:r>
        <w:t xml:space="preserve">No. </w:t>
      </w:r>
      <w:r w:rsidRPr="00930602">
        <w:t>1 sought to ‘maximise’ the development potential of Fishermans Bend</w:t>
      </w:r>
      <w:r>
        <w:t>,</w:t>
      </w:r>
      <w:r w:rsidRPr="00930602">
        <w:t xml:space="preserve"> noting it to be a finite resource.  Its first priority recommendation was to use the 2013 draft Vision as a baseline from which to </w:t>
      </w:r>
      <w:r>
        <w:t xml:space="preserve">recalibrate and </w:t>
      </w:r>
      <w:r w:rsidRPr="00930602">
        <w:t>articulate the economic, social and environmental vision for the area.</w:t>
      </w:r>
    </w:p>
    <w:p w:rsidR="00E4382F" w:rsidRPr="00667D5D" w:rsidRDefault="00E4382F" w:rsidP="00E4382F">
      <w:pPr>
        <w:pStyle w:val="PPVBody"/>
        <w:rPr>
          <w:rFonts w:asciiTheme="minorHAnsi" w:hAnsiTheme="minorHAnsi"/>
          <w:i/>
        </w:rPr>
      </w:pPr>
      <w:r w:rsidRPr="00930602">
        <w:rPr>
          <w:rFonts w:asciiTheme="minorHAnsi" w:hAnsiTheme="minorHAnsi"/>
        </w:rPr>
        <w:t>To progress the recalibrated vision, the MAC recomm</w:t>
      </w:r>
      <w:r>
        <w:rPr>
          <w:rFonts w:asciiTheme="minorHAnsi" w:hAnsiTheme="minorHAnsi"/>
        </w:rPr>
        <w:t>ended that further work should “</w:t>
      </w:r>
      <w:r w:rsidRPr="00930602">
        <w:rPr>
          <w:rFonts w:asciiTheme="minorHAnsi" w:hAnsiTheme="minorHAnsi"/>
          <w:i/>
        </w:rPr>
        <w:t xml:space="preserve">test a number of macro scenarios that consider various options for the ultimate population, </w:t>
      </w:r>
      <w:r w:rsidRPr="00930602">
        <w:rPr>
          <w:rFonts w:asciiTheme="minorHAnsi" w:hAnsiTheme="minorHAnsi"/>
          <w:i/>
        </w:rPr>
        <w:lastRenderedPageBreak/>
        <w:t xml:space="preserve">density, mix and </w:t>
      </w:r>
      <w:r>
        <w:rPr>
          <w:rFonts w:asciiTheme="minorHAnsi" w:hAnsiTheme="minorHAnsi"/>
          <w:i/>
        </w:rPr>
        <w:t xml:space="preserve">servicing requirements”.  </w:t>
      </w:r>
      <w:r w:rsidRPr="00930602">
        <w:rPr>
          <w:rFonts w:asciiTheme="minorHAnsi" w:hAnsiTheme="minorHAnsi"/>
        </w:rPr>
        <w:t>This testing does not appear to have been undertaken.</w:t>
      </w:r>
    </w:p>
    <w:p w:rsidR="00785416" w:rsidRDefault="00E4382F" w:rsidP="00E4382F">
      <w:pPr>
        <w:pStyle w:val="PPVBody"/>
        <w:rPr>
          <w:rFonts w:asciiTheme="minorHAnsi" w:hAnsiTheme="minorHAnsi"/>
        </w:rPr>
      </w:pPr>
      <w:r>
        <w:rPr>
          <w:rFonts w:asciiTheme="minorHAnsi" w:hAnsiTheme="minorHAnsi"/>
        </w:rPr>
        <w:t xml:space="preserve">The MAC prepared a further report dated October 2017 </w:t>
      </w:r>
      <w:r w:rsidR="004734D8">
        <w:rPr>
          <w:rFonts w:asciiTheme="minorHAnsi" w:hAnsiTheme="minorHAnsi"/>
        </w:rPr>
        <w:t xml:space="preserve">which </w:t>
      </w:r>
      <w:r>
        <w:rPr>
          <w:rFonts w:asciiTheme="minorHAnsi" w:hAnsiTheme="minorHAnsi"/>
        </w:rPr>
        <w:t>made comments and recommendations on the draft Framework.  The MAC Report No. 2 included 75 recommendations covering a range of matters including statutory and strategic planning, transport, housing and implementation mechanisms and processes.  The Minister referred the MAC Report No. 2 to the Review Panel for its consideration</w:t>
      </w:r>
      <w:r w:rsidR="00C42263">
        <w:rPr>
          <w:rFonts w:asciiTheme="minorHAnsi" w:hAnsiTheme="minorHAnsi"/>
        </w:rPr>
        <w:t xml:space="preserve"> as a submission</w:t>
      </w:r>
      <w:r>
        <w:rPr>
          <w:rFonts w:asciiTheme="minorHAnsi" w:hAnsiTheme="minorHAnsi"/>
        </w:rPr>
        <w:t xml:space="preserve"> on 17 December </w:t>
      </w:r>
      <w:r w:rsidRPr="002D2C49">
        <w:rPr>
          <w:rFonts w:asciiTheme="minorHAnsi" w:hAnsiTheme="minorHAnsi"/>
        </w:rPr>
        <w:t>2017 (D</w:t>
      </w:r>
      <w:r w:rsidR="002D2C49" w:rsidRPr="002D2C49">
        <w:rPr>
          <w:rFonts w:asciiTheme="minorHAnsi" w:hAnsiTheme="minorHAnsi"/>
        </w:rPr>
        <w:t>17</w:t>
      </w:r>
      <w:r w:rsidRPr="002D2C49">
        <w:rPr>
          <w:rFonts w:asciiTheme="minorHAnsi" w:hAnsiTheme="minorHAnsi"/>
        </w:rPr>
        <w:t>).</w:t>
      </w:r>
    </w:p>
    <w:p w:rsidR="00E4382F" w:rsidRPr="00A90F8A" w:rsidRDefault="00E4382F" w:rsidP="00E4382F">
      <w:pPr>
        <w:pStyle w:val="PPVBody"/>
        <w:rPr>
          <w:rFonts w:asciiTheme="minorHAnsi" w:hAnsiTheme="minorHAnsi"/>
        </w:rPr>
      </w:pPr>
      <w:r w:rsidRPr="00930602">
        <w:rPr>
          <w:rFonts w:asciiTheme="minorHAnsi" w:hAnsiTheme="minorHAnsi"/>
        </w:rPr>
        <w:t xml:space="preserve">Despite the recommendations made in </w:t>
      </w:r>
      <w:r>
        <w:rPr>
          <w:rFonts w:asciiTheme="minorHAnsi" w:hAnsiTheme="minorHAnsi"/>
        </w:rPr>
        <w:t xml:space="preserve">the MAC </w:t>
      </w:r>
      <w:r w:rsidRPr="00930602">
        <w:rPr>
          <w:rFonts w:asciiTheme="minorHAnsi" w:hAnsiTheme="minorHAnsi"/>
        </w:rPr>
        <w:t xml:space="preserve">Report </w:t>
      </w:r>
      <w:r>
        <w:rPr>
          <w:rFonts w:asciiTheme="minorHAnsi" w:hAnsiTheme="minorHAnsi"/>
        </w:rPr>
        <w:t xml:space="preserve">No. </w:t>
      </w:r>
      <w:r w:rsidRPr="00930602">
        <w:rPr>
          <w:rFonts w:asciiTheme="minorHAnsi" w:hAnsiTheme="minorHAnsi"/>
        </w:rPr>
        <w:t>1 and the apparent absence of further scenario testing</w:t>
      </w:r>
      <w:r>
        <w:rPr>
          <w:rFonts w:asciiTheme="minorHAnsi" w:hAnsiTheme="minorHAnsi"/>
        </w:rPr>
        <w:t xml:space="preserve"> in relation to population</w:t>
      </w:r>
      <w:r w:rsidRPr="00930602">
        <w:rPr>
          <w:rFonts w:asciiTheme="minorHAnsi" w:hAnsiTheme="minorHAnsi"/>
        </w:rPr>
        <w:t xml:space="preserve">, the </w:t>
      </w:r>
      <w:r>
        <w:rPr>
          <w:rFonts w:asciiTheme="minorHAnsi" w:hAnsiTheme="minorHAnsi"/>
        </w:rPr>
        <w:t xml:space="preserve">MAC </w:t>
      </w:r>
      <w:r w:rsidRPr="00930602">
        <w:rPr>
          <w:rFonts w:asciiTheme="minorHAnsi" w:hAnsiTheme="minorHAnsi"/>
        </w:rPr>
        <w:t xml:space="preserve">Report </w:t>
      </w:r>
      <w:r>
        <w:rPr>
          <w:rFonts w:asciiTheme="minorHAnsi" w:hAnsiTheme="minorHAnsi"/>
        </w:rPr>
        <w:t>No. 2</w:t>
      </w:r>
      <w:r w:rsidRPr="00930602">
        <w:rPr>
          <w:rFonts w:asciiTheme="minorHAnsi" w:hAnsiTheme="minorHAnsi"/>
        </w:rPr>
        <w:t xml:space="preserve"> supported the revised 2016 Vision </w:t>
      </w:r>
      <w:r>
        <w:rPr>
          <w:rFonts w:asciiTheme="minorHAnsi" w:hAnsiTheme="minorHAnsi"/>
        </w:rPr>
        <w:t xml:space="preserve">(which refers to targets of 80,000 residents and 60,000 jobs), </w:t>
      </w:r>
      <w:r w:rsidRPr="00930602">
        <w:rPr>
          <w:rFonts w:asciiTheme="minorHAnsi" w:hAnsiTheme="minorHAnsi"/>
        </w:rPr>
        <w:t>and endorsed the approach to land use planning through the linking of population and employment targets with built form controls.</w:t>
      </w:r>
    </w:p>
    <w:p w:rsidR="00E4382F" w:rsidRPr="00A90F8A" w:rsidRDefault="00E4382F" w:rsidP="00E4382F">
      <w:pPr>
        <w:pStyle w:val="Heading2"/>
      </w:pPr>
      <w:bookmarkStart w:id="45" w:name="_Toc519710240"/>
      <w:bookmarkStart w:id="46" w:name="_Toc519766800"/>
      <w:r w:rsidRPr="00A90F8A">
        <w:t xml:space="preserve">Planning </w:t>
      </w:r>
      <w:r>
        <w:t>p</w:t>
      </w:r>
      <w:r w:rsidRPr="00A90F8A">
        <w:t xml:space="preserve">ermit </w:t>
      </w:r>
      <w:r>
        <w:t>a</w:t>
      </w:r>
      <w:r w:rsidRPr="00A90F8A">
        <w:t>ctivity</w:t>
      </w:r>
      <w:bookmarkEnd w:id="45"/>
      <w:bookmarkEnd w:id="46"/>
    </w:p>
    <w:p w:rsidR="00E4382F" w:rsidRPr="00A90F8A" w:rsidRDefault="00E4382F" w:rsidP="00E4382F">
      <w:pPr>
        <w:pStyle w:val="PPVBody"/>
        <w:rPr>
          <w:rFonts w:asciiTheme="minorHAnsi" w:hAnsiTheme="minorHAnsi"/>
        </w:rPr>
      </w:pPr>
      <w:r w:rsidRPr="00A90F8A">
        <w:rPr>
          <w:rFonts w:asciiTheme="minorHAnsi" w:hAnsiTheme="minorHAnsi"/>
        </w:rPr>
        <w:t xml:space="preserve">To date, 23 planning permits have been issued within </w:t>
      </w:r>
      <w:r>
        <w:rPr>
          <w:rFonts w:asciiTheme="minorHAnsi" w:hAnsiTheme="minorHAnsi"/>
        </w:rPr>
        <w:t>the Lorimer, Montague, Sandridge and Wirraway Precincts since they were rezoned to CCZ in 2012.</w:t>
      </w:r>
      <w:r w:rsidRPr="00820B43">
        <w:rPr>
          <w:rStyle w:val="FootnoteReference"/>
          <w:rFonts w:asciiTheme="minorHAnsi" w:hAnsiTheme="minorHAnsi"/>
        </w:rPr>
        <w:footnoteReference w:id="9"/>
      </w:r>
      <w:r>
        <w:rPr>
          <w:rFonts w:asciiTheme="minorHAnsi" w:hAnsiTheme="minorHAnsi"/>
        </w:rPr>
        <w:t xml:space="preserve">  </w:t>
      </w:r>
      <w:r w:rsidRPr="00A90F8A">
        <w:rPr>
          <w:rFonts w:asciiTheme="minorHAnsi" w:hAnsiTheme="minorHAnsi"/>
        </w:rPr>
        <w:t>The first planning permits for residential development were approved in January 2014.</w:t>
      </w:r>
      <w:r>
        <w:rPr>
          <w:rFonts w:asciiTheme="minorHAnsi" w:hAnsiTheme="minorHAnsi"/>
        </w:rPr>
        <w:t xml:space="preserve">  </w:t>
      </w:r>
      <w:r w:rsidRPr="00A90F8A">
        <w:rPr>
          <w:rFonts w:asciiTheme="minorHAnsi" w:hAnsiTheme="minorHAnsi"/>
        </w:rPr>
        <w:t xml:space="preserve">The planning permits issued to date are generally for residential buildings, containing limited commercial uses. </w:t>
      </w:r>
      <w:r>
        <w:rPr>
          <w:rFonts w:asciiTheme="minorHAnsi" w:hAnsiTheme="minorHAnsi"/>
        </w:rPr>
        <w:t xml:space="preserve"> </w:t>
      </w:r>
      <w:r w:rsidRPr="00A90F8A">
        <w:rPr>
          <w:rFonts w:asciiTheme="minorHAnsi" w:hAnsiTheme="minorHAnsi"/>
        </w:rPr>
        <w:t xml:space="preserve">Issued permits are generally clustered in the Montague and Lorimer </w:t>
      </w:r>
      <w:r w:rsidR="00827876">
        <w:rPr>
          <w:rFonts w:asciiTheme="minorHAnsi" w:hAnsiTheme="minorHAnsi"/>
        </w:rPr>
        <w:t>P</w:t>
      </w:r>
      <w:r w:rsidRPr="00A90F8A">
        <w:rPr>
          <w:rFonts w:asciiTheme="minorHAnsi" w:hAnsiTheme="minorHAnsi"/>
        </w:rPr>
        <w:t xml:space="preserve">recincts. </w:t>
      </w:r>
      <w:r>
        <w:rPr>
          <w:rFonts w:asciiTheme="minorHAnsi" w:hAnsiTheme="minorHAnsi"/>
        </w:rPr>
        <w:t xml:space="preserve"> The Review Panel notes that few </w:t>
      </w:r>
      <w:r w:rsidRPr="00A90F8A">
        <w:rPr>
          <w:rFonts w:asciiTheme="minorHAnsi" w:hAnsiTheme="minorHAnsi"/>
        </w:rPr>
        <w:t>permits have been acted upon.</w:t>
      </w:r>
    </w:p>
    <w:p w:rsidR="00E4382F" w:rsidRPr="00A90F8A" w:rsidRDefault="00E4382F" w:rsidP="00E4382F">
      <w:pPr>
        <w:pStyle w:val="Heading2"/>
      </w:pPr>
      <w:bookmarkStart w:id="48" w:name="_Toc519710241"/>
      <w:bookmarkStart w:id="49" w:name="_Toc519766801"/>
      <w:r w:rsidRPr="00A90F8A">
        <w:t xml:space="preserve">Existing </w:t>
      </w:r>
      <w:r>
        <w:t>g</w:t>
      </w:r>
      <w:r w:rsidRPr="00A90F8A">
        <w:t>overnance arrangements</w:t>
      </w:r>
      <w:bookmarkEnd w:id="48"/>
      <w:bookmarkEnd w:id="49"/>
    </w:p>
    <w:p w:rsidR="00E4382F" w:rsidRPr="00A90F8A" w:rsidRDefault="00E4382F" w:rsidP="00E4382F">
      <w:pPr>
        <w:pStyle w:val="Heading4"/>
        <w:rPr>
          <w:rFonts w:asciiTheme="minorHAnsi" w:hAnsiTheme="minorHAnsi"/>
        </w:rPr>
      </w:pPr>
      <w:r w:rsidRPr="00A90F8A">
        <w:rPr>
          <w:rFonts w:asciiTheme="minorHAnsi" w:hAnsiTheme="minorHAnsi"/>
        </w:rPr>
        <w:t>Responsible Authority</w:t>
      </w:r>
    </w:p>
    <w:p w:rsidR="00E4382F" w:rsidRPr="006A64B4" w:rsidRDefault="00E4382F" w:rsidP="00E4382F">
      <w:pPr>
        <w:pStyle w:val="PPVBody"/>
        <w:rPr>
          <w:rFonts w:asciiTheme="minorHAnsi" w:hAnsiTheme="minorHAnsi"/>
        </w:rPr>
      </w:pPr>
      <w:r w:rsidRPr="00A90F8A">
        <w:rPr>
          <w:rFonts w:asciiTheme="minorHAnsi" w:hAnsiTheme="minorHAnsi"/>
        </w:rPr>
        <w:t>Pursuant to Clause</w:t>
      </w:r>
      <w:r>
        <w:rPr>
          <w:rFonts w:asciiTheme="minorHAnsi" w:hAnsiTheme="minorHAnsi"/>
        </w:rPr>
        <w:t xml:space="preserve"> 61.01 of the Melbourne and</w:t>
      </w:r>
      <w:r w:rsidRPr="00A90F8A">
        <w:rPr>
          <w:rFonts w:asciiTheme="minorHAnsi" w:hAnsiTheme="minorHAnsi"/>
        </w:rPr>
        <w:t xml:space="preserve"> Port Phillip Planning Schemes, the Minister is the responsible authority for matters under Divisions 1, 1A, 2 and 3 of Part 4 and Part 4AA of the Act</w:t>
      </w:r>
      <w:r>
        <w:rPr>
          <w:rFonts w:asciiTheme="minorHAnsi" w:hAnsiTheme="minorHAnsi"/>
        </w:rPr>
        <w:t>, and for m</w:t>
      </w:r>
      <w:r w:rsidRPr="00A90F8A">
        <w:rPr>
          <w:rFonts w:asciiTheme="minorHAnsi" w:hAnsiTheme="minorHAnsi"/>
        </w:rPr>
        <w:t xml:space="preserve">atters required by a permit </w:t>
      </w:r>
      <w:r>
        <w:rPr>
          <w:rFonts w:asciiTheme="minorHAnsi" w:hAnsiTheme="minorHAnsi"/>
        </w:rPr>
        <w:t>or</w:t>
      </w:r>
      <w:r w:rsidRPr="00A90F8A">
        <w:rPr>
          <w:rFonts w:asciiTheme="minorHAnsi" w:hAnsiTheme="minorHAnsi"/>
        </w:rPr>
        <w:t xml:space="preserve"> the scheme to be e</w:t>
      </w:r>
      <w:r w:rsidRPr="006A64B4">
        <w:rPr>
          <w:rFonts w:asciiTheme="minorHAnsi" w:hAnsiTheme="minorHAnsi"/>
        </w:rPr>
        <w:t>ndorsed, approved or undertaken to the satisfaction of the responsible authority</w:t>
      </w:r>
      <w:r>
        <w:rPr>
          <w:rFonts w:asciiTheme="minorHAnsi" w:hAnsiTheme="minorHAnsi"/>
        </w:rPr>
        <w:t>,</w:t>
      </w:r>
      <w:r w:rsidRPr="006A64B4">
        <w:rPr>
          <w:rFonts w:asciiTheme="minorHAnsi" w:hAnsiTheme="minorHAnsi"/>
        </w:rPr>
        <w:t xml:space="preserve"> in relation to developments with a gross floor area exceeding 25,000 square metres.</w:t>
      </w:r>
      <w:r>
        <w:rPr>
          <w:rFonts w:asciiTheme="minorHAnsi" w:hAnsiTheme="minorHAnsi"/>
        </w:rPr>
        <w:t xml:space="preserve">  The Councils are </w:t>
      </w:r>
      <w:r w:rsidR="004734D8">
        <w:rPr>
          <w:rFonts w:asciiTheme="minorHAnsi" w:hAnsiTheme="minorHAnsi"/>
        </w:rPr>
        <w:t xml:space="preserve">the </w:t>
      </w:r>
      <w:r w:rsidRPr="00A90F8A">
        <w:rPr>
          <w:rFonts w:asciiTheme="minorHAnsi" w:hAnsiTheme="minorHAnsi"/>
        </w:rPr>
        <w:t>responsible authority</w:t>
      </w:r>
      <w:r>
        <w:rPr>
          <w:rFonts w:asciiTheme="minorHAnsi" w:hAnsiTheme="minorHAnsi"/>
        </w:rPr>
        <w:t xml:space="preserve"> for </w:t>
      </w:r>
      <w:r w:rsidRPr="006A64B4">
        <w:rPr>
          <w:rFonts w:asciiTheme="minorHAnsi" w:hAnsiTheme="minorHAnsi"/>
        </w:rPr>
        <w:t xml:space="preserve">developments with a gross floor area </w:t>
      </w:r>
      <w:r>
        <w:rPr>
          <w:rFonts w:asciiTheme="minorHAnsi" w:hAnsiTheme="minorHAnsi"/>
        </w:rPr>
        <w:t>less than</w:t>
      </w:r>
      <w:r w:rsidRPr="006A64B4">
        <w:rPr>
          <w:rFonts w:asciiTheme="minorHAnsi" w:hAnsiTheme="minorHAnsi"/>
        </w:rPr>
        <w:t xml:space="preserve"> 25,000 square metres</w:t>
      </w:r>
      <w:r>
        <w:rPr>
          <w:rFonts w:asciiTheme="minorHAnsi" w:hAnsiTheme="minorHAnsi"/>
        </w:rPr>
        <w:t xml:space="preserve"> in their respective municipalities.</w:t>
      </w:r>
    </w:p>
    <w:p w:rsidR="00E4382F" w:rsidRDefault="00E4382F" w:rsidP="00E4382F">
      <w:pPr>
        <w:pStyle w:val="Heading4"/>
      </w:pPr>
      <w:r w:rsidRPr="006A64B4">
        <w:t>Development contributions</w:t>
      </w:r>
    </w:p>
    <w:p w:rsidR="00E4382F" w:rsidRPr="006A64B4" w:rsidRDefault="00E4382F" w:rsidP="00E4382F">
      <w:pPr>
        <w:pStyle w:val="PPVBody"/>
        <w:rPr>
          <w:rFonts w:asciiTheme="minorHAnsi" w:hAnsiTheme="minorHAnsi"/>
        </w:rPr>
      </w:pPr>
      <w:r w:rsidRPr="006A64B4">
        <w:rPr>
          <w:rFonts w:asciiTheme="minorHAnsi" w:hAnsiTheme="minorHAnsi"/>
        </w:rPr>
        <w:t>A Development Contributions Plan Overlay (DCPO) applie</w:t>
      </w:r>
      <w:r>
        <w:rPr>
          <w:rFonts w:asciiTheme="minorHAnsi" w:hAnsiTheme="minorHAnsi"/>
        </w:rPr>
        <w:t>s</w:t>
      </w:r>
      <w:r w:rsidRPr="006A64B4">
        <w:rPr>
          <w:rFonts w:asciiTheme="minorHAnsi" w:hAnsiTheme="minorHAnsi"/>
        </w:rPr>
        <w:t xml:space="preserve"> to the </w:t>
      </w:r>
      <w:r>
        <w:rPr>
          <w:rFonts w:asciiTheme="minorHAnsi" w:hAnsiTheme="minorHAnsi"/>
        </w:rPr>
        <w:t xml:space="preserve">CCZ zoned Precincts </w:t>
      </w:r>
      <w:r w:rsidRPr="006A64B4">
        <w:rPr>
          <w:rFonts w:asciiTheme="minorHAnsi" w:hAnsiTheme="minorHAnsi"/>
        </w:rPr>
        <w:t>pursuant to Clause 45.06 of the Melbourne and Port Phillip Planning Schemes</w:t>
      </w:r>
      <w:r>
        <w:rPr>
          <w:rFonts w:asciiTheme="minorHAnsi" w:hAnsiTheme="minorHAnsi"/>
        </w:rPr>
        <w:t xml:space="preserve">.  The DCPO was </w:t>
      </w:r>
      <w:r w:rsidRPr="006A64B4">
        <w:rPr>
          <w:rFonts w:asciiTheme="minorHAnsi" w:hAnsiTheme="minorHAnsi"/>
        </w:rPr>
        <w:t xml:space="preserve">introduced through </w:t>
      </w:r>
      <w:r>
        <w:rPr>
          <w:rFonts w:asciiTheme="minorHAnsi" w:hAnsiTheme="minorHAnsi"/>
        </w:rPr>
        <w:t>A</w:t>
      </w:r>
      <w:r w:rsidRPr="006A64B4">
        <w:rPr>
          <w:rFonts w:asciiTheme="minorHAnsi" w:hAnsiTheme="minorHAnsi"/>
        </w:rPr>
        <w:t>mendments C170 and C102 to the Melbourne and Port Phillip Planning Schemes respectively</w:t>
      </w:r>
      <w:r>
        <w:rPr>
          <w:rFonts w:asciiTheme="minorHAnsi" w:hAnsiTheme="minorHAnsi"/>
        </w:rPr>
        <w:t>,</w:t>
      </w:r>
      <w:r w:rsidRPr="006A64B4">
        <w:rPr>
          <w:rFonts w:asciiTheme="minorHAnsi" w:hAnsiTheme="minorHAnsi"/>
        </w:rPr>
        <w:t xml:space="preserve"> on 5 July 2012.</w:t>
      </w:r>
    </w:p>
    <w:p w:rsidR="00785416" w:rsidRDefault="00E4382F" w:rsidP="00E4382F">
      <w:pPr>
        <w:pStyle w:val="PPVBody"/>
        <w:rPr>
          <w:rFonts w:asciiTheme="minorHAnsi" w:hAnsiTheme="minorHAnsi"/>
        </w:rPr>
      </w:pPr>
      <w:r w:rsidRPr="006A64B4">
        <w:rPr>
          <w:rFonts w:asciiTheme="minorHAnsi" w:hAnsiTheme="minorHAnsi"/>
        </w:rPr>
        <w:t>Despite reference to a Development Contributions Plan</w:t>
      </w:r>
      <w:r>
        <w:rPr>
          <w:rFonts w:asciiTheme="minorHAnsi" w:hAnsiTheme="minorHAnsi"/>
        </w:rPr>
        <w:t xml:space="preserve"> (DCP) being prepared</w:t>
      </w:r>
      <w:r w:rsidRPr="006A64B4">
        <w:rPr>
          <w:rFonts w:asciiTheme="minorHAnsi" w:hAnsiTheme="minorHAnsi"/>
        </w:rPr>
        <w:t xml:space="preserve"> in the </w:t>
      </w:r>
      <w:r w:rsidRPr="006A64B4">
        <w:rPr>
          <w:rFonts w:asciiTheme="minorHAnsi" w:hAnsiTheme="minorHAnsi"/>
          <w:i/>
        </w:rPr>
        <w:t>Fishermans Bend Strategic Planning Framework</w:t>
      </w:r>
      <w:r>
        <w:rPr>
          <w:rFonts w:asciiTheme="minorHAnsi" w:hAnsiTheme="minorHAnsi"/>
        </w:rPr>
        <w:t xml:space="preserve"> 2014</w:t>
      </w:r>
      <w:r w:rsidRPr="006A64B4">
        <w:rPr>
          <w:rFonts w:asciiTheme="minorHAnsi" w:hAnsiTheme="minorHAnsi"/>
        </w:rPr>
        <w:t xml:space="preserve"> and </w:t>
      </w:r>
      <w:r>
        <w:rPr>
          <w:rFonts w:asciiTheme="minorHAnsi" w:hAnsiTheme="minorHAnsi"/>
        </w:rPr>
        <w:t xml:space="preserve">in the </w:t>
      </w:r>
      <w:r w:rsidRPr="006A64B4">
        <w:rPr>
          <w:rFonts w:asciiTheme="minorHAnsi" w:hAnsiTheme="minorHAnsi"/>
        </w:rPr>
        <w:t xml:space="preserve">2016 amended version, </w:t>
      </w:r>
      <w:r>
        <w:rPr>
          <w:rFonts w:asciiTheme="minorHAnsi" w:hAnsiTheme="minorHAnsi"/>
        </w:rPr>
        <w:t>this has not occurred</w:t>
      </w:r>
      <w:r w:rsidRPr="006A64B4">
        <w:rPr>
          <w:rFonts w:asciiTheme="minorHAnsi" w:hAnsiTheme="minorHAnsi"/>
        </w:rPr>
        <w:t>.</w:t>
      </w:r>
      <w:r>
        <w:rPr>
          <w:rFonts w:asciiTheme="minorHAnsi" w:hAnsiTheme="minorHAnsi"/>
        </w:rPr>
        <w:t xml:space="preserve">  The Schedule to the DCPO allows a permit to be granted before an </w:t>
      </w:r>
      <w:r>
        <w:rPr>
          <w:rFonts w:asciiTheme="minorHAnsi" w:hAnsiTheme="minorHAnsi"/>
        </w:rPr>
        <w:lastRenderedPageBreak/>
        <w:t xml:space="preserve">approved DCP is in place if (among other things) the applicant enters into </w:t>
      </w:r>
      <w:r w:rsidRPr="006A64B4">
        <w:rPr>
          <w:rFonts w:asciiTheme="minorHAnsi" w:hAnsiTheme="minorHAnsi"/>
        </w:rPr>
        <w:t xml:space="preserve">an agreement </w:t>
      </w:r>
      <w:r>
        <w:rPr>
          <w:rFonts w:asciiTheme="minorHAnsi" w:hAnsiTheme="minorHAnsi"/>
        </w:rPr>
        <w:t>under s</w:t>
      </w:r>
      <w:r w:rsidRPr="006A64B4">
        <w:rPr>
          <w:rFonts w:asciiTheme="minorHAnsi" w:hAnsiTheme="minorHAnsi"/>
        </w:rPr>
        <w:t xml:space="preserve">ection 173 of the Act </w:t>
      </w:r>
      <w:r>
        <w:rPr>
          <w:rFonts w:asciiTheme="minorHAnsi" w:hAnsiTheme="minorHAnsi"/>
        </w:rPr>
        <w:t>that makes provision for development contributions.</w:t>
      </w:r>
    </w:p>
    <w:p w:rsidR="00E4382F" w:rsidRPr="006A64B4" w:rsidRDefault="00E4382F" w:rsidP="00E4382F">
      <w:pPr>
        <w:pStyle w:val="PPVBody"/>
        <w:rPr>
          <w:rFonts w:asciiTheme="minorHAnsi" w:hAnsiTheme="minorHAnsi"/>
        </w:rPr>
      </w:pPr>
      <w:r w:rsidRPr="006A64B4">
        <w:rPr>
          <w:rFonts w:asciiTheme="minorHAnsi" w:hAnsiTheme="minorHAnsi"/>
        </w:rPr>
        <w:t xml:space="preserve">All permits granted in Fishermans Bend to subdivide land or construct a building or carry out works </w:t>
      </w:r>
      <w:r>
        <w:rPr>
          <w:rFonts w:asciiTheme="minorHAnsi" w:hAnsiTheme="minorHAnsi"/>
        </w:rPr>
        <w:t>include</w:t>
      </w:r>
      <w:r w:rsidRPr="006A64B4">
        <w:rPr>
          <w:rFonts w:asciiTheme="minorHAnsi" w:hAnsiTheme="minorHAnsi"/>
        </w:rPr>
        <w:t xml:space="preserve"> a condition</w:t>
      </w:r>
      <w:r>
        <w:rPr>
          <w:rFonts w:asciiTheme="minorHAnsi" w:hAnsiTheme="minorHAnsi"/>
        </w:rPr>
        <w:t xml:space="preserve"> requiring</w:t>
      </w:r>
      <w:r w:rsidRPr="006A64B4">
        <w:rPr>
          <w:rFonts w:asciiTheme="minorHAnsi" w:hAnsiTheme="minorHAnsi"/>
        </w:rPr>
        <w:t xml:space="preserve"> applicant to enter into a</w:t>
      </w:r>
      <w:r>
        <w:rPr>
          <w:rFonts w:asciiTheme="minorHAnsi" w:hAnsiTheme="minorHAnsi"/>
        </w:rPr>
        <w:t xml:space="preserve"> section 173 </w:t>
      </w:r>
      <w:r w:rsidRPr="006A64B4">
        <w:rPr>
          <w:rFonts w:asciiTheme="minorHAnsi" w:hAnsiTheme="minorHAnsi"/>
        </w:rPr>
        <w:t xml:space="preserve">agreement requiring payment of a levy.  Levies have been collected at the following rates </w:t>
      </w:r>
      <w:r>
        <w:rPr>
          <w:rFonts w:asciiTheme="minorHAnsi" w:hAnsiTheme="minorHAnsi"/>
        </w:rPr>
        <w:t xml:space="preserve">(indexed </w:t>
      </w:r>
      <w:r w:rsidRPr="006A64B4">
        <w:rPr>
          <w:rFonts w:asciiTheme="minorHAnsi" w:hAnsiTheme="minorHAnsi"/>
        </w:rPr>
        <w:t>quarterly):</w:t>
      </w:r>
    </w:p>
    <w:p w:rsidR="00E4382F" w:rsidRPr="006A64B4" w:rsidRDefault="00E4382F" w:rsidP="00E4382F">
      <w:pPr>
        <w:pStyle w:val="PPVBullet1"/>
      </w:pPr>
      <w:r w:rsidRPr="006A64B4">
        <w:t>$15,900 per residential dwelling</w:t>
      </w:r>
    </w:p>
    <w:p w:rsidR="00E4382F" w:rsidRPr="006A64B4" w:rsidRDefault="00E4382F" w:rsidP="00E4382F">
      <w:pPr>
        <w:pStyle w:val="PPVBullet1"/>
      </w:pPr>
      <w:r w:rsidRPr="006A64B4">
        <w:t xml:space="preserve">$18,000 per 100 </w:t>
      </w:r>
      <w:r w:rsidR="004734D8">
        <w:t>square metres</w:t>
      </w:r>
      <w:r w:rsidRPr="006A64B4">
        <w:t xml:space="preserve"> of office area</w:t>
      </w:r>
    </w:p>
    <w:p w:rsidR="00E4382F" w:rsidRPr="006A64B4" w:rsidRDefault="00E4382F" w:rsidP="00E4382F">
      <w:pPr>
        <w:pStyle w:val="PPVBullet1"/>
      </w:pPr>
      <w:r w:rsidRPr="006A64B4">
        <w:t xml:space="preserve">$15,000 per 100 </w:t>
      </w:r>
      <w:r w:rsidR="004734D8">
        <w:t>square metres</w:t>
      </w:r>
      <w:r w:rsidRPr="006A64B4">
        <w:t xml:space="preserve"> of retail floor area</w:t>
      </w:r>
      <w:r>
        <w:t>.</w:t>
      </w:r>
    </w:p>
    <w:p w:rsidR="00E4382F" w:rsidRPr="006A64B4" w:rsidRDefault="00E4382F" w:rsidP="00E4382F">
      <w:pPr>
        <w:pStyle w:val="PPVBody"/>
        <w:rPr>
          <w:rFonts w:asciiTheme="minorHAnsi" w:hAnsiTheme="minorHAnsi"/>
        </w:rPr>
      </w:pPr>
      <w:r w:rsidRPr="006A64B4">
        <w:rPr>
          <w:rFonts w:asciiTheme="minorHAnsi" w:hAnsiTheme="minorHAnsi"/>
        </w:rPr>
        <w:t xml:space="preserve">The </w:t>
      </w:r>
      <w:r>
        <w:rPr>
          <w:rFonts w:asciiTheme="minorHAnsi" w:hAnsiTheme="minorHAnsi"/>
        </w:rPr>
        <w:t>Victorian Planning Authority</w:t>
      </w:r>
      <w:r w:rsidRPr="006A64B4">
        <w:rPr>
          <w:rFonts w:asciiTheme="minorHAnsi" w:hAnsiTheme="minorHAnsi"/>
        </w:rPr>
        <w:t xml:space="preserve"> is currently the collecting agency </w:t>
      </w:r>
      <w:r>
        <w:rPr>
          <w:rFonts w:asciiTheme="minorHAnsi" w:hAnsiTheme="minorHAnsi"/>
        </w:rPr>
        <w:t>for c</w:t>
      </w:r>
      <w:r w:rsidRPr="006A64B4">
        <w:rPr>
          <w:rFonts w:asciiTheme="minorHAnsi" w:hAnsiTheme="minorHAnsi"/>
        </w:rPr>
        <w:t xml:space="preserve">ontributions </w:t>
      </w:r>
      <w:r>
        <w:rPr>
          <w:rFonts w:asciiTheme="minorHAnsi" w:hAnsiTheme="minorHAnsi"/>
        </w:rPr>
        <w:t>collected under the s</w:t>
      </w:r>
      <w:r w:rsidRPr="006A64B4">
        <w:rPr>
          <w:rFonts w:asciiTheme="minorHAnsi" w:hAnsiTheme="minorHAnsi"/>
        </w:rPr>
        <w:t>ection 173 agreement</w:t>
      </w:r>
      <w:r>
        <w:rPr>
          <w:rFonts w:asciiTheme="minorHAnsi" w:hAnsiTheme="minorHAnsi"/>
        </w:rPr>
        <w:t>s.</w:t>
      </w:r>
    </w:p>
    <w:p w:rsidR="00E4382F" w:rsidRPr="006A64B4" w:rsidRDefault="00E4382F" w:rsidP="00E4382F">
      <w:pPr>
        <w:pStyle w:val="Heading4"/>
        <w:rPr>
          <w:rFonts w:asciiTheme="minorHAnsi" w:hAnsiTheme="minorHAnsi"/>
        </w:rPr>
      </w:pPr>
      <w:r w:rsidRPr="006A64B4">
        <w:rPr>
          <w:rFonts w:asciiTheme="minorHAnsi" w:hAnsiTheme="minorHAnsi"/>
        </w:rPr>
        <w:t>Metropolitan Planning Levy</w:t>
      </w:r>
    </w:p>
    <w:p w:rsidR="00E4382F" w:rsidRPr="006A64B4" w:rsidRDefault="00E4382F" w:rsidP="00E4382F">
      <w:pPr>
        <w:pStyle w:val="PPVBody"/>
        <w:rPr>
          <w:rFonts w:asciiTheme="minorHAnsi" w:hAnsiTheme="minorHAnsi"/>
        </w:rPr>
      </w:pPr>
      <w:r w:rsidRPr="006A64B4">
        <w:rPr>
          <w:rFonts w:asciiTheme="minorHAnsi" w:hAnsiTheme="minorHAnsi"/>
        </w:rPr>
        <w:t>The Metropolitan Planning Levy</w:t>
      </w:r>
      <w:r>
        <w:rPr>
          <w:rFonts w:asciiTheme="minorHAnsi" w:hAnsiTheme="minorHAnsi"/>
        </w:rPr>
        <w:t xml:space="preserve"> commenced on 1 July 2015.  It</w:t>
      </w:r>
      <w:r w:rsidRPr="006A64B4">
        <w:rPr>
          <w:rFonts w:asciiTheme="minorHAnsi" w:hAnsiTheme="minorHAnsi"/>
        </w:rPr>
        <w:t xml:space="preserve"> applies to permit applications for projects valued over $1 million in 2015</w:t>
      </w:r>
      <w:r w:rsidR="00A80B82">
        <w:rPr>
          <w:rFonts w:asciiTheme="minorHAnsi" w:hAnsiTheme="minorHAnsi"/>
        </w:rPr>
        <w:t>–</w:t>
      </w:r>
      <w:r w:rsidRPr="006A64B4">
        <w:rPr>
          <w:rFonts w:asciiTheme="minorHAnsi" w:hAnsiTheme="minorHAnsi"/>
        </w:rPr>
        <w:t>16 in the Melbourne metropolitan area.  The levy is set at $1.30 per $1</w:t>
      </w:r>
      <w:r>
        <w:rPr>
          <w:rFonts w:asciiTheme="minorHAnsi" w:hAnsiTheme="minorHAnsi"/>
        </w:rPr>
        <w:t>,000</w:t>
      </w:r>
      <w:r w:rsidRPr="006A64B4">
        <w:rPr>
          <w:rFonts w:asciiTheme="minorHAnsi" w:hAnsiTheme="minorHAnsi"/>
        </w:rPr>
        <w:t xml:space="preserve"> of development cost, or 0.13</w:t>
      </w:r>
      <w:r>
        <w:rPr>
          <w:rFonts w:asciiTheme="minorHAnsi" w:hAnsiTheme="minorHAnsi"/>
        </w:rPr>
        <w:t xml:space="preserve"> per cent</w:t>
      </w:r>
      <w:r w:rsidRPr="006A64B4">
        <w:rPr>
          <w:rFonts w:asciiTheme="minorHAnsi" w:hAnsiTheme="minorHAnsi"/>
        </w:rPr>
        <w:t xml:space="preserve"> of the whole value of the development that exceeds the threshold amount.  The Act does not provide for exemptions from payment of the levy, however</w:t>
      </w:r>
      <w:r>
        <w:rPr>
          <w:rFonts w:asciiTheme="minorHAnsi" w:hAnsiTheme="minorHAnsi"/>
        </w:rPr>
        <w:t>,</w:t>
      </w:r>
      <w:r w:rsidRPr="006A64B4">
        <w:rPr>
          <w:rFonts w:asciiTheme="minorHAnsi" w:hAnsiTheme="minorHAnsi"/>
        </w:rPr>
        <w:t xml:space="preserve"> the levy does not apply to planning permits </w:t>
      </w:r>
      <w:r>
        <w:rPr>
          <w:rFonts w:asciiTheme="minorHAnsi" w:hAnsiTheme="minorHAnsi"/>
        </w:rPr>
        <w:t xml:space="preserve">amended </w:t>
      </w:r>
      <w:r w:rsidRPr="006A64B4">
        <w:rPr>
          <w:rFonts w:asciiTheme="minorHAnsi" w:hAnsiTheme="minorHAnsi"/>
        </w:rPr>
        <w:t>under s</w:t>
      </w:r>
      <w:r>
        <w:rPr>
          <w:rFonts w:asciiTheme="minorHAnsi" w:hAnsiTheme="minorHAnsi"/>
        </w:rPr>
        <w:t xml:space="preserve">ection </w:t>
      </w:r>
      <w:r w:rsidRPr="006A64B4">
        <w:rPr>
          <w:rFonts w:asciiTheme="minorHAnsi" w:hAnsiTheme="minorHAnsi"/>
        </w:rPr>
        <w:t xml:space="preserve">72 of the Act.  The levy is adjusted on 1 July each year </w:t>
      </w:r>
      <w:r w:rsidR="004734D8">
        <w:rPr>
          <w:rFonts w:asciiTheme="minorHAnsi" w:hAnsiTheme="minorHAnsi"/>
        </w:rPr>
        <w:t>in line with the</w:t>
      </w:r>
      <w:r w:rsidRPr="006A64B4">
        <w:rPr>
          <w:rFonts w:asciiTheme="minorHAnsi" w:hAnsiTheme="minorHAnsi"/>
        </w:rPr>
        <w:t xml:space="preserve"> Consumer Price Index.</w:t>
      </w:r>
    </w:p>
    <w:p w:rsidR="00E4382F" w:rsidRPr="006A64B4" w:rsidRDefault="00E4382F" w:rsidP="00E4382F">
      <w:pPr>
        <w:pStyle w:val="PPVBody"/>
        <w:rPr>
          <w:rFonts w:asciiTheme="minorHAnsi" w:hAnsiTheme="minorHAnsi"/>
        </w:rPr>
      </w:pPr>
      <w:r w:rsidRPr="006A64B4">
        <w:rPr>
          <w:rFonts w:asciiTheme="minorHAnsi" w:hAnsiTheme="minorHAnsi"/>
        </w:rPr>
        <w:t>The State Revenue Office is the collection agency for th</w:t>
      </w:r>
      <w:r>
        <w:rPr>
          <w:rFonts w:asciiTheme="minorHAnsi" w:hAnsiTheme="minorHAnsi"/>
        </w:rPr>
        <w:t>is</w:t>
      </w:r>
      <w:r w:rsidRPr="006A64B4">
        <w:rPr>
          <w:rFonts w:asciiTheme="minorHAnsi" w:hAnsiTheme="minorHAnsi"/>
        </w:rPr>
        <w:t xml:space="preserve"> levy.  The </w:t>
      </w:r>
      <w:r>
        <w:rPr>
          <w:rFonts w:asciiTheme="minorHAnsi" w:hAnsiTheme="minorHAnsi"/>
        </w:rPr>
        <w:t>l</w:t>
      </w:r>
      <w:r w:rsidRPr="006A64B4">
        <w:rPr>
          <w:rFonts w:asciiTheme="minorHAnsi" w:hAnsiTheme="minorHAnsi"/>
        </w:rPr>
        <w:t>evy is not refundable</w:t>
      </w:r>
      <w:r>
        <w:rPr>
          <w:rFonts w:asciiTheme="minorHAnsi" w:hAnsiTheme="minorHAnsi"/>
        </w:rPr>
        <w:t>, including where</w:t>
      </w:r>
      <w:r w:rsidRPr="006A64B4">
        <w:rPr>
          <w:rFonts w:asciiTheme="minorHAnsi" w:hAnsiTheme="minorHAnsi"/>
        </w:rPr>
        <w:t>:</w:t>
      </w:r>
    </w:p>
    <w:p w:rsidR="00E4382F" w:rsidRPr="006A64B4" w:rsidRDefault="00E4382F" w:rsidP="00E4382F">
      <w:pPr>
        <w:pStyle w:val="PPVBullet1"/>
      </w:pPr>
      <w:r w:rsidRPr="006A64B4">
        <w:t>the cost of development is reduce</w:t>
      </w:r>
      <w:r>
        <w:t>d after the levy has been paid</w:t>
      </w:r>
    </w:p>
    <w:p w:rsidR="00E4382F" w:rsidRPr="006A64B4" w:rsidRDefault="00E4382F" w:rsidP="00E4382F">
      <w:pPr>
        <w:pStyle w:val="PPVBullet1"/>
      </w:pPr>
      <w:r w:rsidRPr="006A64B4">
        <w:t xml:space="preserve">the planning permit is refused, lapses </w:t>
      </w:r>
      <w:r>
        <w:t>or is subsequently cancelled</w:t>
      </w:r>
    </w:p>
    <w:p w:rsidR="00E4382F" w:rsidRPr="006A64B4" w:rsidRDefault="00E4382F" w:rsidP="00E4382F">
      <w:pPr>
        <w:pStyle w:val="PPVBullet1"/>
      </w:pPr>
      <w:r w:rsidRPr="006A64B4">
        <w:t>the development does not proceed.</w:t>
      </w:r>
    </w:p>
    <w:p w:rsidR="00E4382F" w:rsidRDefault="00E4382F" w:rsidP="00E4382F">
      <w:pPr>
        <w:pStyle w:val="PPVBody"/>
        <w:rPr>
          <w:rFonts w:asciiTheme="minorHAnsi" w:hAnsiTheme="minorHAnsi"/>
        </w:rPr>
      </w:pPr>
      <w:r w:rsidRPr="006A64B4">
        <w:rPr>
          <w:rFonts w:asciiTheme="minorHAnsi" w:hAnsiTheme="minorHAnsi"/>
          <w:i/>
        </w:rPr>
        <w:t xml:space="preserve">Planning Practice Note 82: Applying the Metropolitan Planning Levy </w:t>
      </w:r>
      <w:r w:rsidRPr="006A64B4">
        <w:rPr>
          <w:rFonts w:asciiTheme="minorHAnsi" w:hAnsiTheme="minorHAnsi"/>
        </w:rPr>
        <w:t xml:space="preserve">(May 2016) states that the Metropolitan Planning Levy is intended to support the delivery of </w:t>
      </w:r>
      <w:r w:rsidRPr="006A64B4">
        <w:rPr>
          <w:rFonts w:asciiTheme="minorHAnsi" w:hAnsiTheme="minorHAnsi"/>
          <w:i/>
        </w:rPr>
        <w:t>Plan Melbourne</w:t>
      </w:r>
      <w:r w:rsidRPr="006A64B4">
        <w:rPr>
          <w:rFonts w:asciiTheme="minorHAnsi" w:hAnsiTheme="minorHAnsi"/>
        </w:rPr>
        <w:t xml:space="preserve"> initiatives through DELWP and the </w:t>
      </w:r>
      <w:r>
        <w:rPr>
          <w:rFonts w:asciiTheme="minorHAnsi" w:hAnsiTheme="minorHAnsi"/>
        </w:rPr>
        <w:t xml:space="preserve">Victorian Planning Authority.  </w:t>
      </w:r>
      <w:r w:rsidRPr="006A64B4">
        <w:rPr>
          <w:rFonts w:asciiTheme="minorHAnsi" w:hAnsiTheme="minorHAnsi"/>
        </w:rPr>
        <w:t>Budget Paper 5, published by the Victorian Government in May 2018</w:t>
      </w:r>
      <w:r>
        <w:rPr>
          <w:rFonts w:asciiTheme="minorHAnsi" w:hAnsiTheme="minorHAnsi"/>
        </w:rPr>
        <w:t>,</w:t>
      </w:r>
      <w:r w:rsidRPr="006A64B4">
        <w:rPr>
          <w:rFonts w:asciiTheme="minorHAnsi" w:hAnsiTheme="minorHAnsi"/>
        </w:rPr>
        <w:t xml:space="preserve"> state</w:t>
      </w:r>
      <w:r>
        <w:rPr>
          <w:rFonts w:asciiTheme="minorHAnsi" w:hAnsiTheme="minorHAnsi"/>
        </w:rPr>
        <w:t>s</w:t>
      </w:r>
      <w:r w:rsidRPr="006A64B4">
        <w:rPr>
          <w:rFonts w:asciiTheme="minorHAnsi" w:hAnsiTheme="minorHAnsi"/>
        </w:rPr>
        <w:t xml:space="preserve"> that revenue from the Metropolitan Planning Levy is expected to be $26 million in 2018</w:t>
      </w:r>
      <w:r w:rsidR="00A80B82">
        <w:rPr>
          <w:rFonts w:asciiTheme="minorHAnsi" w:hAnsiTheme="minorHAnsi"/>
        </w:rPr>
        <w:t>–</w:t>
      </w:r>
      <w:r w:rsidRPr="006A64B4">
        <w:rPr>
          <w:rFonts w:asciiTheme="minorHAnsi" w:hAnsiTheme="minorHAnsi"/>
        </w:rPr>
        <w:t>19 and grow by an average of 2.6 per cent a year over the forward estimates.</w:t>
      </w:r>
    </w:p>
    <w:p w:rsidR="00222A51" w:rsidRPr="00A90F8A" w:rsidRDefault="00022E29" w:rsidP="008B68A1">
      <w:pPr>
        <w:pStyle w:val="Heading1"/>
        <w:rPr>
          <w:rFonts w:asciiTheme="minorHAnsi" w:hAnsiTheme="minorHAnsi"/>
        </w:rPr>
      </w:pPr>
      <w:bookmarkStart w:id="50" w:name="_Toc326586197"/>
      <w:bookmarkStart w:id="51" w:name="_Toc519710242"/>
      <w:bookmarkStart w:id="52" w:name="_Toc519766802"/>
      <w:r w:rsidRPr="00A90F8A">
        <w:rPr>
          <w:rFonts w:asciiTheme="minorHAnsi" w:hAnsiTheme="minorHAnsi"/>
        </w:rPr>
        <w:lastRenderedPageBreak/>
        <w:t>L</w:t>
      </w:r>
      <w:r w:rsidR="00FA6606" w:rsidRPr="00A90F8A">
        <w:rPr>
          <w:rFonts w:asciiTheme="minorHAnsi" w:hAnsiTheme="minorHAnsi"/>
        </w:rPr>
        <w:t xml:space="preserve">egislative, </w:t>
      </w:r>
      <w:r w:rsidR="002B41A5" w:rsidRPr="00A90F8A">
        <w:rPr>
          <w:rFonts w:asciiTheme="minorHAnsi" w:hAnsiTheme="minorHAnsi"/>
        </w:rPr>
        <w:t>p</w:t>
      </w:r>
      <w:r w:rsidR="00CC5E3C" w:rsidRPr="00A90F8A">
        <w:rPr>
          <w:rFonts w:asciiTheme="minorHAnsi" w:hAnsiTheme="minorHAnsi"/>
        </w:rPr>
        <w:t>olicy</w:t>
      </w:r>
      <w:r w:rsidR="00634F92" w:rsidRPr="00A90F8A">
        <w:rPr>
          <w:rFonts w:asciiTheme="minorHAnsi" w:hAnsiTheme="minorHAnsi"/>
        </w:rPr>
        <w:t xml:space="preserve"> </w:t>
      </w:r>
      <w:r w:rsidR="00FA6606" w:rsidRPr="00A90F8A">
        <w:rPr>
          <w:rFonts w:asciiTheme="minorHAnsi" w:hAnsiTheme="minorHAnsi"/>
        </w:rPr>
        <w:t xml:space="preserve">and planning </w:t>
      </w:r>
      <w:r w:rsidR="00634F92" w:rsidRPr="00A90F8A">
        <w:rPr>
          <w:rFonts w:asciiTheme="minorHAnsi" w:hAnsiTheme="minorHAnsi"/>
        </w:rPr>
        <w:t>c</w:t>
      </w:r>
      <w:r w:rsidR="00222A51" w:rsidRPr="00A90F8A">
        <w:rPr>
          <w:rFonts w:asciiTheme="minorHAnsi" w:hAnsiTheme="minorHAnsi"/>
        </w:rPr>
        <w:t>ontext</w:t>
      </w:r>
      <w:bookmarkEnd w:id="50"/>
      <w:bookmarkEnd w:id="51"/>
      <w:bookmarkEnd w:id="52"/>
    </w:p>
    <w:p w:rsidR="00EE461B" w:rsidRDefault="00854522" w:rsidP="00DD6314">
      <w:pPr>
        <w:pStyle w:val="Heading2"/>
      </w:pPr>
      <w:bookmarkStart w:id="53" w:name="_Toc519710243"/>
      <w:bookmarkStart w:id="54" w:name="_Toc519766803"/>
      <w:bookmarkStart w:id="55" w:name="_Toc326586198"/>
      <w:r w:rsidRPr="008944EF">
        <w:t>Planning and Environment Act 1987</w:t>
      </w:r>
      <w:bookmarkEnd w:id="53"/>
      <w:bookmarkEnd w:id="54"/>
    </w:p>
    <w:p w:rsidR="009F3220" w:rsidRDefault="009F3220" w:rsidP="009F3220">
      <w:pPr>
        <w:pStyle w:val="PPVBody"/>
        <w:rPr>
          <w:rFonts w:asciiTheme="minorHAnsi" w:hAnsiTheme="minorHAnsi"/>
        </w:rPr>
      </w:pPr>
      <w:r>
        <w:rPr>
          <w:rFonts w:asciiTheme="minorHAnsi" w:hAnsiTheme="minorHAnsi"/>
        </w:rPr>
        <w:t>Planning authorities must implement the objectives of planning in Victoria.  These are set out in section 4 of the Act.  Those of particular relevance in the context of the draft Amendment are:</w:t>
      </w:r>
    </w:p>
    <w:p w:rsidR="00EE461B" w:rsidRDefault="002F0807" w:rsidP="006236F3">
      <w:pPr>
        <w:pStyle w:val="PPVQuotewithanumber"/>
      </w:pPr>
      <w:r w:rsidRPr="000C07A4">
        <w:t xml:space="preserve">4 </w:t>
      </w:r>
      <w:r>
        <w:tab/>
      </w:r>
      <w:r w:rsidRPr="000C07A4">
        <w:t>Objectives</w:t>
      </w:r>
    </w:p>
    <w:p w:rsidR="00EE461B" w:rsidRDefault="002F0807" w:rsidP="006236F3">
      <w:pPr>
        <w:pStyle w:val="PPVQuotewithanumber"/>
      </w:pPr>
      <w:r w:rsidRPr="00DF5927">
        <w:t xml:space="preserve">(1) </w:t>
      </w:r>
      <w:r>
        <w:tab/>
      </w:r>
      <w:r w:rsidRPr="00DF5927">
        <w:t>The objecti</w:t>
      </w:r>
      <w:r w:rsidR="006875DE">
        <w:t>ves of planning in Victoria are</w:t>
      </w:r>
    </w:p>
    <w:p w:rsidR="00EE461B" w:rsidRDefault="002F0807" w:rsidP="00772D9C">
      <w:pPr>
        <w:pStyle w:val="PPVQuote"/>
        <w:ind w:left="1276" w:hanging="425"/>
      </w:pPr>
      <w:r w:rsidRPr="00772D9C">
        <w:t xml:space="preserve">(a) </w:t>
      </w:r>
      <w:r w:rsidRPr="00772D9C">
        <w:tab/>
        <w:t>to provide for the fair, orderly, economic and sustainab</w:t>
      </w:r>
      <w:r w:rsidR="007C1417" w:rsidRPr="00772D9C">
        <w:t>le use, and development of land</w:t>
      </w:r>
    </w:p>
    <w:p w:rsidR="004734D8" w:rsidRPr="00772D9C" w:rsidRDefault="004734D8" w:rsidP="00772D9C">
      <w:pPr>
        <w:pStyle w:val="PPVQuote"/>
        <w:ind w:left="1276" w:hanging="425"/>
      </w:pPr>
      <w:r>
        <w:t xml:space="preserve">(b) </w:t>
      </w:r>
      <w:r>
        <w:tab/>
        <w:t>…</w:t>
      </w:r>
    </w:p>
    <w:p w:rsidR="00EE461B" w:rsidRDefault="002F0807" w:rsidP="00772D9C">
      <w:pPr>
        <w:pStyle w:val="PPVQuote"/>
        <w:ind w:left="1276" w:hanging="425"/>
      </w:pPr>
      <w:r w:rsidRPr="00772D9C">
        <w:t xml:space="preserve">(c) </w:t>
      </w:r>
      <w:r w:rsidRPr="00772D9C">
        <w:tab/>
        <w:t>to secure a pleasant, efficient and safe working, living and recreational environment for all Vict</w:t>
      </w:r>
      <w:r w:rsidR="007C1417" w:rsidRPr="00772D9C">
        <w:t>orians and visitors to Victoria</w:t>
      </w:r>
    </w:p>
    <w:p w:rsidR="004734D8" w:rsidRPr="00772D9C" w:rsidRDefault="004734D8" w:rsidP="00772D9C">
      <w:pPr>
        <w:pStyle w:val="PPVQuote"/>
        <w:ind w:left="1276" w:hanging="425"/>
      </w:pPr>
      <w:r>
        <w:t xml:space="preserve">(d) </w:t>
      </w:r>
      <w:r>
        <w:tab/>
        <w:t>…</w:t>
      </w:r>
    </w:p>
    <w:p w:rsidR="00EE461B" w:rsidRPr="00772D9C" w:rsidRDefault="002F0807" w:rsidP="00772D9C">
      <w:pPr>
        <w:pStyle w:val="PPVQuote"/>
        <w:ind w:left="1276" w:hanging="425"/>
      </w:pPr>
      <w:r w:rsidRPr="00772D9C">
        <w:t xml:space="preserve">(e) </w:t>
      </w:r>
      <w:r w:rsidRPr="00772D9C">
        <w:tab/>
        <w:t>to protect public utilities and other assets and enable the orderly provision and co</w:t>
      </w:r>
      <w:r w:rsidR="007C1417" w:rsidRPr="00772D9C">
        <w:t>ordination</w:t>
      </w:r>
      <w:r w:rsidRPr="00772D9C">
        <w:t xml:space="preserve"> of public utilities and other facilities f</w:t>
      </w:r>
      <w:r w:rsidR="007C1417" w:rsidRPr="00772D9C">
        <w:t>or the benefit of the community</w:t>
      </w:r>
    </w:p>
    <w:p w:rsidR="00EE461B" w:rsidRPr="00772D9C" w:rsidRDefault="002F0807" w:rsidP="00772D9C">
      <w:pPr>
        <w:pStyle w:val="PPVQuote"/>
        <w:ind w:left="1276" w:hanging="425"/>
      </w:pPr>
      <w:r w:rsidRPr="00772D9C">
        <w:t xml:space="preserve">(f) </w:t>
      </w:r>
      <w:r w:rsidRPr="00772D9C">
        <w:tab/>
        <w:t>to facilitate development in accordance with the objectives</w:t>
      </w:r>
      <w:r w:rsidR="007A25E6">
        <w:t xml:space="preserve"> </w:t>
      </w:r>
      <w:r w:rsidRPr="00772D9C">
        <w:t>…</w:t>
      </w:r>
    </w:p>
    <w:p w:rsidR="00EE461B" w:rsidRPr="00772D9C" w:rsidRDefault="002F0807" w:rsidP="00772D9C">
      <w:pPr>
        <w:pStyle w:val="PPVQuote"/>
        <w:ind w:left="1276" w:hanging="425"/>
      </w:pPr>
      <w:r w:rsidRPr="00772D9C">
        <w:t xml:space="preserve">(g) </w:t>
      </w:r>
      <w:r w:rsidRPr="00772D9C">
        <w:tab/>
        <w:t>to balance the present and future interests of all Victorians.</w:t>
      </w:r>
    </w:p>
    <w:p w:rsidR="00EE461B" w:rsidRDefault="002F0807" w:rsidP="006236F3">
      <w:pPr>
        <w:pStyle w:val="PPVQuotewithanumber"/>
      </w:pPr>
      <w:r>
        <w:t>(2)</w:t>
      </w:r>
      <w:r>
        <w:tab/>
      </w:r>
      <w:r w:rsidRPr="00DF5927">
        <w:t>The objectives of the planning framew</w:t>
      </w:r>
      <w:r w:rsidR="006875DE">
        <w:t>ork established by this Act are</w:t>
      </w:r>
    </w:p>
    <w:p w:rsidR="00EE461B" w:rsidRDefault="002F0807" w:rsidP="00772D9C">
      <w:pPr>
        <w:pStyle w:val="PPVQuote"/>
        <w:ind w:left="1276" w:hanging="425"/>
      </w:pPr>
      <w:r w:rsidRPr="00772D9C">
        <w:t xml:space="preserve">(a) </w:t>
      </w:r>
      <w:r w:rsidRPr="00772D9C">
        <w:tab/>
        <w:t>to ensure sound, strategic planning and co</w:t>
      </w:r>
      <w:r w:rsidR="007C1417" w:rsidRPr="00772D9C">
        <w:t>ordinated</w:t>
      </w:r>
      <w:r w:rsidRPr="00772D9C">
        <w:t xml:space="preserve"> action at State</w:t>
      </w:r>
      <w:r w:rsidR="007C1417" w:rsidRPr="00772D9C">
        <w:t>, regional and municipal levels</w:t>
      </w:r>
    </w:p>
    <w:p w:rsidR="004734D8" w:rsidRPr="00772D9C" w:rsidRDefault="004734D8" w:rsidP="00772D9C">
      <w:pPr>
        <w:pStyle w:val="PPVQuote"/>
        <w:ind w:left="1276" w:hanging="425"/>
      </w:pPr>
      <w:r>
        <w:t xml:space="preserve">(b) </w:t>
      </w:r>
      <w:r>
        <w:tab/>
        <w:t>…</w:t>
      </w:r>
    </w:p>
    <w:p w:rsidR="00EE461B" w:rsidRPr="00772D9C" w:rsidRDefault="002F0807" w:rsidP="00772D9C">
      <w:pPr>
        <w:pStyle w:val="PPVQuote"/>
        <w:ind w:left="1276" w:hanging="425"/>
      </w:pPr>
      <w:r w:rsidRPr="00772D9C">
        <w:t xml:space="preserve">(c) </w:t>
      </w:r>
      <w:r w:rsidRPr="00772D9C">
        <w:tab/>
        <w:t>to enable land use and development planning and policy to be easily integrated with environmental, social, economic, conservation and resource management policies at State</w:t>
      </w:r>
      <w:r w:rsidR="007C1417" w:rsidRPr="00772D9C">
        <w:t>, regional and municipal levels</w:t>
      </w:r>
    </w:p>
    <w:p w:rsidR="00EE461B" w:rsidRPr="00772D9C" w:rsidRDefault="002F0807" w:rsidP="00772D9C">
      <w:pPr>
        <w:pStyle w:val="PPVQuote"/>
        <w:ind w:left="1276" w:hanging="425"/>
      </w:pPr>
      <w:r w:rsidRPr="00772D9C">
        <w:t xml:space="preserve">(d) </w:t>
      </w:r>
      <w:r w:rsidRPr="00772D9C">
        <w:tab/>
        <w:t xml:space="preserve">to ensure that the effects on the environment are considered and provide for explicit consideration of social and economic effects when decisions are made about </w:t>
      </w:r>
      <w:r w:rsidR="007C1417" w:rsidRPr="00772D9C">
        <w:t>the use and development of land</w:t>
      </w:r>
    </w:p>
    <w:p w:rsidR="00EE461B" w:rsidRPr="00772D9C" w:rsidRDefault="002F0807" w:rsidP="00772D9C">
      <w:pPr>
        <w:pStyle w:val="PPVQuote"/>
        <w:ind w:left="1276" w:hanging="425"/>
      </w:pPr>
      <w:r w:rsidRPr="00772D9C">
        <w:t>(e)</w:t>
      </w:r>
      <w:r w:rsidRPr="00772D9C">
        <w:tab/>
        <w:t xml:space="preserve"> to facilitate development which achieves the objectives of planning in Victoria and planning object</w:t>
      </w:r>
      <w:r w:rsidR="007C1417" w:rsidRPr="00772D9C">
        <w:t>ives set up in planning schemes</w:t>
      </w:r>
    </w:p>
    <w:p w:rsidR="00EE461B" w:rsidRDefault="002F0807" w:rsidP="00772D9C">
      <w:pPr>
        <w:pStyle w:val="PPVQuote"/>
        <w:ind w:left="1276" w:hanging="425"/>
      </w:pPr>
      <w:r w:rsidRPr="00772D9C">
        <w:t xml:space="preserve">(g) </w:t>
      </w:r>
      <w:r w:rsidRPr="00772D9C">
        <w:tab/>
        <w:t>to encourage the achievement of planning objectives through positive actions by responsible autho</w:t>
      </w:r>
      <w:r w:rsidR="007C1417" w:rsidRPr="00772D9C">
        <w:t>rities and planning authorities</w:t>
      </w:r>
    </w:p>
    <w:p w:rsidR="004734D8" w:rsidRPr="00772D9C" w:rsidRDefault="004734D8" w:rsidP="00772D9C">
      <w:pPr>
        <w:pStyle w:val="PPVQuote"/>
        <w:ind w:left="1276" w:hanging="425"/>
      </w:pPr>
      <w:r>
        <w:t xml:space="preserve">(h) </w:t>
      </w:r>
      <w:r>
        <w:tab/>
      </w:r>
      <w:r w:rsidR="007A25E6">
        <w:t>…</w:t>
      </w:r>
    </w:p>
    <w:p w:rsidR="002F0807" w:rsidRPr="00772D9C" w:rsidRDefault="002F0807" w:rsidP="00772D9C">
      <w:pPr>
        <w:pStyle w:val="PPVQuote"/>
        <w:ind w:left="1276" w:hanging="425"/>
      </w:pPr>
      <w:r w:rsidRPr="00772D9C">
        <w:t>(l)</w:t>
      </w:r>
      <w:r w:rsidRPr="00772D9C">
        <w:tab/>
        <w:t>to provide for compensation when land is set aside for public purposes and in other circumstances.</w:t>
      </w:r>
    </w:p>
    <w:p w:rsidR="002F0807" w:rsidRDefault="002F0807" w:rsidP="002F0807">
      <w:pPr>
        <w:pStyle w:val="PPVBody"/>
      </w:pPr>
      <w:r w:rsidRPr="00927965">
        <w:t>Part 9</w:t>
      </w:r>
      <w:r>
        <w:t>A</w:t>
      </w:r>
      <w:r w:rsidRPr="00927965">
        <w:t xml:space="preserve"> of the Act sets out powers for the compulsory acquisition of land and closure of roads </w:t>
      </w:r>
      <w:r>
        <w:t xml:space="preserve">in connection with projects </w:t>
      </w:r>
      <w:r w:rsidRPr="00927965">
        <w:t>declare</w:t>
      </w:r>
      <w:r>
        <w:t>d</w:t>
      </w:r>
      <w:r w:rsidRPr="00927965">
        <w:t xml:space="preserve"> </w:t>
      </w:r>
      <w:r>
        <w:t>to be of S</w:t>
      </w:r>
      <w:r w:rsidRPr="00927965">
        <w:t>tate significance.</w:t>
      </w:r>
      <w:r>
        <w:t xml:space="preserve">  Under section </w:t>
      </w:r>
      <w:r>
        <w:lastRenderedPageBreak/>
        <w:t>201E(3), t</w:t>
      </w:r>
      <w:r w:rsidRPr="00927965">
        <w:t>he Minister may</w:t>
      </w:r>
      <w:r>
        <w:t xml:space="preserve"> </w:t>
      </w:r>
      <w:r w:rsidRPr="00927965">
        <w:t xml:space="preserve">declare specified land required for a declared project to be </w:t>
      </w:r>
      <w:r>
        <w:t>‘</w:t>
      </w:r>
      <w:r w:rsidRPr="00927965">
        <w:t>special project land</w:t>
      </w:r>
      <w:r>
        <w:t>’</w:t>
      </w:r>
      <w:r w:rsidRPr="00927965">
        <w:t xml:space="preserve">.  </w:t>
      </w:r>
      <w:r>
        <w:t>Under s</w:t>
      </w:r>
      <w:r w:rsidRPr="00927965">
        <w:t>ection 201I</w:t>
      </w:r>
      <w:r>
        <w:t>,</w:t>
      </w:r>
      <w:r w:rsidRPr="00927965">
        <w:t xml:space="preserve"> </w:t>
      </w:r>
      <w:r>
        <w:t xml:space="preserve">the Secretary can </w:t>
      </w:r>
      <w:r w:rsidRPr="00927965">
        <w:t>compulsorily acquire</w:t>
      </w:r>
      <w:r>
        <w:t xml:space="preserve"> special project land</w:t>
      </w:r>
      <w:r w:rsidRPr="00927965">
        <w:t xml:space="preserve">. </w:t>
      </w:r>
      <w:r>
        <w:t xml:space="preserve"> Normally, land has to be reserv</w:t>
      </w:r>
      <w:r w:rsidR="006875DE">
        <w:t xml:space="preserve">ed under a planning instrument </w:t>
      </w:r>
      <w:r>
        <w:t>by the application of a</w:t>
      </w:r>
      <w:r w:rsidR="006875DE">
        <w:t xml:space="preserve"> Public Acquisition Overlay</w:t>
      </w:r>
      <w:r>
        <w:t xml:space="preserve"> </w:t>
      </w:r>
      <w:r w:rsidR="006875DE">
        <w:t>(</w:t>
      </w:r>
      <w:r>
        <w:t xml:space="preserve">PAO) before it can be compulsorily acquired, but section 5(4B) of the </w:t>
      </w:r>
      <w:r w:rsidR="006875DE" w:rsidRPr="006875DE">
        <w:rPr>
          <w:i/>
        </w:rPr>
        <w:t>Land and Acquisition Act 1986</w:t>
      </w:r>
      <w:r w:rsidR="006875DE">
        <w:t xml:space="preserve"> (LACA) </w:t>
      </w:r>
      <w:r>
        <w:t>states that this requirement does not apply to special project land.</w:t>
      </w:r>
    </w:p>
    <w:p w:rsidR="00EE461B" w:rsidRDefault="002F0807" w:rsidP="002F0807">
      <w:pPr>
        <w:pStyle w:val="PPVBody"/>
      </w:pPr>
      <w:r>
        <w:t>Part 9A adopts the provisions of the LACA dealing with the mechanics of the acquisition process (serving notices of intention to acquire, notices of acquisition etc), and the assessment and payment of compensation</w:t>
      </w:r>
      <w:r w:rsidRPr="00927965">
        <w:t>.</w:t>
      </w:r>
    </w:p>
    <w:p w:rsidR="00785416" w:rsidRDefault="00854522" w:rsidP="00DD6314">
      <w:pPr>
        <w:pStyle w:val="Heading2"/>
      </w:pPr>
      <w:bookmarkStart w:id="56" w:name="_Ref519689333"/>
      <w:bookmarkStart w:id="57" w:name="_Toc519710244"/>
      <w:bookmarkStart w:id="58" w:name="_Toc519766804"/>
      <w:r w:rsidRPr="008944EF">
        <w:t>Housing Affordability Act</w:t>
      </w:r>
      <w:bookmarkEnd w:id="56"/>
      <w:bookmarkEnd w:id="57"/>
      <w:bookmarkEnd w:id="58"/>
    </w:p>
    <w:p w:rsidR="00EE461B" w:rsidRDefault="0095776E" w:rsidP="0095776E">
      <w:pPr>
        <w:pStyle w:val="PPVBody"/>
        <w:rPr>
          <w:sz w:val="23"/>
          <w:szCs w:val="23"/>
        </w:rPr>
      </w:pPr>
      <w:r>
        <w:rPr>
          <w:rFonts w:asciiTheme="minorHAnsi" w:hAnsiTheme="minorHAnsi"/>
        </w:rPr>
        <w:t xml:space="preserve">On 1 July 2018, the </w:t>
      </w:r>
      <w:r w:rsidRPr="00575255">
        <w:rPr>
          <w:rFonts w:asciiTheme="minorHAnsi" w:hAnsiTheme="minorHAnsi"/>
          <w:i/>
        </w:rPr>
        <w:t>Planning and Building Legislation Amendment (Housing Affordability and Other Matters) Act</w:t>
      </w:r>
      <w:r>
        <w:rPr>
          <w:rFonts w:asciiTheme="minorHAnsi" w:hAnsiTheme="minorHAnsi"/>
        </w:rPr>
        <w:t xml:space="preserve"> </w:t>
      </w:r>
      <w:r w:rsidRPr="00562AEE">
        <w:rPr>
          <w:rFonts w:asciiTheme="minorHAnsi" w:hAnsiTheme="minorHAnsi"/>
          <w:i/>
        </w:rPr>
        <w:t>201</w:t>
      </w:r>
      <w:r w:rsidR="006875DE">
        <w:rPr>
          <w:rFonts w:asciiTheme="minorHAnsi" w:hAnsiTheme="minorHAnsi"/>
          <w:i/>
        </w:rPr>
        <w:t>7</w:t>
      </w:r>
      <w:r>
        <w:rPr>
          <w:rFonts w:asciiTheme="minorHAnsi" w:hAnsiTheme="minorHAnsi"/>
        </w:rPr>
        <w:t xml:space="preserve"> (the Housing Affordability Act) came into force, making changes to </w:t>
      </w:r>
      <w:r w:rsidRPr="0095776E">
        <w:t>the Act to support affordable housing.  The Housing Affordability Act seeks to implement policy initiatives set out in the State Government’s Homes for Victorians policy for voluntary arrangements to facilitate the provision of social and affordable housing, using section 173 agreements.</w:t>
      </w:r>
    </w:p>
    <w:p w:rsidR="0095776E" w:rsidRDefault="0095776E" w:rsidP="0095776E">
      <w:pPr>
        <w:pStyle w:val="PPVBody"/>
        <w:rPr>
          <w:rFonts w:asciiTheme="minorHAnsi" w:hAnsiTheme="minorHAnsi"/>
        </w:rPr>
      </w:pPr>
      <w:r>
        <w:rPr>
          <w:rFonts w:asciiTheme="minorHAnsi" w:hAnsiTheme="minorHAnsi"/>
        </w:rPr>
        <w:t>The Housing Affordability Act</w:t>
      </w:r>
      <w:r w:rsidR="009F3220">
        <w:rPr>
          <w:rFonts w:asciiTheme="minorHAnsi" w:hAnsiTheme="minorHAnsi"/>
        </w:rPr>
        <w:t xml:space="preserve"> added</w:t>
      </w:r>
      <w:r>
        <w:rPr>
          <w:rFonts w:asciiTheme="minorHAnsi" w:hAnsiTheme="minorHAnsi"/>
        </w:rPr>
        <w:t>:</w:t>
      </w:r>
    </w:p>
    <w:p w:rsidR="0095776E" w:rsidRPr="00575255" w:rsidRDefault="0095776E" w:rsidP="004F6781">
      <w:pPr>
        <w:pStyle w:val="PPVBullet1"/>
      </w:pPr>
      <w:r>
        <w:t xml:space="preserve">a </w:t>
      </w:r>
      <w:r w:rsidRPr="00575255">
        <w:t>new objective</w:t>
      </w:r>
      <w:r>
        <w:t xml:space="preserve"> – </w:t>
      </w:r>
      <w:r w:rsidRPr="00575255">
        <w:t>“</w:t>
      </w:r>
      <w:r w:rsidRPr="00575255">
        <w:rPr>
          <w:i/>
        </w:rPr>
        <w:t>to facilitate the provision of affordable housing in Victoria</w:t>
      </w:r>
      <w:r>
        <w:t>”</w:t>
      </w:r>
    </w:p>
    <w:p w:rsidR="0095776E" w:rsidRPr="00575255" w:rsidRDefault="0095776E" w:rsidP="004F6781">
      <w:pPr>
        <w:pStyle w:val="PPVBullet1"/>
      </w:pPr>
      <w:r>
        <w:t xml:space="preserve">a new </w:t>
      </w:r>
      <w:r w:rsidRPr="00575255">
        <w:t>definition</w:t>
      </w:r>
      <w:r>
        <w:t xml:space="preserve"> </w:t>
      </w:r>
      <w:r w:rsidRPr="00575255">
        <w:t>– “</w:t>
      </w:r>
      <w:r w:rsidRPr="00575255">
        <w:rPr>
          <w:i/>
        </w:rPr>
        <w:t>affordable housing is housing, including social housing, that is appropriate for the housing needs of very low, low, and moderate</w:t>
      </w:r>
      <w:r w:rsidR="00F224D9">
        <w:rPr>
          <w:i/>
        </w:rPr>
        <w:t xml:space="preserve"> </w:t>
      </w:r>
      <w:r w:rsidRPr="00575255">
        <w:rPr>
          <w:i/>
        </w:rPr>
        <w:t>income households</w:t>
      </w:r>
      <w:r>
        <w:t>”</w:t>
      </w:r>
    </w:p>
    <w:p w:rsidR="0095776E" w:rsidRPr="00575255" w:rsidRDefault="0095776E" w:rsidP="004F6781">
      <w:pPr>
        <w:pStyle w:val="PPVBullet1"/>
      </w:pPr>
      <w:r>
        <w:t xml:space="preserve">an explicit head of power to </w:t>
      </w:r>
      <w:r w:rsidRPr="00575255">
        <w:t xml:space="preserve">use section 173 </w:t>
      </w:r>
      <w:r>
        <w:t xml:space="preserve">agreements </w:t>
      </w:r>
      <w:r w:rsidRPr="00575255">
        <w:t>for voluntary affordable housing agreements</w:t>
      </w:r>
      <w:r>
        <w:t xml:space="preserve"> (the new section 173(1A))</w:t>
      </w:r>
      <w:r w:rsidRPr="00575255">
        <w:t>.</w:t>
      </w:r>
    </w:p>
    <w:p w:rsidR="0095776E" w:rsidRDefault="0095776E" w:rsidP="0095776E">
      <w:pPr>
        <w:pStyle w:val="PPVBody"/>
      </w:pPr>
      <w:r>
        <w:t>An Order in Council has been made which specifies the income ranges for very low, low and moderate income households</w:t>
      </w:r>
      <w:r w:rsidR="009F3220">
        <w:t>.</w:t>
      </w:r>
      <w:r w:rsidRPr="00820B43">
        <w:rPr>
          <w:rStyle w:val="FootnoteReference"/>
        </w:rPr>
        <w:footnoteReference w:id="10"/>
      </w:r>
      <w:r w:rsidR="009F3220">
        <w:t xml:space="preserve">  The </w:t>
      </w:r>
      <w:r>
        <w:t>Minister has published a notice specifying what has to be taken into account for the purposes of determining what is appropriate for the housing needs of very low, low and moderate income households</w:t>
      </w:r>
      <w:r w:rsidR="00AF76AF">
        <w:t>.</w:t>
      </w:r>
      <w:r>
        <w:t xml:space="preserve">  DELWP has published a model section 173 agreement which can be used as a basis for affordable housing agreements</w:t>
      </w:r>
      <w:r w:rsidR="00AF76AF">
        <w:t>.</w:t>
      </w:r>
      <w:r w:rsidR="00AF76AF" w:rsidRPr="00820B43">
        <w:rPr>
          <w:rStyle w:val="FootnoteReference"/>
        </w:rPr>
        <w:footnoteReference w:id="11"/>
      </w:r>
      <w:r w:rsidR="00E5286E">
        <w:t xml:space="preserve">  The income ranges for Melbourne for the purposes of the definition of affordable housing are:</w:t>
      </w:r>
    </w:p>
    <w:p w:rsidR="00E5286E" w:rsidRDefault="00E5286E" w:rsidP="00CD1B37">
      <w:pPr>
        <w:pStyle w:val="PPVBullet1"/>
      </w:pPr>
      <w:r>
        <w:t xml:space="preserve">very low </w:t>
      </w:r>
      <w:r w:rsidR="00A90D8B">
        <w:t>–</w:t>
      </w:r>
      <w:r>
        <w:t xml:space="preserve"> $25,220 to $52,940</w:t>
      </w:r>
    </w:p>
    <w:p w:rsidR="00E5286E" w:rsidRDefault="00E5286E" w:rsidP="00CD1B37">
      <w:pPr>
        <w:pStyle w:val="PPVBullet1"/>
      </w:pPr>
      <w:r>
        <w:t xml:space="preserve">low </w:t>
      </w:r>
      <w:r w:rsidR="00A90D8B">
        <w:t>–</w:t>
      </w:r>
      <w:r>
        <w:t xml:space="preserve"> $40,340 to $84,720</w:t>
      </w:r>
    </w:p>
    <w:p w:rsidR="00E5286E" w:rsidRDefault="00E5286E" w:rsidP="00CD1B37">
      <w:pPr>
        <w:pStyle w:val="PPVBullet1"/>
      </w:pPr>
      <w:r>
        <w:t xml:space="preserve">moderate </w:t>
      </w:r>
      <w:r w:rsidR="00A90D8B">
        <w:t>–</w:t>
      </w:r>
      <w:r>
        <w:t xml:space="preserve"> $60,510 to 127,080.</w:t>
      </w:r>
    </w:p>
    <w:p w:rsidR="0095776E" w:rsidRDefault="0095776E" w:rsidP="0095776E">
      <w:pPr>
        <w:pStyle w:val="PPVBody"/>
      </w:pPr>
      <w:r>
        <w:t>Importantly, the Housing Affordability Act does not provide a head of power for planning schemes to mandate the provision of affordable housing.  Rather, it supports voluntary arrangements for the provision of affordable housing, via section 173 agreements.</w:t>
      </w:r>
    </w:p>
    <w:p w:rsidR="00EE461B" w:rsidRDefault="0095776E" w:rsidP="0095776E">
      <w:pPr>
        <w:pStyle w:val="PPVBody"/>
      </w:pPr>
      <w:r>
        <w:t xml:space="preserve">On </w:t>
      </w:r>
      <w:r w:rsidRPr="00211227">
        <w:t>29 August 2017</w:t>
      </w:r>
      <w:r>
        <w:t xml:space="preserve">, Amendment </w:t>
      </w:r>
      <w:r w:rsidRPr="00211227">
        <w:t>VC139</w:t>
      </w:r>
      <w:r>
        <w:t xml:space="preserve"> introduced other r</w:t>
      </w:r>
      <w:r w:rsidRPr="00211227">
        <w:t xml:space="preserve">eforms and initiatives </w:t>
      </w:r>
      <w:r>
        <w:t xml:space="preserve">from </w:t>
      </w:r>
      <w:r w:rsidRPr="00211227">
        <w:rPr>
          <w:i/>
        </w:rPr>
        <w:t>Homes for Victorians</w:t>
      </w:r>
      <w:r>
        <w:t xml:space="preserve"> into all planning schemes, including a new Clause 16.01-1 (</w:t>
      </w:r>
      <w:r w:rsidRPr="00211227">
        <w:t>Integrated Housing</w:t>
      </w:r>
      <w:r>
        <w:t>) in the SPPF</w:t>
      </w:r>
      <w:r w:rsidR="009F3220">
        <w:t>.</w:t>
      </w:r>
    </w:p>
    <w:p w:rsidR="00EC4181" w:rsidRPr="00EC4181" w:rsidRDefault="00EC4181" w:rsidP="00DD6314">
      <w:pPr>
        <w:pStyle w:val="Heading2"/>
      </w:pPr>
      <w:bookmarkStart w:id="59" w:name="_Toc516753944"/>
      <w:bookmarkStart w:id="60" w:name="_Toc519710245"/>
      <w:bookmarkStart w:id="61" w:name="_Toc519766805"/>
      <w:r w:rsidRPr="00EC4181">
        <w:lastRenderedPageBreak/>
        <w:t>Public Land Contributions Act 2018</w:t>
      </w:r>
      <w:bookmarkEnd w:id="59"/>
      <w:bookmarkEnd w:id="60"/>
      <w:bookmarkEnd w:id="61"/>
    </w:p>
    <w:p w:rsidR="00EC4181" w:rsidRPr="00832262" w:rsidRDefault="00EC4181" w:rsidP="00EC4181">
      <w:pPr>
        <w:pStyle w:val="PPVBody"/>
      </w:pPr>
      <w:r w:rsidRPr="00832262">
        <w:t>The</w:t>
      </w:r>
      <w:r>
        <w:t xml:space="preserve"> </w:t>
      </w:r>
      <w:r w:rsidRPr="00832262">
        <w:t xml:space="preserve">infrastructure contributions </w:t>
      </w:r>
      <w:r>
        <w:t>regime in Part 3AB of the Act</w:t>
      </w:r>
      <w:r w:rsidRPr="00832262">
        <w:t xml:space="preserve"> </w:t>
      </w:r>
      <w:r>
        <w:t>currently rel</w:t>
      </w:r>
      <w:r w:rsidRPr="00832262">
        <w:t>i</w:t>
      </w:r>
      <w:r>
        <w:t>es</w:t>
      </w:r>
      <w:r w:rsidRPr="00832262">
        <w:t xml:space="preserve"> on monetary levies to </w:t>
      </w:r>
      <w:r>
        <w:t xml:space="preserve">fund the acquisition of </w:t>
      </w:r>
      <w:r w:rsidRPr="00832262">
        <w:t>land for parks, roads and other public purposes.</w:t>
      </w:r>
      <w:r>
        <w:t xml:space="preserve">  Under the current system, the land needs to be acquired through a compulsory acquisition process (which generally requires a PAO to be applied</w:t>
      </w:r>
      <w:r w:rsidR="00C42263">
        <w:t xml:space="preserve"> unless an exemption applies</w:t>
      </w:r>
      <w:r>
        <w:t xml:space="preserve">), or negotiated purchases using the funds collected under the </w:t>
      </w:r>
      <w:r w:rsidR="008F7212">
        <w:t>ICP</w:t>
      </w:r>
      <w:r>
        <w:t>.</w:t>
      </w:r>
    </w:p>
    <w:p w:rsidR="00785416" w:rsidRDefault="00EC4181" w:rsidP="00EC4181">
      <w:pPr>
        <w:pStyle w:val="PPVBody"/>
        <w:rPr>
          <w:rFonts w:asciiTheme="minorHAnsi" w:hAnsiTheme="minorHAnsi"/>
        </w:rPr>
      </w:pPr>
      <w:r w:rsidRPr="00A90F8A">
        <w:t>Th</w:t>
      </w:r>
      <w:r>
        <w:t xml:space="preserve">e </w:t>
      </w:r>
      <w:r w:rsidRPr="00A90F8A">
        <w:rPr>
          <w:i/>
        </w:rPr>
        <w:t>Planning and Environment Amendment (Public Land Contributions) Act</w:t>
      </w:r>
      <w:r w:rsidRPr="00C06B00">
        <w:t xml:space="preserve"> </w:t>
      </w:r>
      <w:r w:rsidRPr="00562AEE">
        <w:rPr>
          <w:i/>
        </w:rPr>
        <w:t>2018</w:t>
      </w:r>
      <w:r w:rsidRPr="00A90F8A">
        <w:t xml:space="preserve"> </w:t>
      </w:r>
      <w:r w:rsidRPr="00CD1B37">
        <w:rPr>
          <w:rStyle w:val="Emphasis"/>
          <w:rFonts w:eastAsia="Dotum"/>
          <w:i w:val="0"/>
        </w:rPr>
        <w:t>(the Public Land Contributions Act)</w:t>
      </w:r>
      <w:r w:rsidRPr="00A90F8A">
        <w:t xml:space="preserve"> </w:t>
      </w:r>
      <w:r w:rsidR="009F3220">
        <w:t>came into effect on 2 July 2018</w:t>
      </w:r>
      <w:r>
        <w:t xml:space="preserve">.  It introduces key changes to the infrastructure contributions regime in Part 3AB, including a new </w:t>
      </w:r>
      <w:r w:rsidRPr="00832262">
        <w:t xml:space="preserve">land contribution model </w:t>
      </w:r>
      <w:r>
        <w:t xml:space="preserve">that </w:t>
      </w:r>
      <w:r w:rsidRPr="00832262">
        <w:t>allows landowners to transfer land directly as part of their infrastructure contribution</w:t>
      </w:r>
      <w:r>
        <w:t xml:space="preserve">.  </w:t>
      </w:r>
      <w:r>
        <w:rPr>
          <w:rFonts w:asciiTheme="minorHAnsi" w:hAnsiTheme="minorHAnsi"/>
        </w:rPr>
        <w:t xml:space="preserve">Under the new system, landowners vest public purpose land </w:t>
      </w:r>
      <w:r w:rsidRPr="00A90F8A">
        <w:rPr>
          <w:rFonts w:asciiTheme="minorHAnsi" w:hAnsiTheme="minorHAnsi"/>
        </w:rPr>
        <w:t xml:space="preserve">in the relevant development agency </w:t>
      </w:r>
      <w:r>
        <w:rPr>
          <w:rFonts w:asciiTheme="minorHAnsi" w:hAnsiTheme="minorHAnsi"/>
        </w:rPr>
        <w:t xml:space="preserve">directly </w:t>
      </w:r>
      <w:r w:rsidRPr="00A90F8A">
        <w:rPr>
          <w:rFonts w:asciiTheme="minorHAnsi" w:hAnsiTheme="minorHAnsi"/>
        </w:rPr>
        <w:t xml:space="preserve">when the land is subdivided or developed.  </w:t>
      </w:r>
      <w:r>
        <w:rPr>
          <w:rFonts w:asciiTheme="minorHAnsi" w:hAnsiTheme="minorHAnsi"/>
        </w:rPr>
        <w:t xml:space="preserve">Development agencies will be able to acquire </w:t>
      </w:r>
      <w:r w:rsidR="008F7212">
        <w:rPr>
          <w:rFonts w:asciiTheme="minorHAnsi" w:hAnsiTheme="minorHAnsi"/>
        </w:rPr>
        <w:t xml:space="preserve">land for </w:t>
      </w:r>
      <w:r w:rsidRPr="00A90F8A">
        <w:rPr>
          <w:rFonts w:asciiTheme="minorHAnsi" w:hAnsiTheme="minorHAnsi"/>
        </w:rPr>
        <w:t>public purpose</w:t>
      </w:r>
      <w:r w:rsidR="008F7212">
        <w:rPr>
          <w:rFonts w:asciiTheme="minorHAnsi" w:hAnsiTheme="minorHAnsi"/>
        </w:rPr>
        <w:t>s</w:t>
      </w:r>
      <w:r w:rsidRPr="00A90F8A">
        <w:rPr>
          <w:rFonts w:asciiTheme="minorHAnsi" w:hAnsiTheme="minorHAnsi"/>
        </w:rPr>
        <w:t xml:space="preserve"> in advance of development, if the timing of the development of the land does not align with the timing of the need for the land for public purposes</w:t>
      </w:r>
      <w:r w:rsidR="00AF76AF" w:rsidRPr="00A90F8A">
        <w:rPr>
          <w:rFonts w:asciiTheme="minorHAnsi" w:hAnsiTheme="minorHAnsi"/>
        </w:rPr>
        <w:t>.</w:t>
      </w:r>
      <w:r w:rsidR="00AF76AF" w:rsidRPr="00820B43">
        <w:rPr>
          <w:rStyle w:val="FootnoteReference"/>
          <w:rFonts w:asciiTheme="minorHAnsi" w:hAnsiTheme="minorHAnsi"/>
        </w:rPr>
        <w:footnoteReference w:id="12"/>
      </w:r>
    </w:p>
    <w:p w:rsidR="00EC4181" w:rsidRDefault="00EC4181" w:rsidP="00EC4181">
      <w:pPr>
        <w:pStyle w:val="PPVBody"/>
      </w:pPr>
      <w:r>
        <w:t>The Public Land Contribution</w:t>
      </w:r>
      <w:r w:rsidR="008F7212">
        <w:t>s</w:t>
      </w:r>
      <w:r>
        <w:t xml:space="preserve"> Act includes a l</w:t>
      </w:r>
      <w:r w:rsidRPr="00832262">
        <w:t xml:space="preserve">and equalisation and credit system </w:t>
      </w:r>
      <w:r>
        <w:t>that seeks to ensure</w:t>
      </w:r>
      <w:r w:rsidRPr="00832262">
        <w:t xml:space="preserve"> </w:t>
      </w:r>
      <w:r>
        <w:t xml:space="preserve">that </w:t>
      </w:r>
      <w:r w:rsidRPr="00832262">
        <w:t xml:space="preserve">landowners </w:t>
      </w:r>
      <w:r w:rsidRPr="00C8483C">
        <w:t>who contribute a greater percentage of their land</w:t>
      </w:r>
      <w:r>
        <w:t xml:space="preserve"> than required under the </w:t>
      </w:r>
      <w:r w:rsidR="008F7212">
        <w:t>ICP</w:t>
      </w:r>
      <w:r>
        <w:t xml:space="preserve"> are </w:t>
      </w:r>
      <w:r w:rsidRPr="00C8483C">
        <w:t>compensated</w:t>
      </w:r>
      <w:r>
        <w:t xml:space="preserve"> </w:t>
      </w:r>
      <w:r w:rsidRPr="00C8483C">
        <w:t xml:space="preserve">by way of a </w:t>
      </w:r>
      <w:r>
        <w:t>‘</w:t>
      </w:r>
      <w:r w:rsidRPr="00C8483C">
        <w:t>land credit amount</w:t>
      </w:r>
      <w:r>
        <w:t>’.  The land credit amount is</w:t>
      </w:r>
      <w:r w:rsidRPr="00C8483C">
        <w:t xml:space="preserve"> funded by </w:t>
      </w:r>
      <w:r>
        <w:t xml:space="preserve">landowners </w:t>
      </w:r>
      <w:r w:rsidRPr="00C8483C">
        <w:t xml:space="preserve">contributing a smaller percentage </w:t>
      </w:r>
      <w:r>
        <w:t xml:space="preserve">(or no land), </w:t>
      </w:r>
      <w:r w:rsidRPr="00C8483C">
        <w:t xml:space="preserve">who will pay a </w:t>
      </w:r>
      <w:r>
        <w:t>‘</w:t>
      </w:r>
      <w:r w:rsidRPr="00C8483C">
        <w:t>land equalisation amount</w:t>
      </w:r>
      <w:r>
        <w:t>’.</w:t>
      </w:r>
    </w:p>
    <w:p w:rsidR="00EC4181" w:rsidRDefault="00EC4181" w:rsidP="00EC4181">
      <w:pPr>
        <w:pStyle w:val="PPVBody"/>
      </w:pPr>
      <w:r>
        <w:t>The Public Land Contribution</w:t>
      </w:r>
      <w:r w:rsidR="008F7212">
        <w:t>s</w:t>
      </w:r>
      <w:r>
        <w:t xml:space="preserve"> Act introduces a v</w:t>
      </w:r>
      <w:r w:rsidRPr="00832262">
        <w:t xml:space="preserve">aluation </w:t>
      </w:r>
      <w:r w:rsidR="006875DE">
        <w:t>process</w:t>
      </w:r>
      <w:r w:rsidR="008F7212">
        <w:t xml:space="preserve"> </w:t>
      </w:r>
      <w:r>
        <w:t xml:space="preserve">for individually </w:t>
      </w:r>
      <w:r w:rsidRPr="00832262">
        <w:t xml:space="preserve">valuing </w:t>
      </w:r>
      <w:r>
        <w:t xml:space="preserve">public purpose land </w:t>
      </w:r>
      <w:r w:rsidRPr="00832262">
        <w:t>and resolving disputes about value</w:t>
      </w:r>
      <w:r>
        <w:t>.  The valuation proces</w:t>
      </w:r>
      <w:r w:rsidR="00995BE4">
        <w:t>s is administered by the Valuer-</w:t>
      </w:r>
      <w:r>
        <w:t>General, and sits outside the planning system</w:t>
      </w:r>
      <w:r w:rsidRPr="00832262">
        <w:t>.</w:t>
      </w:r>
    </w:p>
    <w:p w:rsidR="00854522" w:rsidRPr="008944EF" w:rsidRDefault="008944EF" w:rsidP="00DD6314">
      <w:pPr>
        <w:pStyle w:val="Heading2"/>
      </w:pPr>
      <w:bookmarkStart w:id="62" w:name="_Toc519710246"/>
      <w:bookmarkStart w:id="63" w:name="_Toc519766806"/>
      <w:r>
        <w:t>Transport Integration Act 2010</w:t>
      </w:r>
      <w:bookmarkEnd w:id="62"/>
      <w:bookmarkEnd w:id="63"/>
    </w:p>
    <w:p w:rsidR="002F0807" w:rsidRDefault="002F0807" w:rsidP="002F0807">
      <w:pPr>
        <w:pStyle w:val="PPVBody"/>
      </w:pPr>
      <w:r w:rsidRPr="00BF7C61">
        <w:t xml:space="preserve">The </w:t>
      </w:r>
      <w:r w:rsidRPr="00994061">
        <w:rPr>
          <w:i/>
        </w:rPr>
        <w:t xml:space="preserve">Transport </w:t>
      </w:r>
      <w:r w:rsidRPr="008944EF">
        <w:rPr>
          <w:i/>
        </w:rPr>
        <w:t>Integration Act 2010</w:t>
      </w:r>
      <w:r w:rsidRPr="00BF7C61">
        <w:t xml:space="preserve"> establishes a framework for the provision of an integrated and sustainable transport system in Victoria</w:t>
      </w:r>
      <w:r>
        <w:t>,</w:t>
      </w:r>
      <w:r w:rsidRPr="00BF7C61">
        <w:t xml:space="preserve"> through </w:t>
      </w:r>
      <w:r>
        <w:t>a</w:t>
      </w:r>
      <w:r w:rsidRPr="00BF7C61">
        <w:t xml:space="preserve"> vision statement, transport system objectives and decision</w:t>
      </w:r>
      <w:r w:rsidR="00165DB1">
        <w:t xml:space="preserve"> </w:t>
      </w:r>
      <w:r w:rsidRPr="00BF7C61">
        <w:t xml:space="preserve">making principles.  </w:t>
      </w:r>
      <w:r>
        <w:t xml:space="preserve">The vision set out in the </w:t>
      </w:r>
      <w:r w:rsidRPr="00BF7C61">
        <w:t>Act</w:t>
      </w:r>
      <w:r>
        <w:t xml:space="preserve"> is:</w:t>
      </w:r>
    </w:p>
    <w:p w:rsidR="002F0807" w:rsidRDefault="002F0807" w:rsidP="002F0807">
      <w:pPr>
        <w:pStyle w:val="PPVQuote"/>
      </w:pPr>
      <w:r w:rsidRPr="00D07449">
        <w:t>Victoria aspires to have an integrated and sustainable transport system that contributes to an inclusive, prosperous and environmentally responsible state.</w:t>
      </w:r>
    </w:p>
    <w:p w:rsidR="00EE461B" w:rsidRDefault="002F0807" w:rsidP="002F0807">
      <w:pPr>
        <w:pStyle w:val="PPVBody"/>
      </w:pPr>
      <w:r w:rsidRPr="00BF7C61">
        <w:t xml:space="preserve">The Act recognises that transport planning and land use planning are interdependent.  </w:t>
      </w:r>
      <w:r>
        <w:t xml:space="preserve">Planning authorities are 'interface bodies' under the </w:t>
      </w:r>
      <w:r w:rsidRPr="008944EF">
        <w:rPr>
          <w:i/>
        </w:rPr>
        <w:t>Transport Integration Act</w:t>
      </w:r>
      <w:r>
        <w:t xml:space="preserve">.  When a planning authority prepares a planning scheme amendment that is likely to have a significant impact on the transport system, it must have regard to the transport system objectives and decision making principles set out in the </w:t>
      </w:r>
      <w:r w:rsidRPr="00BF7C61">
        <w:t>Act</w:t>
      </w:r>
      <w:r>
        <w:t>.</w:t>
      </w:r>
    </w:p>
    <w:p w:rsidR="0038654C" w:rsidRPr="008944EF" w:rsidRDefault="0038654C" w:rsidP="0038654C">
      <w:pPr>
        <w:pStyle w:val="Heading2"/>
      </w:pPr>
      <w:bookmarkStart w:id="64" w:name="_Toc519710247"/>
      <w:bookmarkStart w:id="65" w:name="_Toc519766807"/>
      <w:r w:rsidRPr="008944EF">
        <w:t>Land Acquisition and Compensation Act 1986</w:t>
      </w:r>
      <w:bookmarkEnd w:id="64"/>
      <w:bookmarkEnd w:id="65"/>
    </w:p>
    <w:p w:rsidR="0038654C" w:rsidRDefault="0038654C" w:rsidP="0038654C">
      <w:pPr>
        <w:pStyle w:val="PPVBody"/>
      </w:pPr>
      <w:r w:rsidRPr="002F0807">
        <w:t xml:space="preserve">The </w:t>
      </w:r>
      <w:r>
        <w:t xml:space="preserve">LACA </w:t>
      </w:r>
      <w:r w:rsidRPr="002F0807">
        <w:t>sets out the process for acquiring land for public purposes, and for determining the amount of compensation payable.  It applies</w:t>
      </w:r>
      <w:r>
        <w:t xml:space="preserve"> wherever land is acquired using powers under a special Act </w:t>
      </w:r>
      <w:r w:rsidR="009F3220">
        <w:t xml:space="preserve">(such as Part 9A of the Act) </w:t>
      </w:r>
      <w:r>
        <w:t>to compulsorily acquire land.</w:t>
      </w:r>
    </w:p>
    <w:p w:rsidR="0038654C" w:rsidRDefault="0038654C" w:rsidP="00CD2779">
      <w:pPr>
        <w:pStyle w:val="PPVBody"/>
      </w:pPr>
      <w:r>
        <w:lastRenderedPageBreak/>
        <w:t>The LACA generally requires land to be reserved under a planning instrument (via the application of a PAO) before it can be compulsorily acquired.  There are some exceptions to this, including where land is declared by the Minister to be special project land under Part 9A.  The LACA sets out a process which has to be followed when authorities seek to exercise powers of compulsory acquisition, including serving notices to the land owners and occupiers.</w:t>
      </w:r>
    </w:p>
    <w:p w:rsidR="0038654C" w:rsidRDefault="0038654C" w:rsidP="0038654C">
      <w:pPr>
        <w:pStyle w:val="PPVBody"/>
      </w:pPr>
      <w:r>
        <w:t>The LACA sets out a regime for assessing and determining compensation when interests in land are compulsorily acquired.  Under section 41, regard must be had to the following factors when assessing compensation:</w:t>
      </w:r>
    </w:p>
    <w:p w:rsidR="0038654C" w:rsidRDefault="0038654C" w:rsidP="0038654C">
      <w:pPr>
        <w:pStyle w:val="PPVBullet1"/>
      </w:pPr>
      <w:r w:rsidRPr="00D022CD">
        <w:t>the market value of the interest</w:t>
      </w:r>
    </w:p>
    <w:p w:rsidR="0038654C" w:rsidRDefault="0038654C" w:rsidP="0038654C">
      <w:pPr>
        <w:pStyle w:val="PPVBullet1"/>
      </w:pPr>
      <w:r w:rsidRPr="00D022CD">
        <w:t>any special value to the claimant</w:t>
      </w:r>
    </w:p>
    <w:p w:rsidR="0038654C" w:rsidRDefault="0038654C" w:rsidP="0038654C">
      <w:pPr>
        <w:pStyle w:val="PPVBullet1"/>
      </w:pPr>
      <w:r w:rsidRPr="00D022CD">
        <w:t>any loss attributable to severance</w:t>
      </w:r>
      <w:r>
        <w:t xml:space="preserve"> (partial acquisition)</w:t>
      </w:r>
    </w:p>
    <w:p w:rsidR="0038654C" w:rsidRDefault="0038654C" w:rsidP="0038654C">
      <w:pPr>
        <w:pStyle w:val="PPVBullet1"/>
      </w:pPr>
      <w:r w:rsidRPr="00D022CD">
        <w:t>any loss attributable to disturbance</w:t>
      </w:r>
    </w:p>
    <w:p w:rsidR="0038654C" w:rsidRDefault="0038654C" w:rsidP="0038654C">
      <w:pPr>
        <w:pStyle w:val="PPVBullet1"/>
      </w:pPr>
      <w:r w:rsidRPr="00D022CD">
        <w:t xml:space="preserve">the enhancement or depreciation in value of the </w:t>
      </w:r>
      <w:r>
        <w:t xml:space="preserve">claimant’s </w:t>
      </w:r>
      <w:r w:rsidRPr="00D022CD">
        <w:t>interest in other land adjoining or severed from the acquired land by reason of the implementation of the purpose for which the land was acquired</w:t>
      </w:r>
    </w:p>
    <w:p w:rsidR="0038654C" w:rsidRDefault="0038654C" w:rsidP="0038654C">
      <w:pPr>
        <w:pStyle w:val="PPVBullet1"/>
      </w:pPr>
      <w:r w:rsidRPr="00D022CD">
        <w:t>any legal, valuation and other professional expenses</w:t>
      </w:r>
      <w:r>
        <w:t>.</w:t>
      </w:r>
    </w:p>
    <w:p w:rsidR="0038654C" w:rsidRDefault="00CD2779" w:rsidP="0038654C">
      <w:pPr>
        <w:pStyle w:val="PPVBody"/>
      </w:pPr>
      <w:r>
        <w:t>Submissions were made that c</w:t>
      </w:r>
      <w:r w:rsidR="0038654C">
        <w:t>ompensation allowable under the LACA is likely to be broader in scope than the land credit amount that might be payable where land is acquired under the Public Land Contributions Act mechanism.</w:t>
      </w:r>
    </w:p>
    <w:p w:rsidR="0038654C" w:rsidRPr="008944EF" w:rsidRDefault="0038654C" w:rsidP="0038654C">
      <w:pPr>
        <w:pStyle w:val="Heading2"/>
      </w:pPr>
      <w:bookmarkStart w:id="66" w:name="_Toc519710248"/>
      <w:bookmarkStart w:id="67" w:name="_Toc519766808"/>
      <w:r w:rsidRPr="008944EF">
        <w:t>Climate Change Act 2017</w:t>
      </w:r>
      <w:bookmarkEnd w:id="66"/>
      <w:bookmarkEnd w:id="67"/>
    </w:p>
    <w:p w:rsidR="0038654C" w:rsidRDefault="0038654C" w:rsidP="0038654C">
      <w:pPr>
        <w:pStyle w:val="PPVBody"/>
      </w:pPr>
      <w:r w:rsidRPr="00F92CA6">
        <w:t xml:space="preserve">The </w:t>
      </w:r>
      <w:r w:rsidRPr="00F92CA6">
        <w:rPr>
          <w:i/>
        </w:rPr>
        <w:t>Climate Change Act</w:t>
      </w:r>
      <w:r w:rsidRPr="00F92CA6">
        <w:t xml:space="preserve"> </w:t>
      </w:r>
      <w:r w:rsidRPr="00562AEE">
        <w:rPr>
          <w:i/>
        </w:rPr>
        <w:t>2017</w:t>
      </w:r>
      <w:r>
        <w:t xml:space="preserve"> was passed following an independent review of the earlier </w:t>
      </w:r>
      <w:r w:rsidRPr="007660F9">
        <w:rPr>
          <w:i/>
        </w:rPr>
        <w:t>Climate Change Act</w:t>
      </w:r>
      <w:r>
        <w:t xml:space="preserve"> </w:t>
      </w:r>
      <w:r w:rsidRPr="00562AEE">
        <w:rPr>
          <w:i/>
        </w:rPr>
        <w:t>2010</w:t>
      </w:r>
      <w:r>
        <w:t xml:space="preserve">, and became operational on 1 November 2017.  It provides a foundation to manage climate change risks and support Victoria’s transition to a net zero emissions, </w:t>
      </w:r>
      <w:r w:rsidR="004734D8">
        <w:t xml:space="preserve">with a </w:t>
      </w:r>
      <w:r>
        <w:t>climate resilient economy.</w:t>
      </w:r>
    </w:p>
    <w:p w:rsidR="0038654C" w:rsidRDefault="0038654C" w:rsidP="0038654C">
      <w:pPr>
        <w:pStyle w:val="PPVBody"/>
      </w:pPr>
      <w:r>
        <w:t>Section 20 of the Act requires the State Government to ensure that its decisions appropriately take climate change into account:</w:t>
      </w:r>
    </w:p>
    <w:p w:rsidR="0038654C" w:rsidRPr="00772D9C" w:rsidRDefault="0038654C" w:rsidP="0038654C">
      <w:pPr>
        <w:pStyle w:val="PPVQuotewithanumber"/>
        <w:rPr>
          <w:b/>
        </w:rPr>
      </w:pPr>
      <w:r w:rsidRPr="00772D9C">
        <w:rPr>
          <w:b/>
        </w:rPr>
        <w:t>20</w:t>
      </w:r>
      <w:r w:rsidRPr="00772D9C">
        <w:rPr>
          <w:b/>
        </w:rPr>
        <w:tab/>
        <w:t>Decision and policy making</w:t>
      </w:r>
    </w:p>
    <w:p w:rsidR="0038654C" w:rsidRDefault="0038654C" w:rsidP="0038654C">
      <w:pPr>
        <w:pStyle w:val="PPVQuote"/>
      </w:pPr>
      <w:r>
        <w:t>The Government of Victoria will endeavour to ensure that any decision made by the Government and any policy, program or process developed or implemented by the Government appropriately takes account of climate change if it is relevant by having regard to the policy objectives and the guiding principles.</w:t>
      </w:r>
    </w:p>
    <w:p w:rsidR="0038654C" w:rsidRDefault="0038654C" w:rsidP="009F3220">
      <w:pPr>
        <w:pStyle w:val="PPVBody"/>
      </w:pPr>
      <w:r>
        <w:t xml:space="preserve">The policy objectives are set out in section 22, </w:t>
      </w:r>
      <w:r w:rsidR="009F3220">
        <w:t>with the six guiding principles.</w:t>
      </w:r>
    </w:p>
    <w:p w:rsidR="0038654C" w:rsidRDefault="0038654C" w:rsidP="0038654C">
      <w:pPr>
        <w:pStyle w:val="PPVBody"/>
      </w:pPr>
      <w:r>
        <w:t xml:space="preserve">The </w:t>
      </w:r>
      <w:r w:rsidRPr="006236F3">
        <w:rPr>
          <w:i/>
        </w:rPr>
        <w:t>Plan Melbourne Five Year Implementation Plan 2017–2050</w:t>
      </w:r>
      <w:r w:rsidRPr="00C06B00">
        <w:t xml:space="preserve"> </w:t>
      </w:r>
      <w:r>
        <w:t xml:space="preserve">outlines various initiatives and actions relating to climate change that link to the policy framework established under the </w:t>
      </w:r>
      <w:r w:rsidRPr="007339EB">
        <w:rPr>
          <w:i/>
        </w:rPr>
        <w:t>Climate Change Act</w:t>
      </w:r>
      <w:r>
        <w:t>:</w:t>
      </w:r>
    </w:p>
    <w:p w:rsidR="0038654C" w:rsidRDefault="0038654C" w:rsidP="0038654C">
      <w:pPr>
        <w:pStyle w:val="PPVQuote"/>
      </w:pPr>
      <w:r w:rsidRPr="003844C2">
        <w:rPr>
          <w:b/>
        </w:rPr>
        <w:t>Committing Victoria to reducing greenhouse gas emissions</w:t>
      </w:r>
      <w:r w:rsidRPr="003844C2">
        <w:t xml:space="preserve"> by setting a long</w:t>
      </w:r>
      <w:r>
        <w:t>-</w:t>
      </w:r>
      <w:r w:rsidRPr="003844C2">
        <w:t>term target of net zero emissions by 2050</w:t>
      </w:r>
      <w:r w:rsidR="007A25E6">
        <w:t xml:space="preserve"> …</w:t>
      </w:r>
    </w:p>
    <w:p w:rsidR="0038654C" w:rsidRDefault="0038654C" w:rsidP="0038654C">
      <w:pPr>
        <w:pStyle w:val="PPVQuote"/>
      </w:pPr>
      <w:r w:rsidRPr="003844C2">
        <w:t>Action 85 Improvement of natural hazard, climate change and environmental adaptation and risk-mitigation strategies in planning schemes</w:t>
      </w:r>
    </w:p>
    <w:p w:rsidR="0038654C" w:rsidRDefault="0038654C" w:rsidP="0038654C">
      <w:pPr>
        <w:pStyle w:val="PPVQuote"/>
      </w:pPr>
      <w:r w:rsidRPr="003844C2">
        <w:t>Action 86 Whole-of-settlement adaptation and risk-mitigation strategies</w:t>
      </w:r>
    </w:p>
    <w:p w:rsidR="0038654C" w:rsidRDefault="0038654C" w:rsidP="0038654C">
      <w:pPr>
        <w:pStyle w:val="PPVQuote"/>
      </w:pPr>
      <w:r w:rsidRPr="003844C2">
        <w:lastRenderedPageBreak/>
        <w:t>Action 88 Incorporate climate change risks into infrastructure planning</w:t>
      </w:r>
      <w:r>
        <w:t>.</w:t>
      </w:r>
    </w:p>
    <w:p w:rsidR="00030C93" w:rsidRPr="00030C93" w:rsidRDefault="00030C93" w:rsidP="00030C93">
      <w:pPr>
        <w:pStyle w:val="Heading2"/>
      </w:pPr>
      <w:bookmarkStart w:id="68" w:name="_Toc519350356"/>
      <w:bookmarkStart w:id="69" w:name="_Ref519689420"/>
      <w:bookmarkStart w:id="70" w:name="_Toc519710249"/>
      <w:bookmarkStart w:id="71" w:name="_Toc519766809"/>
      <w:bookmarkStart w:id="72" w:name="_Toc326586202"/>
      <w:bookmarkStart w:id="73" w:name="_Toc326586201"/>
      <w:bookmarkEnd w:id="55"/>
      <w:r w:rsidRPr="00030C93">
        <w:t>State and local policy</w:t>
      </w:r>
      <w:bookmarkEnd w:id="68"/>
      <w:bookmarkEnd w:id="69"/>
      <w:bookmarkEnd w:id="70"/>
      <w:bookmarkEnd w:id="71"/>
    </w:p>
    <w:p w:rsidR="00030C93" w:rsidRPr="00030C93" w:rsidRDefault="00030C93" w:rsidP="00030C93">
      <w:pPr>
        <w:pStyle w:val="Heading4"/>
      </w:pPr>
      <w:r w:rsidRPr="00030C93">
        <w:t>State Planning Policy Framework (SPPF)</w:t>
      </w:r>
    </w:p>
    <w:p w:rsidR="00030C93" w:rsidRPr="00030C93" w:rsidRDefault="00030C93" w:rsidP="00030C93">
      <w:pPr>
        <w:pStyle w:val="PPVBody"/>
      </w:pPr>
      <w:r w:rsidRPr="00030C93">
        <w:t xml:space="preserve">The draft Amendment enjoys significant planning policy support from various elements of the SPPF, particularly its responsiveness to the directions articulated in </w:t>
      </w:r>
      <w:r w:rsidRPr="00030C93">
        <w:rPr>
          <w:i/>
        </w:rPr>
        <w:t xml:space="preserve">Plan Melbourne.  </w:t>
      </w:r>
      <w:r w:rsidRPr="00030C93">
        <w:t>Relevant clauses include the following:</w:t>
      </w:r>
    </w:p>
    <w:p w:rsidR="00D5469E" w:rsidRPr="00030C93" w:rsidRDefault="00D5469E" w:rsidP="008C3707">
      <w:pPr>
        <w:pStyle w:val="PPVBody"/>
        <w:spacing w:before="60"/>
        <w:ind w:left="426"/>
      </w:pPr>
      <w:r w:rsidRPr="00030C93">
        <w:rPr>
          <w:b/>
        </w:rPr>
        <w:t>Clause 9.01</w:t>
      </w:r>
      <w:r>
        <w:rPr>
          <w:b/>
        </w:rPr>
        <w:t xml:space="preserve"> </w:t>
      </w:r>
      <w:r w:rsidRPr="00030C93">
        <w:t xml:space="preserve">requires planning authorities to consider and apply </w:t>
      </w:r>
      <w:r w:rsidRPr="00030C93">
        <w:rPr>
          <w:i/>
        </w:rPr>
        <w:t xml:space="preserve">Plan Melbourne </w:t>
      </w:r>
      <w:r w:rsidRPr="00030C93">
        <w:t>in decision making.</w:t>
      </w:r>
    </w:p>
    <w:p w:rsidR="00D5469E" w:rsidRPr="00030C93" w:rsidRDefault="00D5469E" w:rsidP="008C3707">
      <w:pPr>
        <w:pStyle w:val="PPVBody"/>
        <w:spacing w:before="60"/>
        <w:ind w:left="426"/>
      </w:pPr>
      <w:r w:rsidRPr="00030C93">
        <w:rPr>
          <w:b/>
        </w:rPr>
        <w:t>Clause 10.01</w:t>
      </w:r>
      <w:r>
        <w:rPr>
          <w:b/>
        </w:rPr>
        <w:t xml:space="preserve"> </w:t>
      </w:r>
      <w:r w:rsidRPr="00030C93">
        <w:t>seeks to ensure planning authorities endeavour to balance conflicting objectives in favour of net community benefit and sustainable development for current and future generations.</w:t>
      </w:r>
    </w:p>
    <w:p w:rsidR="00D5469E" w:rsidRPr="00030C93" w:rsidRDefault="00D5469E" w:rsidP="008C3707">
      <w:pPr>
        <w:pStyle w:val="PPVBody"/>
        <w:spacing w:before="60"/>
        <w:ind w:left="426"/>
      </w:pPr>
      <w:r w:rsidRPr="00030C93">
        <w:rPr>
          <w:b/>
        </w:rPr>
        <w:t>Clause 11.04-1</w:t>
      </w:r>
      <w:r>
        <w:rPr>
          <w:b/>
        </w:rPr>
        <w:t xml:space="preserve"> </w:t>
      </w:r>
      <w:r w:rsidRPr="00030C93">
        <w:t>seeks to create a diverse and integrated network of public open space commensurate with the needs of the community.</w:t>
      </w:r>
    </w:p>
    <w:p w:rsidR="00D5469E" w:rsidRPr="00030C93" w:rsidRDefault="00D5469E" w:rsidP="008C3707">
      <w:pPr>
        <w:pStyle w:val="PPVBody"/>
        <w:spacing w:before="60"/>
        <w:ind w:left="426"/>
      </w:pPr>
      <w:r w:rsidRPr="00030C93">
        <w:rPr>
          <w:b/>
        </w:rPr>
        <w:t>Clause 11.06-1</w:t>
      </w:r>
      <w:r>
        <w:rPr>
          <w:b/>
        </w:rPr>
        <w:t xml:space="preserve"> </w:t>
      </w:r>
      <w:r w:rsidRPr="00030C93">
        <w:t>seeks to create a city structure that drives productivity, attracts investment and supports innovation and the creation of jobs.</w:t>
      </w:r>
    </w:p>
    <w:p w:rsidR="00D5469E" w:rsidRPr="00030C93" w:rsidRDefault="00D5469E" w:rsidP="008C3707">
      <w:pPr>
        <w:pStyle w:val="PPVBody"/>
        <w:spacing w:before="60"/>
        <w:ind w:left="426"/>
      </w:pPr>
      <w:r w:rsidRPr="00030C93">
        <w:rPr>
          <w:b/>
        </w:rPr>
        <w:t>Clause 15.01-1</w:t>
      </w:r>
      <w:r>
        <w:rPr>
          <w:b/>
        </w:rPr>
        <w:t xml:space="preserve"> </w:t>
      </w:r>
      <w:r w:rsidRPr="00030C93">
        <w:t>promotes the creation of good quality, safe and functional urban environments that provide a sense of place and cultural identity.</w:t>
      </w:r>
    </w:p>
    <w:p w:rsidR="00D5469E" w:rsidRPr="00030C93" w:rsidRDefault="00D5469E" w:rsidP="008C3707">
      <w:pPr>
        <w:pStyle w:val="PPVBody"/>
        <w:spacing w:before="60"/>
        <w:ind w:left="426"/>
      </w:pPr>
      <w:r w:rsidRPr="00030C93">
        <w:rPr>
          <w:b/>
        </w:rPr>
        <w:t>Clause 15.01-2</w:t>
      </w:r>
      <w:r>
        <w:rPr>
          <w:b/>
        </w:rPr>
        <w:t xml:space="preserve"> </w:t>
      </w:r>
      <w:r w:rsidRPr="00030C93">
        <w:t>encourages architectural and urban design outcomes that enhance the public realm, contribute positively to local urban character and minimise detrimental impact on neighbouring properties.</w:t>
      </w:r>
    </w:p>
    <w:p w:rsidR="00D5469E" w:rsidRPr="00030C93" w:rsidRDefault="00D5469E" w:rsidP="008C3707">
      <w:pPr>
        <w:pStyle w:val="PPVBody"/>
        <w:spacing w:before="60"/>
        <w:ind w:left="426"/>
      </w:pPr>
      <w:r w:rsidRPr="00030C93">
        <w:rPr>
          <w:b/>
        </w:rPr>
        <w:t>Clause 15.01-5</w:t>
      </w:r>
      <w:r>
        <w:rPr>
          <w:b/>
        </w:rPr>
        <w:t xml:space="preserve"> </w:t>
      </w:r>
      <w:r w:rsidRPr="00030C93">
        <w:t>seeks to recognise and protect cultural identity, neighbourhood character and sense of place.</w:t>
      </w:r>
    </w:p>
    <w:p w:rsidR="00D5469E" w:rsidRPr="00030C93" w:rsidRDefault="00D5469E" w:rsidP="008C3707">
      <w:pPr>
        <w:pStyle w:val="PPVBody"/>
        <w:spacing w:before="60"/>
        <w:ind w:left="426"/>
      </w:pPr>
      <w:r w:rsidRPr="00030C93">
        <w:rPr>
          <w:b/>
        </w:rPr>
        <w:t>Clause 15.02-1</w:t>
      </w:r>
      <w:r>
        <w:rPr>
          <w:b/>
        </w:rPr>
        <w:t xml:space="preserve"> </w:t>
      </w:r>
      <w:r w:rsidRPr="00030C93">
        <w:t>encourages land use and development that is consistent with the efficient use of energy and minimisation of greenhouse gases.</w:t>
      </w:r>
    </w:p>
    <w:p w:rsidR="00D5469E" w:rsidRPr="00030C93" w:rsidRDefault="00D5469E" w:rsidP="008C3707">
      <w:pPr>
        <w:pStyle w:val="PPVBody"/>
        <w:spacing w:before="60"/>
        <w:ind w:left="426"/>
      </w:pPr>
      <w:r w:rsidRPr="00030C93">
        <w:rPr>
          <w:b/>
        </w:rPr>
        <w:t>Clause 16.01-1</w:t>
      </w:r>
      <w:r>
        <w:rPr>
          <w:b/>
        </w:rPr>
        <w:t xml:space="preserve"> </w:t>
      </w:r>
      <w:r w:rsidRPr="00030C93">
        <w:t>promotes a housing market that meets community needs.</w:t>
      </w:r>
      <w:r>
        <w:t xml:space="preserve"> </w:t>
      </w:r>
      <w:r w:rsidRPr="00030C93">
        <w:t>To achieve this, it encourages an increase in the supply of housing in urban area</w:t>
      </w:r>
      <w:r>
        <w:t>s</w:t>
      </w:r>
      <w:r w:rsidRPr="00030C93">
        <w:t xml:space="preserve"> in appropriate locations.</w:t>
      </w:r>
      <w:r>
        <w:t xml:space="preserve"> </w:t>
      </w:r>
      <w:r w:rsidRPr="00030C93">
        <w:t>It encourages that the planning system support the delivery of appropriate quality, quantity and type of housing.</w:t>
      </w:r>
    </w:p>
    <w:p w:rsidR="00D5469E" w:rsidRPr="00030C93" w:rsidRDefault="00D5469E" w:rsidP="008C3707">
      <w:pPr>
        <w:pStyle w:val="PPVBody"/>
        <w:spacing w:before="60"/>
        <w:ind w:left="426"/>
      </w:pPr>
      <w:r w:rsidRPr="00030C93">
        <w:rPr>
          <w:b/>
        </w:rPr>
        <w:t>Clause 16.01-2</w:t>
      </w:r>
      <w:r>
        <w:rPr>
          <w:b/>
        </w:rPr>
        <w:t xml:space="preserve"> </w:t>
      </w:r>
      <w:r w:rsidRPr="00030C93">
        <w:t>encourages the location of new housing in or close to activity centres and urban renewal precincts that offer good access to services and transport.</w:t>
      </w:r>
    </w:p>
    <w:p w:rsidR="00D5469E" w:rsidRPr="00030C93" w:rsidRDefault="00D5469E" w:rsidP="008C3707">
      <w:pPr>
        <w:pStyle w:val="PPVBody"/>
        <w:spacing w:before="60"/>
        <w:ind w:left="426"/>
      </w:pPr>
      <w:r w:rsidRPr="00030C93">
        <w:rPr>
          <w:b/>
        </w:rPr>
        <w:t>Clause 16.01-5</w:t>
      </w:r>
      <w:r>
        <w:rPr>
          <w:b/>
        </w:rPr>
        <w:t xml:space="preserve"> </w:t>
      </w:r>
      <w:r w:rsidRPr="00030C93">
        <w:t>seeks to deliver more affordable housing closer to jobs, transport and services through the facilitation of a mix of private, affordable and social housing in activity centres and urban renewal areas.</w:t>
      </w:r>
    </w:p>
    <w:p w:rsidR="00D5469E" w:rsidRPr="00030C93" w:rsidRDefault="00D5469E" w:rsidP="008C3707">
      <w:pPr>
        <w:pStyle w:val="PPVBody"/>
        <w:spacing w:before="60"/>
        <w:ind w:left="426"/>
      </w:pPr>
      <w:r w:rsidRPr="00030C93">
        <w:rPr>
          <w:b/>
        </w:rPr>
        <w:t>Clause 17.01-1</w:t>
      </w:r>
      <w:r>
        <w:rPr>
          <w:b/>
        </w:rPr>
        <w:t xml:space="preserve"> </w:t>
      </w:r>
      <w:r w:rsidRPr="00030C93">
        <w:t>encourages development which meets community needs for retail, entertainment, offices and other commercial services.</w:t>
      </w:r>
      <w:r>
        <w:t xml:space="preserve"> </w:t>
      </w:r>
      <w:r w:rsidRPr="00030C93">
        <w:t>It seeks to achieve a net community benefit in relation to accessibility, efficient infrastructure use and the aggregation and sustainability of commercial facilities.</w:t>
      </w:r>
    </w:p>
    <w:p w:rsidR="00D5469E" w:rsidRPr="00030C93" w:rsidRDefault="00D5469E" w:rsidP="008C3707">
      <w:pPr>
        <w:pStyle w:val="PPVBody"/>
        <w:spacing w:before="60"/>
        <w:ind w:left="426"/>
      </w:pPr>
      <w:r w:rsidRPr="00030C93">
        <w:rPr>
          <w:b/>
        </w:rPr>
        <w:t>Clause 18.02-1</w:t>
      </w:r>
      <w:r>
        <w:rPr>
          <w:b/>
        </w:rPr>
        <w:t xml:space="preserve"> </w:t>
      </w:r>
      <w:r w:rsidRPr="00030C93">
        <w:t>promotes the use of sustainable personal transport, such as walking and cycling.</w:t>
      </w:r>
    </w:p>
    <w:p w:rsidR="00D5469E" w:rsidRPr="00030C93" w:rsidRDefault="00D5469E" w:rsidP="008C3707">
      <w:pPr>
        <w:pStyle w:val="PPVBody"/>
        <w:spacing w:before="60"/>
        <w:ind w:left="426"/>
      </w:pPr>
      <w:r w:rsidRPr="00030C93">
        <w:rPr>
          <w:b/>
        </w:rPr>
        <w:t>Clause 18.02-2</w:t>
      </w:r>
      <w:r>
        <w:rPr>
          <w:b/>
        </w:rPr>
        <w:t xml:space="preserve"> </w:t>
      </w:r>
      <w:r w:rsidRPr="00030C93">
        <w:t>promotes the integration of planning for cycling with land use and development planning and to encourage alternate modes of travel.</w:t>
      </w:r>
    </w:p>
    <w:p w:rsidR="00D5469E" w:rsidRPr="00030C93" w:rsidRDefault="00D5469E" w:rsidP="008C3707">
      <w:pPr>
        <w:pStyle w:val="PPVBody"/>
        <w:spacing w:before="60"/>
        <w:ind w:left="426"/>
      </w:pPr>
      <w:r w:rsidRPr="00030C93">
        <w:rPr>
          <w:b/>
        </w:rPr>
        <w:lastRenderedPageBreak/>
        <w:t>Clause 18.02-3</w:t>
      </w:r>
      <w:r>
        <w:rPr>
          <w:b/>
        </w:rPr>
        <w:t xml:space="preserve"> </w:t>
      </w:r>
      <w:r w:rsidRPr="00030C93">
        <w:t>facilitates greater use of public transport and promotes increased development close to high quality public transport routes in Melbourne.</w:t>
      </w:r>
    </w:p>
    <w:p w:rsidR="00D5469E" w:rsidRPr="00030C93" w:rsidRDefault="00D5469E" w:rsidP="008C3707">
      <w:pPr>
        <w:pStyle w:val="PPVBody"/>
        <w:spacing w:before="60"/>
        <w:ind w:left="426"/>
      </w:pPr>
      <w:r w:rsidRPr="00030C93">
        <w:rPr>
          <w:b/>
        </w:rPr>
        <w:t>Clause 18.03-2</w:t>
      </w:r>
      <w:r>
        <w:rPr>
          <w:b/>
        </w:rPr>
        <w:t xml:space="preserve"> </w:t>
      </w:r>
      <w:r w:rsidRPr="00030C93">
        <w:t>seeks to plan for and manage the environs of commercial trading ports so that development and use are compatible with port operations and provide reasonable amenity expectations.</w:t>
      </w:r>
    </w:p>
    <w:p w:rsidR="00D5469E" w:rsidRPr="00845EC9" w:rsidRDefault="00D5469E" w:rsidP="008C3707">
      <w:pPr>
        <w:pStyle w:val="PPVBody"/>
        <w:spacing w:before="60"/>
        <w:ind w:left="426"/>
      </w:pPr>
      <w:r w:rsidRPr="00030C93">
        <w:rPr>
          <w:b/>
        </w:rPr>
        <w:t>Clause 18.05-1</w:t>
      </w:r>
      <w:r>
        <w:rPr>
          <w:b/>
        </w:rPr>
        <w:t xml:space="preserve"> </w:t>
      </w:r>
      <w:r w:rsidRPr="00030C93">
        <w:t>seeks to further develop the key Transport Gateways and freight links and maintain Victoria’s position as the nation’s premier logistics centre.</w:t>
      </w:r>
    </w:p>
    <w:p w:rsidR="002B41A5" w:rsidRPr="00A90F8A" w:rsidRDefault="002B41A5" w:rsidP="00854522">
      <w:pPr>
        <w:pStyle w:val="Heading4"/>
      </w:pPr>
      <w:r w:rsidRPr="006236F3">
        <w:rPr>
          <w:i/>
        </w:rPr>
        <w:t>Plan Melbourne</w:t>
      </w:r>
      <w:r w:rsidR="006236F3" w:rsidRPr="006236F3">
        <w:rPr>
          <w:i/>
        </w:rPr>
        <w:t xml:space="preserve"> 2017–</w:t>
      </w:r>
      <w:r w:rsidRPr="006236F3">
        <w:rPr>
          <w:i/>
        </w:rPr>
        <w:t>2050</w:t>
      </w:r>
    </w:p>
    <w:p w:rsidR="009F3220" w:rsidRDefault="009F3220" w:rsidP="009F3220">
      <w:pPr>
        <w:pStyle w:val="PPVBody"/>
        <w:rPr>
          <w:rFonts w:asciiTheme="minorHAnsi" w:hAnsiTheme="minorHAnsi"/>
        </w:rPr>
      </w:pPr>
      <w:r w:rsidRPr="00A90F8A">
        <w:rPr>
          <w:rFonts w:asciiTheme="minorHAnsi" w:hAnsiTheme="minorHAnsi"/>
          <w:i/>
        </w:rPr>
        <w:t>Plan Melbourne</w:t>
      </w:r>
      <w:r w:rsidRPr="00A90F8A">
        <w:rPr>
          <w:rFonts w:asciiTheme="minorHAnsi" w:hAnsiTheme="minorHAnsi"/>
        </w:rPr>
        <w:t xml:space="preserve"> is the Victorian Government’s planning strategy to guide the development of Melbourne in the period to 2050.  </w:t>
      </w:r>
      <w:r>
        <w:rPr>
          <w:rFonts w:asciiTheme="minorHAnsi" w:hAnsiTheme="minorHAnsi"/>
        </w:rPr>
        <w:t xml:space="preserve">It is a </w:t>
      </w:r>
      <w:r w:rsidR="0079402A">
        <w:rPr>
          <w:rFonts w:asciiTheme="minorHAnsi" w:hAnsiTheme="minorHAnsi"/>
        </w:rPr>
        <w:t>R</w:t>
      </w:r>
      <w:r>
        <w:rPr>
          <w:rFonts w:asciiTheme="minorHAnsi" w:hAnsiTheme="minorHAnsi"/>
        </w:rPr>
        <w:t xml:space="preserve">eference </w:t>
      </w:r>
      <w:r w:rsidR="0079402A">
        <w:rPr>
          <w:rFonts w:asciiTheme="minorHAnsi" w:hAnsiTheme="minorHAnsi"/>
        </w:rPr>
        <w:t>D</w:t>
      </w:r>
      <w:r>
        <w:rPr>
          <w:rFonts w:asciiTheme="minorHAnsi" w:hAnsiTheme="minorHAnsi"/>
        </w:rPr>
        <w:t xml:space="preserve">ocument within the SPPF </w:t>
      </w:r>
      <w:r w:rsidRPr="00C314A3">
        <w:rPr>
          <w:rFonts w:asciiTheme="minorHAnsi" w:hAnsiTheme="minorHAnsi"/>
        </w:rPr>
        <w:t xml:space="preserve">and was </w:t>
      </w:r>
      <w:r>
        <w:rPr>
          <w:rFonts w:asciiTheme="minorHAnsi" w:hAnsiTheme="minorHAnsi"/>
        </w:rPr>
        <w:t xml:space="preserve">updated by the </w:t>
      </w:r>
      <w:r w:rsidRPr="006236F3">
        <w:rPr>
          <w:i/>
        </w:rPr>
        <w:t>Plan Melbourne Five Year Implementation Plan 2017–2050</w:t>
      </w:r>
      <w:r w:rsidRPr="00C06B00">
        <w:t xml:space="preserve"> </w:t>
      </w:r>
      <w:r w:rsidRPr="00C314A3">
        <w:rPr>
          <w:rFonts w:asciiTheme="minorHAnsi" w:hAnsiTheme="minorHAnsi"/>
        </w:rPr>
        <w:t xml:space="preserve">in March 2017. </w:t>
      </w:r>
      <w:r>
        <w:rPr>
          <w:rFonts w:asciiTheme="minorHAnsi" w:hAnsiTheme="minorHAnsi"/>
        </w:rPr>
        <w:t xml:space="preserve"> </w:t>
      </w:r>
      <w:r w:rsidRPr="00C314A3">
        <w:rPr>
          <w:rFonts w:asciiTheme="minorHAnsi" w:hAnsiTheme="minorHAnsi"/>
        </w:rPr>
        <w:t xml:space="preserve">It underpins the strategic policy provided by </w:t>
      </w:r>
      <w:r>
        <w:rPr>
          <w:rFonts w:asciiTheme="minorHAnsi" w:hAnsiTheme="minorHAnsi"/>
        </w:rPr>
        <w:t>C</w:t>
      </w:r>
      <w:r w:rsidRPr="00C314A3">
        <w:rPr>
          <w:rFonts w:asciiTheme="minorHAnsi" w:hAnsiTheme="minorHAnsi"/>
        </w:rPr>
        <w:t>lauses 9 and 11 of the S</w:t>
      </w:r>
      <w:r>
        <w:rPr>
          <w:rFonts w:asciiTheme="minorHAnsi" w:hAnsiTheme="minorHAnsi"/>
        </w:rPr>
        <w:t>PPF</w:t>
      </w:r>
      <w:r w:rsidRPr="00C314A3">
        <w:rPr>
          <w:rFonts w:asciiTheme="minorHAnsi" w:hAnsiTheme="minorHAnsi"/>
        </w:rPr>
        <w:t>.</w:t>
      </w:r>
    </w:p>
    <w:p w:rsidR="009F3220" w:rsidRPr="00C314A3" w:rsidRDefault="009F3220" w:rsidP="009F3220">
      <w:pPr>
        <w:pStyle w:val="PPVBody"/>
        <w:rPr>
          <w:rFonts w:asciiTheme="minorHAnsi" w:hAnsiTheme="minorHAnsi"/>
        </w:rPr>
      </w:pPr>
      <w:r w:rsidRPr="002D1D6D">
        <w:rPr>
          <w:rFonts w:asciiTheme="minorHAnsi" w:hAnsiTheme="minorHAnsi"/>
          <w:i/>
        </w:rPr>
        <w:t>Plan Melbourne</w:t>
      </w:r>
      <w:r w:rsidRPr="00C314A3">
        <w:rPr>
          <w:rFonts w:asciiTheme="minorHAnsi" w:hAnsiTheme="minorHAnsi"/>
        </w:rPr>
        <w:t xml:space="preserve"> seeks to support development and housing needs for an anticipated population of 7.8 million people in metropolitan Melbourne by 2051.</w:t>
      </w:r>
    </w:p>
    <w:p w:rsidR="00785416" w:rsidRDefault="009F3220" w:rsidP="009F3220">
      <w:pPr>
        <w:pStyle w:val="PPVBody"/>
        <w:rPr>
          <w:rFonts w:asciiTheme="minorHAnsi" w:hAnsiTheme="minorHAnsi"/>
        </w:rPr>
      </w:pPr>
      <w:r w:rsidRPr="00A90F8A">
        <w:rPr>
          <w:rFonts w:asciiTheme="minorHAnsi" w:hAnsiTheme="minorHAnsi"/>
        </w:rPr>
        <w:t xml:space="preserve">Fishermans Bend is one of several priority precincts identified in </w:t>
      </w:r>
      <w:r w:rsidRPr="00A90F8A">
        <w:rPr>
          <w:rFonts w:asciiTheme="minorHAnsi" w:hAnsiTheme="minorHAnsi"/>
          <w:i/>
        </w:rPr>
        <w:t xml:space="preserve">Plan Melbourne </w:t>
      </w:r>
      <w:r w:rsidRPr="00A90F8A">
        <w:rPr>
          <w:rFonts w:asciiTheme="minorHAnsi" w:hAnsiTheme="minorHAnsi"/>
        </w:rPr>
        <w:t>as playing a central role in accommodating Melbourne’</w:t>
      </w:r>
      <w:r>
        <w:rPr>
          <w:rFonts w:asciiTheme="minorHAnsi" w:hAnsiTheme="minorHAnsi"/>
        </w:rPr>
        <w:t>s projected significant growth (</w:t>
      </w:r>
      <w:r w:rsidR="000E0848">
        <w:rPr>
          <w:rFonts w:asciiTheme="minorHAnsi" w:hAnsiTheme="minorHAnsi"/>
        </w:rPr>
        <w:fldChar w:fldCharType="begin"/>
      </w:r>
      <w:r w:rsidR="000E0848">
        <w:rPr>
          <w:rFonts w:asciiTheme="minorHAnsi" w:hAnsiTheme="minorHAnsi"/>
        </w:rPr>
        <w:instrText xml:space="preserve"> REF _Ref519718928 \h </w:instrText>
      </w:r>
      <w:r w:rsidR="000E0848">
        <w:rPr>
          <w:rFonts w:asciiTheme="minorHAnsi" w:hAnsiTheme="minorHAnsi"/>
        </w:rPr>
      </w:r>
      <w:r w:rsidR="000E0848">
        <w:rPr>
          <w:rFonts w:asciiTheme="minorHAnsi" w:hAnsiTheme="minorHAnsi"/>
        </w:rPr>
        <w:fldChar w:fldCharType="separate"/>
      </w:r>
      <w:r w:rsidR="00A307EC">
        <w:t xml:space="preserve">Figure </w:t>
      </w:r>
      <w:r w:rsidR="00A307EC">
        <w:rPr>
          <w:noProof/>
        </w:rPr>
        <w:t>2</w:t>
      </w:r>
      <w:r w:rsidR="000E0848">
        <w:rPr>
          <w:rFonts w:asciiTheme="minorHAnsi" w:hAnsiTheme="minorHAnsi"/>
        </w:rPr>
        <w:fldChar w:fldCharType="end"/>
      </w:r>
      <w:r>
        <w:rPr>
          <w:rFonts w:asciiTheme="minorHAnsi" w:hAnsiTheme="minorHAnsi"/>
        </w:rPr>
        <w:t>).</w:t>
      </w:r>
      <w:r w:rsidRPr="00820B43">
        <w:rPr>
          <w:rStyle w:val="FootnoteReference"/>
          <w:rFonts w:asciiTheme="minorHAnsi" w:hAnsiTheme="minorHAnsi"/>
        </w:rPr>
        <w:footnoteReference w:id="13"/>
      </w:r>
      <w:r w:rsidRPr="0061271B">
        <w:rPr>
          <w:rFonts w:asciiTheme="minorHAnsi" w:hAnsiTheme="minorHAnsi"/>
        </w:rPr>
        <w:t xml:space="preserve"> </w:t>
      </w:r>
      <w:r w:rsidRPr="00C314A3">
        <w:rPr>
          <w:rFonts w:asciiTheme="minorHAnsi" w:hAnsiTheme="minorHAnsi"/>
        </w:rPr>
        <w:t>Fishermans Bend is located within the inner metropolitan region, where an additional 215,000</w:t>
      </w:r>
      <w:r>
        <w:rPr>
          <w:rFonts w:asciiTheme="minorHAnsi" w:hAnsiTheme="minorHAnsi"/>
        </w:rPr>
        <w:t>–</w:t>
      </w:r>
      <w:r w:rsidRPr="00C314A3">
        <w:rPr>
          <w:rFonts w:asciiTheme="minorHAnsi" w:hAnsiTheme="minorHAnsi"/>
        </w:rPr>
        <w:t>230,000 dwellings are anticipated to meet the forecast population growth to 2051.</w:t>
      </w:r>
    </w:p>
    <w:p w:rsidR="009F3220" w:rsidRDefault="009F3220" w:rsidP="009F3220">
      <w:pPr>
        <w:pStyle w:val="PPVBody"/>
        <w:rPr>
          <w:rFonts w:asciiTheme="minorHAnsi" w:hAnsiTheme="minorHAnsi"/>
        </w:rPr>
      </w:pPr>
      <w:r w:rsidRPr="00A90F8A">
        <w:rPr>
          <w:rFonts w:asciiTheme="minorHAnsi" w:hAnsiTheme="minorHAnsi"/>
        </w:rPr>
        <w:t xml:space="preserve">Within Fishermans Bend, each of the Lorimer, Montague, Sandridge and Wirraway </w:t>
      </w:r>
      <w:r>
        <w:rPr>
          <w:rFonts w:asciiTheme="minorHAnsi" w:hAnsiTheme="minorHAnsi"/>
        </w:rPr>
        <w:t>P</w:t>
      </w:r>
      <w:r w:rsidRPr="00A90F8A">
        <w:rPr>
          <w:rFonts w:asciiTheme="minorHAnsi" w:hAnsiTheme="minorHAnsi"/>
        </w:rPr>
        <w:t>recincts are identified as “</w:t>
      </w:r>
      <w:r w:rsidRPr="00A90F8A">
        <w:rPr>
          <w:rFonts w:asciiTheme="minorHAnsi" w:hAnsiTheme="minorHAnsi"/>
          <w:i/>
        </w:rPr>
        <w:t>major urban renewal precincts”</w:t>
      </w:r>
      <w:r w:rsidRPr="00A90F8A">
        <w:rPr>
          <w:rFonts w:asciiTheme="minorHAnsi" w:hAnsiTheme="minorHAnsi"/>
        </w:rPr>
        <w:t xml:space="preserve"> playing an important role in accommodating future housing and employment growth and making better use of existing infrastructure.</w:t>
      </w:r>
      <w:r>
        <w:rPr>
          <w:rFonts w:asciiTheme="minorHAnsi" w:hAnsiTheme="minorHAnsi"/>
        </w:rPr>
        <w:t xml:space="preserve">  </w:t>
      </w:r>
      <w:r w:rsidRPr="00C314A3">
        <w:rPr>
          <w:rFonts w:asciiTheme="minorHAnsi" w:hAnsiTheme="minorHAnsi"/>
        </w:rPr>
        <w:t xml:space="preserve">The </w:t>
      </w:r>
      <w:r>
        <w:rPr>
          <w:rFonts w:asciiTheme="minorHAnsi" w:hAnsiTheme="minorHAnsi"/>
        </w:rPr>
        <w:t xml:space="preserve">Employment Precinct </w:t>
      </w:r>
      <w:r w:rsidRPr="00C314A3">
        <w:rPr>
          <w:rFonts w:asciiTheme="minorHAnsi" w:hAnsiTheme="minorHAnsi"/>
        </w:rPr>
        <w:t>is identified as a National Employment and Innovation Cluster, where the clustering of nationally-significant industries and business activity is encouraged.</w:t>
      </w:r>
    </w:p>
    <w:p w:rsidR="009F3220" w:rsidRDefault="009F3220" w:rsidP="009F3220">
      <w:pPr>
        <w:pStyle w:val="PPVBody"/>
        <w:rPr>
          <w:rFonts w:asciiTheme="minorHAnsi" w:hAnsiTheme="minorHAnsi"/>
        </w:rPr>
      </w:pPr>
      <w:r>
        <w:rPr>
          <w:rFonts w:asciiTheme="minorHAnsi" w:hAnsiTheme="minorHAnsi"/>
        </w:rPr>
        <w:t xml:space="preserve">Relevant Directions and Policy under </w:t>
      </w:r>
      <w:r w:rsidRPr="008944EF">
        <w:rPr>
          <w:rFonts w:asciiTheme="minorHAnsi" w:hAnsiTheme="minorHAnsi"/>
          <w:i/>
        </w:rPr>
        <w:t>Plan Melbourne</w:t>
      </w:r>
      <w:r>
        <w:rPr>
          <w:rFonts w:asciiTheme="minorHAnsi" w:hAnsiTheme="minorHAnsi"/>
        </w:rPr>
        <w:t xml:space="preserve"> include:</w:t>
      </w:r>
    </w:p>
    <w:p w:rsidR="00655E64" w:rsidRPr="00C314A3" w:rsidRDefault="00655E64" w:rsidP="00655E64">
      <w:pPr>
        <w:pStyle w:val="PPVBody"/>
        <w:rPr>
          <w:rFonts w:asciiTheme="minorHAnsi" w:hAnsiTheme="minorHAnsi"/>
        </w:rPr>
      </w:pPr>
      <w:r w:rsidRPr="00C314A3">
        <w:rPr>
          <w:rFonts w:asciiTheme="minorHAnsi" w:hAnsiTheme="minorHAnsi"/>
          <w:b/>
        </w:rPr>
        <w:t xml:space="preserve">Direction 1.1 </w:t>
      </w:r>
      <w:r w:rsidRPr="00C314A3">
        <w:rPr>
          <w:rFonts w:asciiTheme="minorHAnsi" w:hAnsiTheme="minorHAnsi"/>
        </w:rPr>
        <w:t>seeks to create a city structure that strengthens Melbourne’s competitiveness for jobs and investment:</w:t>
      </w:r>
    </w:p>
    <w:p w:rsidR="00655E64" w:rsidRPr="00C314A3" w:rsidRDefault="00655E64" w:rsidP="00A707F1">
      <w:pPr>
        <w:pStyle w:val="PPVBody"/>
        <w:spacing w:before="40"/>
        <w:ind w:left="567"/>
        <w:rPr>
          <w:rFonts w:asciiTheme="minorHAnsi" w:hAnsiTheme="minorHAnsi"/>
        </w:rPr>
      </w:pPr>
      <w:r w:rsidRPr="00C314A3">
        <w:rPr>
          <w:rFonts w:asciiTheme="minorHAnsi" w:hAnsiTheme="minorHAnsi"/>
          <w:b/>
        </w:rPr>
        <w:t xml:space="preserve">Policy 1.1.1 </w:t>
      </w:r>
      <w:r w:rsidRPr="00C314A3">
        <w:rPr>
          <w:rFonts w:asciiTheme="minorHAnsi" w:hAnsiTheme="minorHAnsi"/>
        </w:rPr>
        <w:t xml:space="preserve">supports the </w:t>
      </w:r>
      <w:r>
        <w:rPr>
          <w:rFonts w:asciiTheme="minorHAnsi" w:hAnsiTheme="minorHAnsi"/>
        </w:rPr>
        <w:t>C</w:t>
      </w:r>
      <w:r w:rsidRPr="00C314A3">
        <w:rPr>
          <w:rFonts w:asciiTheme="minorHAnsi" w:hAnsiTheme="minorHAnsi"/>
        </w:rPr>
        <w:t xml:space="preserve">entral </w:t>
      </w:r>
      <w:r>
        <w:rPr>
          <w:rFonts w:asciiTheme="minorHAnsi" w:hAnsiTheme="minorHAnsi"/>
        </w:rPr>
        <w:t>C</w:t>
      </w:r>
      <w:r w:rsidRPr="00C314A3">
        <w:rPr>
          <w:rFonts w:asciiTheme="minorHAnsi" w:hAnsiTheme="minorHAnsi"/>
        </w:rPr>
        <w:t>ity becoming Australia’s largest commercial and residential centre by 2050.</w:t>
      </w:r>
    </w:p>
    <w:p w:rsidR="00785416" w:rsidRDefault="00655E64" w:rsidP="00A707F1">
      <w:pPr>
        <w:pStyle w:val="PPVBody"/>
        <w:spacing w:before="40"/>
        <w:ind w:left="567"/>
        <w:rPr>
          <w:rFonts w:asciiTheme="minorHAnsi" w:hAnsiTheme="minorHAnsi"/>
        </w:rPr>
      </w:pPr>
      <w:r w:rsidRPr="00A90F8A">
        <w:rPr>
          <w:rFonts w:asciiTheme="minorHAnsi" w:hAnsiTheme="minorHAnsi"/>
          <w:b/>
        </w:rPr>
        <w:t>Policy 1.1.2</w:t>
      </w:r>
      <w:r w:rsidRPr="00A90F8A">
        <w:rPr>
          <w:rFonts w:asciiTheme="minorHAnsi" w:hAnsiTheme="minorHAnsi"/>
        </w:rPr>
        <w:t xml:space="preserve"> encourages the redevelopment of major urban renewal precincts to deliver high</w:t>
      </w:r>
      <w:r>
        <w:rPr>
          <w:rFonts w:asciiTheme="minorHAnsi" w:hAnsiTheme="minorHAnsi"/>
        </w:rPr>
        <w:t xml:space="preserve"> </w:t>
      </w:r>
      <w:r w:rsidRPr="00A90F8A">
        <w:rPr>
          <w:rFonts w:asciiTheme="minorHAnsi" w:hAnsiTheme="minorHAnsi"/>
        </w:rPr>
        <w:t>quality, distinct and diverse neighbourhoods offering a mix of uses.</w:t>
      </w:r>
    </w:p>
    <w:p w:rsidR="00785416" w:rsidRDefault="00655E64" w:rsidP="00A707F1">
      <w:pPr>
        <w:pStyle w:val="PPVBody"/>
        <w:spacing w:before="40"/>
        <w:ind w:left="567"/>
        <w:rPr>
          <w:rFonts w:asciiTheme="minorHAnsi" w:hAnsiTheme="minorHAnsi"/>
        </w:rPr>
      </w:pPr>
      <w:r w:rsidRPr="00A90F8A">
        <w:rPr>
          <w:rFonts w:asciiTheme="minorHAnsi" w:hAnsiTheme="minorHAnsi"/>
          <w:b/>
        </w:rPr>
        <w:t xml:space="preserve">Policy 1.1.3 </w:t>
      </w:r>
      <w:r w:rsidRPr="00A90F8A">
        <w:rPr>
          <w:rFonts w:asciiTheme="minorHAnsi" w:hAnsiTheme="minorHAnsi"/>
        </w:rPr>
        <w:t>supports the development of national employment and innovation clusters.</w:t>
      </w:r>
      <w:r>
        <w:rPr>
          <w:rFonts w:asciiTheme="minorHAnsi" w:hAnsiTheme="minorHAnsi"/>
        </w:rPr>
        <w:t xml:space="preserve">  </w:t>
      </w:r>
      <w:r w:rsidRPr="00A90F8A">
        <w:rPr>
          <w:rFonts w:asciiTheme="minorHAnsi" w:hAnsiTheme="minorHAnsi"/>
          <w:i/>
        </w:rPr>
        <w:t xml:space="preserve">Plan Melbourne </w:t>
      </w:r>
      <w:r w:rsidR="004734D8">
        <w:rPr>
          <w:rFonts w:asciiTheme="minorHAnsi" w:hAnsiTheme="minorHAnsi"/>
        </w:rPr>
        <w:t xml:space="preserve">identifies seven </w:t>
      </w:r>
      <w:r w:rsidRPr="00A90F8A">
        <w:rPr>
          <w:rFonts w:asciiTheme="minorHAnsi" w:hAnsiTheme="minorHAnsi"/>
        </w:rPr>
        <w:t>clusters, one of which is the Employment Precinct within Fishermans Bend.</w:t>
      </w:r>
    </w:p>
    <w:p w:rsidR="00450690" w:rsidRPr="00A90F8A" w:rsidRDefault="00734DC5" w:rsidP="00734DC5">
      <w:pPr>
        <w:pStyle w:val="Caption"/>
        <w:rPr>
          <w:rFonts w:asciiTheme="minorHAnsi" w:hAnsiTheme="minorHAnsi"/>
        </w:rPr>
      </w:pPr>
      <w:bookmarkStart w:id="75" w:name="_Ref519718928"/>
      <w:bookmarkStart w:id="76" w:name="_Toc519719105"/>
      <w:bookmarkStart w:id="77" w:name="_Toc519710373"/>
      <w:r>
        <w:lastRenderedPageBreak/>
        <w:t xml:space="preserve">Figure </w:t>
      </w:r>
      <w:fldSimple w:instr=" SEQ Figure \* ARABIC ">
        <w:r w:rsidR="00A307EC">
          <w:rPr>
            <w:noProof/>
          </w:rPr>
          <w:t>2</w:t>
        </w:r>
      </w:fldSimple>
      <w:bookmarkEnd w:id="75"/>
      <w:r w:rsidR="00450690">
        <w:rPr>
          <w:rFonts w:asciiTheme="minorHAnsi" w:hAnsiTheme="minorHAnsi"/>
        </w:rPr>
        <w:t>:</w:t>
      </w:r>
      <w:r w:rsidR="00450690">
        <w:rPr>
          <w:rFonts w:asciiTheme="minorHAnsi" w:hAnsiTheme="minorHAnsi"/>
        </w:rPr>
        <w:tab/>
      </w:r>
      <w:r w:rsidR="00450690" w:rsidRPr="00A90F8A">
        <w:rPr>
          <w:rFonts w:asciiTheme="minorHAnsi" w:hAnsiTheme="minorHAnsi"/>
        </w:rPr>
        <w:t>Melbourne at 2050 proposed structure</w:t>
      </w:r>
      <w:bookmarkEnd w:id="76"/>
      <w:bookmarkEnd w:id="77"/>
    </w:p>
    <w:p w:rsidR="00450690" w:rsidRPr="00A90F8A" w:rsidRDefault="00450690" w:rsidP="00450690">
      <w:pPr>
        <w:keepNext/>
        <w:overflowPunct w:val="0"/>
        <w:autoSpaceDE w:val="0"/>
        <w:autoSpaceDN w:val="0"/>
        <w:adjustRightInd w:val="0"/>
        <w:spacing w:before="60"/>
        <w:textAlignment w:val="baseline"/>
        <w:rPr>
          <w:rFonts w:asciiTheme="minorHAnsi" w:hAnsiTheme="minorHAnsi"/>
        </w:rPr>
      </w:pPr>
      <w:r w:rsidRPr="00A90F8A">
        <w:rPr>
          <w:rFonts w:asciiTheme="minorHAnsi" w:hAnsiTheme="minorHAnsi"/>
          <w:i/>
          <w:iCs/>
          <w:noProof/>
          <w:sz w:val="17"/>
          <w:szCs w:val="17"/>
        </w:rPr>
        <w:drawing>
          <wp:inline distT="0" distB="0" distL="0" distR="0" wp14:anchorId="4A201ECE" wp14:editId="4D4A9130">
            <wp:extent cx="5859475" cy="6634480"/>
            <wp:effectExtent l="0" t="0" r="8255" b="0"/>
            <wp:docPr id="23" name="Picture 23" descr="Melbourne 2050 Plan depicting the Lorimer, Montague, Sandridge and Wirraway precincts.&#10;Key map features include:&#10;• Other key Melbourne precincts: Port of Melbourne, Arts, Sports and St Kilda Road precincts.&#10;• Metro Tunnel&#10;• New station&#10;• Rail network&#10;• Train network&#10;• Tram network&#10;• Road network&#10;" title="Figure 1. Melbourne 2050 Plan – Central City (Plan Melbourn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s122-1-16 -TP"/>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859475" cy="6634480"/>
                    </a:xfrm>
                    <a:prstGeom prst="rect">
                      <a:avLst/>
                    </a:prstGeom>
                    <a:noFill/>
                    <a:ln>
                      <a:noFill/>
                    </a:ln>
                  </pic:spPr>
                </pic:pic>
              </a:graphicData>
            </a:graphic>
          </wp:inline>
        </w:drawing>
      </w:r>
    </w:p>
    <w:p w:rsidR="00450690" w:rsidRPr="001E2A06" w:rsidRDefault="00450690" w:rsidP="00A707F1">
      <w:pPr>
        <w:pStyle w:val="PPVSource"/>
        <w:rPr>
          <w:rFonts w:asciiTheme="minorHAnsi" w:hAnsiTheme="minorHAnsi" w:cstheme="minorHAnsi"/>
        </w:rPr>
      </w:pPr>
      <w:r w:rsidRPr="001E2A06">
        <w:rPr>
          <w:rFonts w:asciiTheme="minorHAnsi" w:hAnsiTheme="minorHAnsi" w:cstheme="minorHAnsi"/>
        </w:rPr>
        <w:t xml:space="preserve">Source: </w:t>
      </w:r>
      <w:r w:rsidRPr="001E2A06">
        <w:rPr>
          <w:i/>
        </w:rPr>
        <w:t>Plan Melbourne</w:t>
      </w:r>
      <w:r w:rsidRPr="001E2A06">
        <w:t>, page 26</w:t>
      </w:r>
    </w:p>
    <w:p w:rsidR="00785416" w:rsidRPr="00C314A3" w:rsidRDefault="00785416" w:rsidP="00785416">
      <w:pPr>
        <w:pStyle w:val="PPVBody"/>
      </w:pPr>
      <w:r w:rsidRPr="00C314A3">
        <w:rPr>
          <w:b/>
        </w:rPr>
        <w:t xml:space="preserve">Direction 2.1 </w:t>
      </w:r>
      <w:r w:rsidRPr="00C314A3">
        <w:t>seeks to manage the supply of new housing in the right locations to meet population growth and create a sustainable city.</w:t>
      </w:r>
    </w:p>
    <w:p w:rsidR="00785416" w:rsidRDefault="00785416" w:rsidP="00785416">
      <w:pPr>
        <w:pStyle w:val="PPVBody"/>
        <w:spacing w:before="40"/>
        <w:ind w:left="567"/>
        <w:rPr>
          <w:rFonts w:asciiTheme="minorHAnsi" w:hAnsiTheme="minorHAnsi"/>
        </w:rPr>
      </w:pPr>
      <w:r w:rsidRPr="00A90F8A">
        <w:rPr>
          <w:rFonts w:asciiTheme="minorHAnsi" w:hAnsiTheme="minorHAnsi"/>
          <w:b/>
        </w:rPr>
        <w:t>Policy 2.2.1</w:t>
      </w:r>
      <w:r w:rsidRPr="00A90F8A">
        <w:rPr>
          <w:rFonts w:asciiTheme="minorHAnsi" w:hAnsiTheme="minorHAnsi"/>
        </w:rPr>
        <w:t xml:space="preserve"> supports well-designed, high density residential developments that support a vibrant public realm in Melbourne’s </w:t>
      </w:r>
      <w:r>
        <w:rPr>
          <w:rFonts w:asciiTheme="minorHAnsi" w:hAnsiTheme="minorHAnsi"/>
        </w:rPr>
        <w:t>C</w:t>
      </w:r>
      <w:r w:rsidRPr="00A90F8A">
        <w:rPr>
          <w:rFonts w:asciiTheme="minorHAnsi" w:hAnsiTheme="minorHAnsi"/>
        </w:rPr>
        <w:t xml:space="preserve">entral </w:t>
      </w:r>
      <w:r>
        <w:rPr>
          <w:rFonts w:asciiTheme="minorHAnsi" w:hAnsiTheme="minorHAnsi"/>
        </w:rPr>
        <w:t>C</w:t>
      </w:r>
      <w:r w:rsidRPr="00A90F8A">
        <w:rPr>
          <w:rFonts w:asciiTheme="minorHAnsi" w:hAnsiTheme="minorHAnsi"/>
        </w:rPr>
        <w:t>ity.</w:t>
      </w:r>
      <w:r>
        <w:rPr>
          <w:rFonts w:asciiTheme="minorHAnsi" w:hAnsiTheme="minorHAnsi"/>
        </w:rPr>
        <w:t xml:space="preserve">  </w:t>
      </w:r>
      <w:r w:rsidRPr="00A90F8A">
        <w:rPr>
          <w:rFonts w:asciiTheme="minorHAnsi" w:hAnsiTheme="minorHAnsi"/>
        </w:rPr>
        <w:t>It emphasises the need to “</w:t>
      </w:r>
      <w:r w:rsidRPr="00A90F8A">
        <w:rPr>
          <w:rFonts w:asciiTheme="minorHAnsi" w:hAnsiTheme="minorHAnsi"/>
          <w:i/>
        </w:rPr>
        <w:t>maximise development opportunities”</w:t>
      </w:r>
      <w:r w:rsidRPr="00A90F8A">
        <w:rPr>
          <w:rFonts w:asciiTheme="minorHAnsi" w:hAnsiTheme="minorHAnsi"/>
        </w:rPr>
        <w:t xml:space="preserve"> </w:t>
      </w:r>
      <w:r>
        <w:rPr>
          <w:rFonts w:asciiTheme="minorHAnsi" w:hAnsiTheme="minorHAnsi"/>
        </w:rPr>
        <w:t>in</w:t>
      </w:r>
      <w:r w:rsidRPr="00A90F8A">
        <w:rPr>
          <w:rFonts w:asciiTheme="minorHAnsi" w:hAnsiTheme="minorHAnsi"/>
        </w:rPr>
        <w:t xml:space="preserve"> this precinct in order to minimise the need to increase residential densities in other parts of the city.</w:t>
      </w:r>
      <w:r w:rsidRPr="00820B43">
        <w:rPr>
          <w:rStyle w:val="FootnoteReference"/>
          <w:rFonts w:asciiTheme="minorHAnsi" w:hAnsiTheme="minorHAnsi"/>
        </w:rPr>
        <w:footnoteReference w:id="14"/>
      </w:r>
    </w:p>
    <w:p w:rsidR="00785416" w:rsidRPr="00C314A3" w:rsidRDefault="00785416" w:rsidP="00785416">
      <w:pPr>
        <w:pStyle w:val="PPVBody"/>
        <w:rPr>
          <w:rFonts w:asciiTheme="minorHAnsi" w:hAnsiTheme="minorHAnsi"/>
        </w:rPr>
      </w:pPr>
      <w:r w:rsidRPr="00C314A3">
        <w:rPr>
          <w:rFonts w:asciiTheme="minorHAnsi" w:hAnsiTheme="minorHAnsi"/>
          <w:b/>
        </w:rPr>
        <w:lastRenderedPageBreak/>
        <w:t xml:space="preserve">Direction 2.2 </w:t>
      </w:r>
      <w:r w:rsidRPr="00C314A3">
        <w:rPr>
          <w:rFonts w:asciiTheme="minorHAnsi" w:hAnsiTheme="minorHAnsi"/>
        </w:rPr>
        <w:t>seeks to deliver more housing closer to jobs and transport.</w:t>
      </w:r>
    </w:p>
    <w:p w:rsidR="00785416" w:rsidRPr="00C314A3" w:rsidRDefault="00785416" w:rsidP="00785416">
      <w:pPr>
        <w:pStyle w:val="PPVBody"/>
        <w:rPr>
          <w:rFonts w:asciiTheme="minorHAnsi" w:hAnsiTheme="minorHAnsi"/>
        </w:rPr>
      </w:pPr>
      <w:r w:rsidRPr="00C314A3">
        <w:rPr>
          <w:rFonts w:asciiTheme="minorHAnsi" w:hAnsiTheme="minorHAnsi"/>
          <w:b/>
        </w:rPr>
        <w:t>Direction 2.3</w:t>
      </w:r>
      <w:r w:rsidRPr="00C314A3">
        <w:rPr>
          <w:rFonts w:asciiTheme="minorHAnsi" w:hAnsiTheme="minorHAnsi"/>
        </w:rPr>
        <w:t xml:space="preserve"> seeks to increase the supply of social and affordable housing.</w:t>
      </w:r>
    </w:p>
    <w:p w:rsidR="00785416" w:rsidRPr="00C314A3" w:rsidRDefault="00785416" w:rsidP="00785416">
      <w:pPr>
        <w:pStyle w:val="PPVBody"/>
        <w:rPr>
          <w:rFonts w:asciiTheme="minorHAnsi" w:hAnsiTheme="minorHAnsi"/>
        </w:rPr>
      </w:pPr>
      <w:r w:rsidRPr="00C314A3">
        <w:rPr>
          <w:rFonts w:asciiTheme="minorHAnsi" w:hAnsiTheme="minorHAnsi"/>
          <w:b/>
        </w:rPr>
        <w:t xml:space="preserve">Direction 4.4 </w:t>
      </w:r>
      <w:r w:rsidRPr="00C314A3">
        <w:rPr>
          <w:rFonts w:asciiTheme="minorHAnsi" w:hAnsiTheme="minorHAnsi"/>
        </w:rPr>
        <w:t>seeks to respect Melbourne’s heritage as we build for the future.</w:t>
      </w:r>
    </w:p>
    <w:p w:rsidR="00785416" w:rsidRPr="00C314A3" w:rsidRDefault="00785416" w:rsidP="00785416">
      <w:pPr>
        <w:pStyle w:val="PPVBody"/>
        <w:spacing w:before="40"/>
        <w:ind w:left="567"/>
        <w:rPr>
          <w:rFonts w:asciiTheme="minorHAnsi" w:hAnsiTheme="minorHAnsi"/>
        </w:rPr>
      </w:pPr>
      <w:r w:rsidRPr="00C314A3">
        <w:rPr>
          <w:rFonts w:asciiTheme="minorHAnsi" w:hAnsiTheme="minorHAnsi"/>
          <w:b/>
        </w:rPr>
        <w:t>Policy 4.4.1</w:t>
      </w:r>
      <w:r w:rsidRPr="00C314A3">
        <w:rPr>
          <w:rFonts w:asciiTheme="minorHAnsi" w:hAnsiTheme="minorHAnsi"/>
        </w:rPr>
        <w:t xml:space="preserve"> supports the recognition of the value of heritage when managing growth and change.</w:t>
      </w:r>
    </w:p>
    <w:p w:rsidR="00785416" w:rsidRPr="00C314A3" w:rsidRDefault="00785416" w:rsidP="00785416">
      <w:pPr>
        <w:pStyle w:val="PPVBody"/>
        <w:rPr>
          <w:rFonts w:asciiTheme="minorHAnsi" w:hAnsiTheme="minorHAnsi"/>
        </w:rPr>
      </w:pPr>
      <w:r w:rsidRPr="00C314A3">
        <w:rPr>
          <w:rFonts w:asciiTheme="minorHAnsi" w:hAnsiTheme="minorHAnsi"/>
          <w:b/>
        </w:rPr>
        <w:t>Direction 5.4</w:t>
      </w:r>
      <w:r w:rsidRPr="00C314A3">
        <w:rPr>
          <w:rFonts w:asciiTheme="minorHAnsi" w:hAnsiTheme="minorHAnsi"/>
        </w:rPr>
        <w:t xml:space="preserve"> supports the delivery of local parks and green neighbourhoods in </w:t>
      </w:r>
      <w:r>
        <w:rPr>
          <w:rFonts w:asciiTheme="minorHAnsi" w:hAnsiTheme="minorHAnsi"/>
        </w:rPr>
        <w:t>collaboration with communities.</w:t>
      </w:r>
    </w:p>
    <w:p w:rsidR="00785416" w:rsidRPr="00C314A3" w:rsidRDefault="00785416" w:rsidP="00785416">
      <w:pPr>
        <w:pStyle w:val="PPVBody"/>
        <w:spacing w:before="40"/>
        <w:ind w:left="567"/>
        <w:rPr>
          <w:rFonts w:asciiTheme="minorHAnsi" w:hAnsiTheme="minorHAnsi"/>
        </w:rPr>
      </w:pPr>
      <w:r w:rsidRPr="00C314A3">
        <w:rPr>
          <w:rFonts w:asciiTheme="minorHAnsi" w:hAnsiTheme="minorHAnsi"/>
          <w:b/>
        </w:rPr>
        <w:t>Policy 5.4.1</w:t>
      </w:r>
      <w:r w:rsidRPr="00C314A3">
        <w:rPr>
          <w:rFonts w:asciiTheme="minorHAnsi" w:hAnsiTheme="minorHAnsi"/>
        </w:rPr>
        <w:t xml:space="preserve"> encourages the development o</w:t>
      </w:r>
      <w:r>
        <w:rPr>
          <w:rFonts w:asciiTheme="minorHAnsi" w:hAnsiTheme="minorHAnsi"/>
        </w:rPr>
        <w:t>f a network of accessible, high</w:t>
      </w:r>
      <w:r w:rsidRPr="00C314A3">
        <w:rPr>
          <w:rFonts w:asciiTheme="minorHAnsi" w:hAnsiTheme="minorHAnsi"/>
        </w:rPr>
        <w:t xml:space="preserve"> quality, local open spaces.</w:t>
      </w:r>
    </w:p>
    <w:p w:rsidR="00785416" w:rsidRPr="00C314A3" w:rsidRDefault="00785416" w:rsidP="00785416">
      <w:pPr>
        <w:pStyle w:val="PPVBody"/>
        <w:rPr>
          <w:rFonts w:asciiTheme="minorHAnsi" w:hAnsiTheme="minorHAnsi"/>
        </w:rPr>
      </w:pPr>
      <w:r w:rsidRPr="00C314A3">
        <w:rPr>
          <w:rFonts w:asciiTheme="minorHAnsi" w:hAnsiTheme="minorHAnsi"/>
          <w:b/>
        </w:rPr>
        <w:t>Direction 6.3</w:t>
      </w:r>
      <w:r w:rsidRPr="00C314A3">
        <w:rPr>
          <w:rFonts w:asciiTheme="minorHAnsi" w:hAnsiTheme="minorHAnsi"/>
        </w:rPr>
        <w:t xml:space="preserve"> supports the integration of urban development and water cycle management to support a resilient and liveable city.</w:t>
      </w:r>
    </w:p>
    <w:p w:rsidR="00785416" w:rsidRPr="0007739E" w:rsidRDefault="00785416" w:rsidP="00785416">
      <w:pPr>
        <w:pStyle w:val="PPVBody"/>
        <w:spacing w:before="40"/>
        <w:ind w:left="567"/>
        <w:rPr>
          <w:rFonts w:asciiTheme="minorHAnsi" w:hAnsiTheme="minorHAnsi"/>
        </w:rPr>
      </w:pPr>
      <w:r w:rsidRPr="00C314A3">
        <w:rPr>
          <w:rFonts w:asciiTheme="minorHAnsi" w:hAnsiTheme="minorHAnsi"/>
          <w:b/>
        </w:rPr>
        <w:t>Policy 6.3.2</w:t>
      </w:r>
      <w:r w:rsidRPr="00C314A3">
        <w:rPr>
          <w:rFonts w:asciiTheme="minorHAnsi" w:hAnsiTheme="minorHAnsi"/>
        </w:rPr>
        <w:t xml:space="preserve"> encourages the improved alignment between urban water management and planning by adopting an integrated water management approach.</w:t>
      </w:r>
    </w:p>
    <w:p w:rsidR="00FA6606" w:rsidRPr="00A90F8A" w:rsidRDefault="00854522" w:rsidP="006A64B4">
      <w:pPr>
        <w:pStyle w:val="Heading4"/>
      </w:pPr>
      <w:r>
        <w:t xml:space="preserve">Local </w:t>
      </w:r>
      <w:r w:rsidR="00A8149D">
        <w:t xml:space="preserve">Planning </w:t>
      </w:r>
      <w:r w:rsidR="00FA6606" w:rsidRPr="00A90F8A">
        <w:t>Policy Frameworks</w:t>
      </w:r>
    </w:p>
    <w:p w:rsidR="00EE461B" w:rsidRDefault="006A64B4" w:rsidP="006A64B4">
      <w:pPr>
        <w:pStyle w:val="PPVBody"/>
        <w:rPr>
          <w:rFonts w:asciiTheme="minorHAnsi" w:hAnsiTheme="minorHAnsi"/>
        </w:rPr>
      </w:pPr>
      <w:r w:rsidRPr="00F00EE1">
        <w:t xml:space="preserve">The draft </w:t>
      </w:r>
      <w:r w:rsidR="00576336">
        <w:t>A</w:t>
      </w:r>
      <w:r w:rsidRPr="00F00EE1">
        <w:t>mendment is underpinned by local planning policy support from the Local Planning Policy Frameworks (LPPF) of the Melbourne and Port Phillip Planning Schemes.</w:t>
      </w:r>
    </w:p>
    <w:p w:rsidR="006A64B4" w:rsidRPr="00F00EE1" w:rsidRDefault="006A64B4" w:rsidP="006A64B4">
      <w:pPr>
        <w:pStyle w:val="PPVBody"/>
        <w:rPr>
          <w:rFonts w:asciiTheme="minorHAnsi" w:hAnsiTheme="minorHAnsi"/>
        </w:rPr>
      </w:pPr>
      <w:r w:rsidRPr="00F00EE1">
        <w:rPr>
          <w:rFonts w:asciiTheme="minorHAnsi" w:hAnsiTheme="minorHAnsi"/>
        </w:rPr>
        <w:t>Clauses 22.27 and 22.15 of the Melbourne and Port Phillip Planning Schemes respectively</w:t>
      </w:r>
      <w:r w:rsidR="00FD2400">
        <w:rPr>
          <w:rFonts w:asciiTheme="minorHAnsi" w:hAnsiTheme="minorHAnsi"/>
        </w:rPr>
        <w:t>,</w:t>
      </w:r>
      <w:r w:rsidRPr="00F00EE1">
        <w:rPr>
          <w:rFonts w:asciiTheme="minorHAnsi" w:hAnsiTheme="minorHAnsi"/>
        </w:rPr>
        <w:t xml:space="preserve"> contain a policy titled </w:t>
      </w:r>
      <w:r w:rsidRPr="00F00EE1">
        <w:rPr>
          <w:rFonts w:asciiTheme="minorHAnsi" w:hAnsiTheme="minorHAnsi"/>
          <w:i/>
        </w:rPr>
        <w:t>‘Employment and Dwelling Density within the Fishermans Bend Urban Renewal Area’</w:t>
      </w:r>
      <w:r w:rsidRPr="00F00EE1">
        <w:rPr>
          <w:rFonts w:asciiTheme="minorHAnsi" w:hAnsiTheme="minorHAnsi"/>
        </w:rPr>
        <w:t>.  The policy applies to all land in Fishermans Bend and guides the exercise of discretion where permits are triggered under the zone and overlay controls.  It anticipate</w:t>
      </w:r>
      <w:r w:rsidR="00667D5D">
        <w:rPr>
          <w:rFonts w:asciiTheme="minorHAnsi" w:hAnsiTheme="minorHAnsi"/>
        </w:rPr>
        <w:t>d</w:t>
      </w:r>
      <w:r w:rsidRPr="00F00EE1">
        <w:rPr>
          <w:rFonts w:asciiTheme="minorHAnsi" w:hAnsiTheme="minorHAnsi"/>
        </w:rPr>
        <w:t xml:space="preserve"> the provision of 60,000 jobs and 80,000 </w:t>
      </w:r>
      <w:r w:rsidR="00667D5D">
        <w:rPr>
          <w:rFonts w:asciiTheme="minorHAnsi" w:hAnsiTheme="minorHAnsi"/>
        </w:rPr>
        <w:t>residents</w:t>
      </w:r>
      <w:r w:rsidRPr="00F00EE1">
        <w:rPr>
          <w:rFonts w:asciiTheme="minorHAnsi" w:hAnsiTheme="minorHAnsi"/>
        </w:rPr>
        <w:t xml:space="preserve"> and seeks to:</w:t>
      </w:r>
    </w:p>
    <w:p w:rsidR="006A64B4" w:rsidRPr="00F00EE1" w:rsidRDefault="006A64B4" w:rsidP="006A64B4">
      <w:pPr>
        <w:pStyle w:val="PPVQuote"/>
      </w:pPr>
      <w:r w:rsidRPr="00F00EE1">
        <w:t>Ensure development is in accordance with the Vision for Fishermans Bend and contributes to achieving the distinctive vision for each neighbourhood.</w:t>
      </w:r>
    </w:p>
    <w:p w:rsidR="006A64B4" w:rsidRPr="00F00EE1" w:rsidRDefault="006A64B4" w:rsidP="006A64B4">
      <w:pPr>
        <w:pStyle w:val="PPVQuote"/>
      </w:pPr>
      <w:r w:rsidRPr="00F00EE1">
        <w:t>Ensure communities have access to a full range of local services and facilities</w:t>
      </w:r>
      <w:r w:rsidR="00374E11" w:rsidRPr="00F00EE1">
        <w:t>.</w:t>
      </w:r>
      <w:r w:rsidR="00374E11">
        <w:t xml:space="preserve">  </w:t>
      </w:r>
      <w:r w:rsidR="00374E11" w:rsidRPr="00F00EE1">
        <w:t>T</w:t>
      </w:r>
      <w:r w:rsidRPr="00F00EE1">
        <w:t>his will include a mix of residential, commercial, educational, health, spiritual, public and civic uses offering a mixture of housing and employment opportunities to ensure a vibrant community is created.</w:t>
      </w:r>
    </w:p>
    <w:p w:rsidR="006A64B4" w:rsidRPr="00F00EE1" w:rsidRDefault="006A64B4" w:rsidP="006A64B4">
      <w:pPr>
        <w:pStyle w:val="PPVQuote"/>
      </w:pPr>
      <w:r w:rsidRPr="00F00EE1">
        <w:t>Ensure large developments are comprehensively planned to create integrated neighbourhoods and deliver high amenity, diversity and a good mix of land uses.</w:t>
      </w:r>
    </w:p>
    <w:p w:rsidR="006A64B4" w:rsidRPr="00F00EE1" w:rsidRDefault="006A64B4" w:rsidP="006A64B4">
      <w:pPr>
        <w:pStyle w:val="PPVBody"/>
        <w:rPr>
          <w:rFonts w:asciiTheme="minorHAnsi" w:hAnsiTheme="minorHAnsi"/>
        </w:rPr>
      </w:pPr>
      <w:r w:rsidRPr="00F00EE1">
        <w:rPr>
          <w:rFonts w:asciiTheme="minorHAnsi" w:hAnsiTheme="minorHAnsi"/>
        </w:rPr>
        <w:t>Other local policy provisions relevant to the urban renewal of Fishermans Bend include:</w:t>
      </w:r>
    </w:p>
    <w:p w:rsidR="00F34841" w:rsidRPr="00F34841" w:rsidRDefault="006A64B4" w:rsidP="00F34841">
      <w:pPr>
        <w:pStyle w:val="Heading5"/>
      </w:pPr>
      <w:r w:rsidRPr="00F00EE1">
        <w:t>Melbourne</w:t>
      </w:r>
    </w:p>
    <w:p w:rsidR="006A64B4" w:rsidRPr="00F00EE1" w:rsidRDefault="006A64B4" w:rsidP="006A64B4">
      <w:pPr>
        <w:pStyle w:val="PPVBody"/>
      </w:pPr>
      <w:r w:rsidRPr="00F00EE1">
        <w:rPr>
          <w:b/>
        </w:rPr>
        <w:t>Clause 21.04 – Settlement</w:t>
      </w:r>
      <w:r w:rsidRPr="00F00EE1">
        <w:t xml:space="preserve"> </w:t>
      </w:r>
      <w:r w:rsidR="00492A43">
        <w:t>–</w:t>
      </w:r>
      <w:r w:rsidRPr="00F00EE1">
        <w:t xml:space="preserve"> identifies Fishermans Bend as an urban renewal area.</w:t>
      </w:r>
    </w:p>
    <w:p w:rsidR="006A64B4" w:rsidRPr="00F00EE1" w:rsidRDefault="006A64B4" w:rsidP="006A64B4">
      <w:pPr>
        <w:pStyle w:val="PPVBody"/>
      </w:pPr>
      <w:r w:rsidRPr="00F00EE1">
        <w:rPr>
          <w:b/>
        </w:rPr>
        <w:t>Clause 21.13-3 – Urban Renewal Areas</w:t>
      </w:r>
      <w:r w:rsidRPr="00F00EE1">
        <w:t xml:space="preserve"> – recognises that Fishermans Bend has been declared a site of state significance and has been rezoned as part of an expanded C</w:t>
      </w:r>
      <w:r w:rsidR="00F34EE4">
        <w:t>CZ</w:t>
      </w:r>
      <w:r w:rsidRPr="00F00EE1">
        <w:t xml:space="preserve">.  The policy states that the area is part of the Expanded Central City and will accommodate CBD jobs and residents, in high densities.  The policy refers to the Fishermans Bend Strategic Framework Plan, July 2014 (amended September 2016), an </w:t>
      </w:r>
      <w:r w:rsidR="0079402A">
        <w:t>I</w:t>
      </w:r>
      <w:r w:rsidRPr="00F00EE1">
        <w:t xml:space="preserve">ncorporated </w:t>
      </w:r>
      <w:r w:rsidR="0079402A">
        <w:t>D</w:t>
      </w:r>
      <w:r w:rsidRPr="00F00EE1">
        <w:t>ocument at the Schedule to Clause 81.01.</w:t>
      </w:r>
    </w:p>
    <w:p w:rsidR="00F34841" w:rsidRPr="00F34841" w:rsidRDefault="006A64B4" w:rsidP="00F34841">
      <w:pPr>
        <w:pStyle w:val="Heading5"/>
      </w:pPr>
      <w:r w:rsidRPr="00F00EE1">
        <w:lastRenderedPageBreak/>
        <w:t>Port Phillip</w:t>
      </w:r>
    </w:p>
    <w:p w:rsidR="006A64B4" w:rsidRDefault="006A64B4" w:rsidP="006A64B4">
      <w:pPr>
        <w:pStyle w:val="PPVBody"/>
      </w:pPr>
      <w:r w:rsidRPr="00F00EE1">
        <w:rPr>
          <w:b/>
        </w:rPr>
        <w:t>Clause 21.06 – Local Areas</w:t>
      </w:r>
      <w:r w:rsidRPr="00F00EE1">
        <w:t xml:space="preserve"> – similar to Melbourne, the Port Phillip local policy provides guidance for the Fishermans Bend Urban Renewal Area at Clause 21.06-8.  It sets out the vision for the precinct which seeks to promote a mix of land uses to complement the functions and built form of the Central City and the Docklands. </w:t>
      </w:r>
      <w:r w:rsidR="00F00EE1" w:rsidRPr="00F00EE1">
        <w:t xml:space="preserve"> </w:t>
      </w:r>
      <w:r w:rsidRPr="00F00EE1">
        <w:t>The vision encourages the co-location of employment and housing, to improve access for residents to services and employment and improve housing affordability and choice.</w:t>
      </w:r>
    </w:p>
    <w:p w:rsidR="00CC1340" w:rsidRPr="00CC1340" w:rsidRDefault="00CC1340" w:rsidP="00DD6314">
      <w:pPr>
        <w:pStyle w:val="Heading2"/>
      </w:pPr>
      <w:bookmarkStart w:id="78" w:name="_Ref519689422"/>
      <w:bookmarkStart w:id="79" w:name="_Toc519710250"/>
      <w:bookmarkStart w:id="80" w:name="_Toc519766810"/>
      <w:bookmarkStart w:id="81" w:name="_Toc324259648"/>
      <w:bookmarkStart w:id="82" w:name="_Toc326586199"/>
      <w:bookmarkEnd w:id="72"/>
      <w:bookmarkEnd w:id="73"/>
      <w:r w:rsidRPr="00CC1340">
        <w:t>Victoria’s 30-year Infrastructure Strategy</w:t>
      </w:r>
      <w:bookmarkEnd w:id="78"/>
      <w:bookmarkEnd w:id="79"/>
      <w:bookmarkEnd w:id="80"/>
    </w:p>
    <w:p w:rsidR="00EE461B" w:rsidRDefault="00CC1340" w:rsidP="00CC1340">
      <w:pPr>
        <w:pStyle w:val="PPVBody"/>
      </w:pPr>
      <w:r w:rsidRPr="00CC1340">
        <w:t xml:space="preserve">In 2015, the Victorian Parliament created Infrastructure Victoria as an independent advisory board and tasked it with preparing </w:t>
      </w:r>
      <w:r w:rsidRPr="00CC1340">
        <w:rPr>
          <w:i/>
        </w:rPr>
        <w:t>Victoria’</w:t>
      </w:r>
      <w:r w:rsidRPr="00CC1340">
        <w:t xml:space="preserve">s </w:t>
      </w:r>
      <w:r w:rsidRPr="00CC1340">
        <w:rPr>
          <w:i/>
        </w:rPr>
        <w:t>3</w:t>
      </w:r>
      <w:r w:rsidR="008F274D">
        <w:rPr>
          <w:i/>
        </w:rPr>
        <w:t xml:space="preserve">0-year Infrastructure Strategy.  </w:t>
      </w:r>
      <w:r w:rsidR="008F274D" w:rsidRPr="008F274D">
        <w:t>R</w:t>
      </w:r>
      <w:r w:rsidRPr="008F274D">
        <w:t>e</w:t>
      </w:r>
      <w:r w:rsidRPr="00CC1340">
        <w:t>leased in December 2016</w:t>
      </w:r>
      <w:r w:rsidR="00A8149D">
        <w:t>,</w:t>
      </w:r>
      <w:r w:rsidRPr="00CC1340">
        <w:t xml:space="preserve"> </w:t>
      </w:r>
      <w:r w:rsidR="008F274D">
        <w:t>the Strategy set</w:t>
      </w:r>
      <w:r w:rsidRPr="00CC1340">
        <w:t>s out a range of infrastructure initiatives to enable Victoria to be a thriving connected and sustainable state where residents can access jobs</w:t>
      </w:r>
      <w:r w:rsidR="00B3342B">
        <w:t>,</w:t>
      </w:r>
      <w:r w:rsidRPr="00CC1340">
        <w:t xml:space="preserve"> education and services.</w:t>
      </w:r>
    </w:p>
    <w:p w:rsidR="00CC1340" w:rsidRPr="00CC1340" w:rsidRDefault="008F274D" w:rsidP="00CC1340">
      <w:pPr>
        <w:pStyle w:val="PPVBody"/>
        <w:rPr>
          <w:i/>
        </w:rPr>
      </w:pPr>
      <w:r>
        <w:t>The S</w:t>
      </w:r>
      <w:r w:rsidR="00CC1340" w:rsidRPr="00CC1340">
        <w:t>trategy assessed in excess of 280 infrastructure options based on factors such as cost, the expected contribution of the option to meeting needs over time, the economic social and environmental impacts of the option, relationship between options, level of community support and alternate future scenarios.  It draws upon other l</w:t>
      </w:r>
      <w:r w:rsidR="00A8149D">
        <w:t>ocal, regional and state plans.</w:t>
      </w:r>
    </w:p>
    <w:p w:rsidR="00CC1340" w:rsidRPr="00CC1340" w:rsidRDefault="00CC1340" w:rsidP="00CC1340">
      <w:pPr>
        <w:pStyle w:val="PPVBody"/>
      </w:pPr>
      <w:r w:rsidRPr="00CC1340">
        <w:t xml:space="preserve">The Strategy identifies </w:t>
      </w:r>
      <w:r w:rsidR="00A8149D">
        <w:t>key</w:t>
      </w:r>
      <w:r w:rsidR="00B3342B">
        <w:t xml:space="preserve"> recommendations, </w:t>
      </w:r>
      <w:r w:rsidR="00A8149D">
        <w:t>and those</w:t>
      </w:r>
      <w:r w:rsidRPr="00CC1340">
        <w:t xml:space="preserve"> relevant to the renewal of Fishermans Bend</w:t>
      </w:r>
      <w:r w:rsidR="00A8149D">
        <w:t xml:space="preserve"> include</w:t>
      </w:r>
      <w:r w:rsidRPr="00CC1340">
        <w:t>:</w:t>
      </w:r>
    </w:p>
    <w:p w:rsidR="00CC1340" w:rsidRPr="00CC1340" w:rsidRDefault="00CC1340" w:rsidP="00CC1340">
      <w:pPr>
        <w:pStyle w:val="PPVBody"/>
      </w:pPr>
      <w:r w:rsidRPr="00CC1340">
        <w:rPr>
          <w:b/>
        </w:rPr>
        <w:t>Recommendation 1</w:t>
      </w:r>
      <w:r w:rsidRPr="00CC1340">
        <w:t xml:space="preserve"> seeks to increase densities in established areas and around employment centres to make better use of existing infrastructure.</w:t>
      </w:r>
    </w:p>
    <w:p w:rsidR="00CC1340" w:rsidRPr="00CC1340" w:rsidRDefault="00CC1340" w:rsidP="00CC1340">
      <w:pPr>
        <w:pStyle w:val="PPVBody"/>
      </w:pPr>
      <w:r w:rsidRPr="00CC1340">
        <w:rPr>
          <w:b/>
        </w:rPr>
        <w:t>Recommendation 3</w:t>
      </w:r>
      <w:r w:rsidRPr="00CC1340">
        <w:t xml:space="preserve"> seeks to investigate social housing and other forms of affordable housing for vulnerable Victorians to significantly increase supply.</w:t>
      </w:r>
    </w:p>
    <w:p w:rsidR="00CC1340" w:rsidRPr="00CC1340" w:rsidRDefault="00CC1340" w:rsidP="00CC1340">
      <w:pPr>
        <w:pStyle w:val="PPVBody"/>
      </w:pPr>
      <w:r w:rsidRPr="00CC1340">
        <w:rPr>
          <w:b/>
        </w:rPr>
        <w:t>Recommendation 10.8.1</w:t>
      </w:r>
      <w:r w:rsidRPr="00CC1340">
        <w:t xml:space="preserve"> seeks to extend the tram network into Fishermans Bend within </w:t>
      </w:r>
      <w:r w:rsidR="00B3342B">
        <w:t>five</w:t>
      </w:r>
      <w:r w:rsidRPr="00CC1340">
        <w:t xml:space="preserve"> to 10 years.</w:t>
      </w:r>
    </w:p>
    <w:p w:rsidR="00CC1340" w:rsidRPr="00454B3A" w:rsidRDefault="00CC1340" w:rsidP="00CC1340">
      <w:pPr>
        <w:pStyle w:val="PPVBody"/>
      </w:pPr>
      <w:r w:rsidRPr="00CC1340">
        <w:rPr>
          <w:b/>
        </w:rPr>
        <w:t xml:space="preserve">Recommendation 10.10.2 </w:t>
      </w:r>
      <w:r w:rsidRPr="00CC1340">
        <w:t>supports the expansion of public transport capacity through the delivery of future stages of Melbourne Metro to Fishermans Bend in the next 15 to 30 years.</w:t>
      </w:r>
    </w:p>
    <w:p w:rsidR="00DF244A" w:rsidRPr="00A90F8A" w:rsidRDefault="00854522" w:rsidP="008B68A1">
      <w:pPr>
        <w:pStyle w:val="Heading1"/>
        <w:rPr>
          <w:rFonts w:asciiTheme="minorHAnsi" w:hAnsiTheme="minorHAnsi"/>
        </w:rPr>
      </w:pPr>
      <w:bookmarkStart w:id="83" w:name="_Toc519710251"/>
      <w:bookmarkStart w:id="84" w:name="_Toc519766811"/>
      <w:r>
        <w:rPr>
          <w:rFonts w:asciiTheme="minorHAnsi" w:hAnsiTheme="minorHAnsi"/>
        </w:rPr>
        <w:lastRenderedPageBreak/>
        <w:t xml:space="preserve">The </w:t>
      </w:r>
      <w:r w:rsidR="00576336">
        <w:rPr>
          <w:rFonts w:asciiTheme="minorHAnsi" w:hAnsiTheme="minorHAnsi"/>
        </w:rPr>
        <w:t>d</w:t>
      </w:r>
      <w:r>
        <w:rPr>
          <w:rFonts w:asciiTheme="minorHAnsi" w:hAnsiTheme="minorHAnsi"/>
        </w:rPr>
        <w:t>raft Amendment</w:t>
      </w:r>
      <w:bookmarkEnd w:id="83"/>
      <w:bookmarkEnd w:id="84"/>
    </w:p>
    <w:p w:rsidR="00EE461B" w:rsidRDefault="00C862CB" w:rsidP="00DD6314">
      <w:pPr>
        <w:pStyle w:val="Heading2"/>
      </w:pPr>
      <w:bookmarkStart w:id="85" w:name="_Toc519710252"/>
      <w:bookmarkStart w:id="86" w:name="_Toc519766812"/>
      <w:r w:rsidRPr="00A90F8A">
        <w:t>Draft</w:t>
      </w:r>
      <w:r w:rsidR="002B41A5" w:rsidRPr="00A90F8A">
        <w:t xml:space="preserve"> planning scheme provisions</w:t>
      </w:r>
      <w:bookmarkEnd w:id="81"/>
      <w:bookmarkEnd w:id="82"/>
      <w:bookmarkEnd w:id="85"/>
      <w:bookmarkEnd w:id="86"/>
    </w:p>
    <w:p w:rsidR="00785416" w:rsidRDefault="009254B7" w:rsidP="00FD2ABD">
      <w:pPr>
        <w:pStyle w:val="PPVBody"/>
        <w:rPr>
          <w:rFonts w:asciiTheme="minorHAnsi" w:hAnsiTheme="minorHAnsi"/>
        </w:rPr>
      </w:pPr>
      <w:r>
        <w:rPr>
          <w:rFonts w:asciiTheme="minorHAnsi" w:hAnsiTheme="minorHAnsi"/>
        </w:rPr>
        <w:t>D</w:t>
      </w:r>
      <w:r w:rsidRPr="00A90F8A">
        <w:rPr>
          <w:rFonts w:asciiTheme="minorHAnsi" w:hAnsiTheme="minorHAnsi"/>
        </w:rPr>
        <w:t xml:space="preserve">raft Amendment GC81 to the Melbourne and Port Phillip Planning Schemes has been prepared by the Taskforce on behalf of the Minister </w:t>
      </w:r>
      <w:r>
        <w:rPr>
          <w:rFonts w:asciiTheme="minorHAnsi" w:hAnsiTheme="minorHAnsi"/>
        </w:rPr>
        <w:t>as Planning Authority.</w:t>
      </w:r>
    </w:p>
    <w:p w:rsidR="00066A12" w:rsidRPr="00A90F8A" w:rsidRDefault="00066A12" w:rsidP="00066A12">
      <w:pPr>
        <w:pStyle w:val="PPVBody"/>
        <w:rPr>
          <w:rFonts w:asciiTheme="minorHAnsi" w:hAnsiTheme="minorHAnsi"/>
        </w:rPr>
      </w:pPr>
      <w:r>
        <w:rPr>
          <w:rFonts w:asciiTheme="minorHAnsi" w:hAnsiTheme="minorHAnsi"/>
        </w:rPr>
        <w:t>As exhibited, t</w:t>
      </w:r>
      <w:r w:rsidRPr="00A90F8A">
        <w:rPr>
          <w:rFonts w:asciiTheme="minorHAnsi" w:hAnsiTheme="minorHAnsi"/>
        </w:rPr>
        <w:t xml:space="preserve">he </w:t>
      </w:r>
      <w:r>
        <w:rPr>
          <w:rFonts w:asciiTheme="minorHAnsi" w:hAnsiTheme="minorHAnsi"/>
        </w:rPr>
        <w:t>d</w:t>
      </w:r>
      <w:r w:rsidRPr="00A90F8A">
        <w:rPr>
          <w:rFonts w:asciiTheme="minorHAnsi" w:hAnsiTheme="minorHAnsi"/>
        </w:rPr>
        <w:t>raft Amendment proposes the following changes to the Melbourne Planning Scheme:</w:t>
      </w:r>
    </w:p>
    <w:p w:rsidR="00066A12" w:rsidRPr="00A90F8A" w:rsidRDefault="00066A12" w:rsidP="00066A12">
      <w:pPr>
        <w:pStyle w:val="PPVBullet1"/>
      </w:pPr>
      <w:r w:rsidRPr="00A90F8A">
        <w:rPr>
          <w:rFonts w:asciiTheme="minorHAnsi" w:hAnsiTheme="minorHAnsi"/>
        </w:rPr>
        <w:t xml:space="preserve">Amend various clauses in the Municipal Strategic Statement to provide strategic direction to realise the vision for the Lorimer </w:t>
      </w:r>
      <w:r>
        <w:rPr>
          <w:rFonts w:asciiTheme="minorHAnsi" w:hAnsiTheme="minorHAnsi"/>
        </w:rPr>
        <w:t>P</w:t>
      </w:r>
      <w:r w:rsidRPr="00A90F8A">
        <w:rPr>
          <w:rFonts w:asciiTheme="minorHAnsi" w:hAnsiTheme="minorHAnsi"/>
        </w:rPr>
        <w:t>recinct within Fishermans Bend.</w:t>
      </w:r>
    </w:p>
    <w:p w:rsidR="00066A12" w:rsidRPr="00A90F8A" w:rsidRDefault="00066A12" w:rsidP="00066A12">
      <w:pPr>
        <w:pStyle w:val="PPVBullet1"/>
      </w:pPr>
      <w:r w:rsidRPr="00A90F8A">
        <w:t xml:space="preserve">Replace the </w:t>
      </w:r>
      <w:r w:rsidR="00EF20D5">
        <w:t xml:space="preserve">current </w:t>
      </w:r>
      <w:r w:rsidRPr="00A90F8A">
        <w:t>Fishermans Bend Urban Renewal Area Local Policy at Clause 22.27 wit</w:t>
      </w:r>
      <w:r w:rsidR="00EF20D5">
        <w:t>h a new policy.</w:t>
      </w:r>
    </w:p>
    <w:p w:rsidR="00066A12" w:rsidRPr="00A90F8A" w:rsidRDefault="00066A12" w:rsidP="00066A12">
      <w:pPr>
        <w:pStyle w:val="PPVBullet1"/>
      </w:pPr>
      <w:r w:rsidRPr="00A90F8A">
        <w:t xml:space="preserve">Apply the Environmental Audit Overlay to land in the Lorimer </w:t>
      </w:r>
      <w:r>
        <w:t>P</w:t>
      </w:r>
      <w:r w:rsidRPr="00A90F8A">
        <w:t>recinct between Lorimer Street, Graham Street and the West Gate Freeway.</w:t>
      </w:r>
    </w:p>
    <w:p w:rsidR="00066A12" w:rsidRPr="00A90F8A" w:rsidRDefault="00066A12" w:rsidP="00066A12">
      <w:pPr>
        <w:pStyle w:val="PPVBullet1"/>
      </w:pPr>
      <w:r>
        <w:t>Update</w:t>
      </w:r>
      <w:r w:rsidRPr="00A90F8A">
        <w:t xml:space="preserve"> Schedule 4 to the C</w:t>
      </w:r>
      <w:r w:rsidR="00F34EE4">
        <w:t>CZ</w:t>
      </w:r>
      <w:r w:rsidRPr="00A90F8A">
        <w:t xml:space="preserve"> to include provisions for land uses, subdivision, floor area ratios, floor area uplift, building </w:t>
      </w:r>
      <w:r>
        <w:t>Green Star</w:t>
      </w:r>
      <w:r w:rsidRPr="00A90F8A">
        <w:t xml:space="preserve"> requirements, provision of streets and laneways, core and non-core areas, open space network and advertising signs.</w:t>
      </w:r>
    </w:p>
    <w:p w:rsidR="00066A12" w:rsidRPr="00A90F8A" w:rsidRDefault="00066A12" w:rsidP="00066A12">
      <w:pPr>
        <w:pStyle w:val="PPVBullet1"/>
      </w:pPr>
      <w:r>
        <w:t>Update</w:t>
      </w:r>
      <w:r w:rsidRPr="00A90F8A">
        <w:t xml:space="preserve"> Schedule 67 to</w:t>
      </w:r>
      <w:r>
        <w:t xml:space="preserve"> the</w:t>
      </w:r>
      <w:r w:rsidRPr="00A90F8A">
        <w:t xml:space="preserve"> Design and Development Overlay to include built form controls covering; building heights, setbacks and separation, overshadowing, wind, active street frontages, adaptable buildings, building finishe</w:t>
      </w:r>
      <w:r w:rsidR="00EF20D5">
        <w:t>s</w:t>
      </w:r>
      <w:r w:rsidRPr="00A90F8A">
        <w:t xml:space="preserve"> and landscaping.</w:t>
      </w:r>
    </w:p>
    <w:p w:rsidR="00066A12" w:rsidRPr="00A90F8A" w:rsidRDefault="00066A12" w:rsidP="00066A12">
      <w:pPr>
        <w:pStyle w:val="PPVBullet1"/>
      </w:pPr>
      <w:r>
        <w:t>Update</w:t>
      </w:r>
      <w:r w:rsidRPr="00A90F8A">
        <w:t xml:space="preserve"> Schedule 13 to the Parking Overlay to set maximum car parking rates.</w:t>
      </w:r>
    </w:p>
    <w:p w:rsidR="00066A12" w:rsidRPr="00A90F8A" w:rsidRDefault="00066A12" w:rsidP="00066A12">
      <w:pPr>
        <w:pStyle w:val="PPVBullet1"/>
      </w:pPr>
      <w:r w:rsidRPr="00A90F8A">
        <w:t xml:space="preserve">Amend schedules to Clauses 61.03 and 81.01 to list new maps and remove reference to the </w:t>
      </w:r>
      <w:r w:rsidRPr="00A90F8A">
        <w:rPr>
          <w:i/>
        </w:rPr>
        <w:t>Fishermans Bend Strategic Framework Plan (September 2016</w:t>
      </w:r>
      <w:r w:rsidRPr="00A90F8A">
        <w:t>).</w:t>
      </w:r>
    </w:p>
    <w:p w:rsidR="00EF20D5" w:rsidRPr="00A90F8A" w:rsidRDefault="00EF20D5" w:rsidP="00EF20D5">
      <w:pPr>
        <w:pStyle w:val="PPVBody"/>
        <w:rPr>
          <w:rFonts w:asciiTheme="minorHAnsi" w:hAnsiTheme="minorHAnsi"/>
        </w:rPr>
      </w:pPr>
      <w:r>
        <w:rPr>
          <w:rFonts w:asciiTheme="minorHAnsi" w:hAnsiTheme="minorHAnsi"/>
        </w:rPr>
        <w:t>Similar</w:t>
      </w:r>
      <w:r w:rsidRPr="00A90F8A">
        <w:rPr>
          <w:rFonts w:asciiTheme="minorHAnsi" w:hAnsiTheme="minorHAnsi"/>
        </w:rPr>
        <w:t xml:space="preserve"> changes </w:t>
      </w:r>
      <w:r>
        <w:rPr>
          <w:rFonts w:asciiTheme="minorHAnsi" w:hAnsiTheme="minorHAnsi"/>
        </w:rPr>
        <w:t xml:space="preserve">are proposed </w:t>
      </w:r>
      <w:r w:rsidRPr="00A90F8A">
        <w:rPr>
          <w:rFonts w:asciiTheme="minorHAnsi" w:hAnsiTheme="minorHAnsi"/>
        </w:rPr>
        <w:t>to the Port Phillip Planning Scheme</w:t>
      </w:r>
      <w:r>
        <w:rPr>
          <w:rFonts w:asciiTheme="minorHAnsi" w:hAnsiTheme="minorHAnsi"/>
        </w:rPr>
        <w:t xml:space="preserve">.  Those that are specific to Port Phillip </w:t>
      </w:r>
      <w:r w:rsidRPr="00A90F8A">
        <w:rPr>
          <w:rFonts w:asciiTheme="minorHAnsi" w:hAnsiTheme="minorHAnsi"/>
        </w:rPr>
        <w:t>include:</w:t>
      </w:r>
    </w:p>
    <w:p w:rsidR="00EF20D5" w:rsidRPr="00A90F8A" w:rsidRDefault="00EF20D5" w:rsidP="00EF20D5">
      <w:pPr>
        <w:pStyle w:val="PPVBullet1"/>
      </w:pPr>
      <w:r w:rsidRPr="00A90F8A">
        <w:rPr>
          <w:rFonts w:asciiTheme="minorHAnsi" w:hAnsiTheme="minorHAnsi"/>
        </w:rPr>
        <w:t xml:space="preserve">Amend various clauses in the Municipal Strategic Statement to provide strategic direction to realise the vision for the </w:t>
      </w:r>
      <w:r>
        <w:rPr>
          <w:rFonts w:asciiTheme="minorHAnsi" w:hAnsiTheme="minorHAnsi"/>
        </w:rPr>
        <w:t>Montague, Sandridge and Wirraway Precincts</w:t>
      </w:r>
      <w:r w:rsidRPr="00A90F8A">
        <w:rPr>
          <w:rFonts w:asciiTheme="minorHAnsi" w:hAnsiTheme="minorHAnsi"/>
        </w:rPr>
        <w:t>.</w:t>
      </w:r>
    </w:p>
    <w:p w:rsidR="00EF20D5" w:rsidRPr="00A90F8A" w:rsidRDefault="00EF20D5" w:rsidP="00EF20D5">
      <w:pPr>
        <w:pStyle w:val="PPVBullet1"/>
        <w:rPr>
          <w:b/>
        </w:rPr>
      </w:pPr>
      <w:r w:rsidRPr="00A90F8A">
        <w:t xml:space="preserve">Introduce a new Schedule 2 to Clause 43.04 </w:t>
      </w:r>
      <w:r>
        <w:t>(</w:t>
      </w:r>
      <w:r w:rsidRPr="00A90F8A">
        <w:t>Development Plan Overlay</w:t>
      </w:r>
      <w:r>
        <w:t>)</w:t>
      </w:r>
      <w:r w:rsidRPr="00A90F8A">
        <w:t xml:space="preserve"> to:</w:t>
      </w:r>
    </w:p>
    <w:p w:rsidR="00EF20D5" w:rsidRPr="00A90F8A" w:rsidRDefault="00EF20D5" w:rsidP="00EF20D5">
      <w:pPr>
        <w:pStyle w:val="PPVBullet2"/>
        <w:rPr>
          <w:rFonts w:asciiTheme="minorHAnsi" w:hAnsiTheme="minorHAnsi"/>
          <w:b/>
        </w:rPr>
      </w:pPr>
      <w:r w:rsidRPr="00A90F8A">
        <w:rPr>
          <w:rFonts w:asciiTheme="minorHAnsi" w:hAnsiTheme="minorHAnsi"/>
        </w:rPr>
        <w:t>Land on the corners of Williamst</w:t>
      </w:r>
      <w:r>
        <w:rPr>
          <w:rFonts w:asciiTheme="minorHAnsi" w:hAnsiTheme="minorHAnsi"/>
        </w:rPr>
        <w:t>own, Salmon and Plummer Streets</w:t>
      </w:r>
    </w:p>
    <w:p w:rsidR="00EF20D5" w:rsidRPr="00A90F8A" w:rsidRDefault="00EF20D5" w:rsidP="00EF20D5">
      <w:pPr>
        <w:pStyle w:val="PPVBullet2"/>
        <w:rPr>
          <w:rFonts w:asciiTheme="minorHAnsi" w:hAnsiTheme="minorHAnsi"/>
          <w:b/>
        </w:rPr>
      </w:pPr>
      <w:r w:rsidRPr="00A90F8A">
        <w:rPr>
          <w:rFonts w:asciiTheme="minorHAnsi" w:hAnsiTheme="minorHAnsi"/>
        </w:rPr>
        <w:t>Land on the corners of Plummer and Brid</w:t>
      </w:r>
      <w:r w:rsidR="00FD2400">
        <w:rPr>
          <w:rFonts w:asciiTheme="minorHAnsi" w:hAnsiTheme="minorHAnsi"/>
        </w:rPr>
        <w:t>g</w:t>
      </w:r>
      <w:r w:rsidRPr="00A90F8A">
        <w:rPr>
          <w:rFonts w:asciiTheme="minorHAnsi" w:hAnsiTheme="minorHAnsi"/>
        </w:rPr>
        <w:t>e Street</w:t>
      </w:r>
    </w:p>
    <w:p w:rsidR="00EF20D5" w:rsidRPr="00A90F8A" w:rsidRDefault="00EF20D5" w:rsidP="00EF20D5">
      <w:pPr>
        <w:pStyle w:val="PPVBullet2"/>
        <w:rPr>
          <w:rFonts w:asciiTheme="minorHAnsi" w:hAnsiTheme="minorHAnsi"/>
          <w:b/>
        </w:rPr>
      </w:pPr>
      <w:r w:rsidRPr="00A90F8A">
        <w:rPr>
          <w:rFonts w:asciiTheme="minorHAnsi" w:hAnsiTheme="minorHAnsi"/>
        </w:rPr>
        <w:t>Land between Bridge Street, Bertie and Ingles Street, to the north of Williamstown Road</w:t>
      </w:r>
    </w:p>
    <w:p w:rsidR="00EF20D5" w:rsidRPr="00A90F8A" w:rsidRDefault="00EF20D5" w:rsidP="00EF20D5">
      <w:pPr>
        <w:pStyle w:val="PPVBullet2"/>
        <w:rPr>
          <w:rFonts w:asciiTheme="minorHAnsi" w:hAnsiTheme="minorHAnsi"/>
          <w:b/>
        </w:rPr>
      </w:pPr>
      <w:r w:rsidRPr="00A90F8A">
        <w:rPr>
          <w:rFonts w:asciiTheme="minorHAnsi" w:hAnsiTheme="minorHAnsi"/>
        </w:rPr>
        <w:t>Land bounded by Boundary Street, Woodgate Street, Doran Street and Munro Street.</w:t>
      </w:r>
    </w:p>
    <w:p w:rsidR="00FA6606" w:rsidRDefault="00927E8A" w:rsidP="00DD6314">
      <w:pPr>
        <w:pStyle w:val="Heading2"/>
      </w:pPr>
      <w:bookmarkStart w:id="87" w:name="_Toc519710253"/>
      <w:bookmarkStart w:id="88" w:name="_Toc519766813"/>
      <w:r>
        <w:t>Summary of changes</w:t>
      </w:r>
      <w:r w:rsidR="00576010">
        <w:t xml:space="preserve"> since exhibition</w:t>
      </w:r>
      <w:bookmarkEnd w:id="87"/>
      <w:bookmarkEnd w:id="88"/>
    </w:p>
    <w:p w:rsidR="00785416" w:rsidRDefault="00927E8A" w:rsidP="007D0B37">
      <w:pPr>
        <w:pStyle w:val="PPVBody"/>
      </w:pPr>
      <w:r>
        <w:t xml:space="preserve">The exhibited version of the draft Amendment was updated </w:t>
      </w:r>
      <w:r w:rsidR="00576010">
        <w:t xml:space="preserve">and amended </w:t>
      </w:r>
      <w:r w:rsidR="009254B7">
        <w:t>three times</w:t>
      </w:r>
      <w:r>
        <w:t xml:space="preserve"> by the Minister during the course of the Hearings.</w:t>
      </w:r>
    </w:p>
    <w:p w:rsidR="00785416" w:rsidRDefault="00953B8B" w:rsidP="007D0B37">
      <w:pPr>
        <w:pStyle w:val="PPVBody"/>
      </w:pPr>
      <w:r>
        <w:t xml:space="preserve">Part A </w:t>
      </w:r>
      <w:r w:rsidR="002043EA">
        <w:t>(</w:t>
      </w:r>
      <w:r w:rsidR="00655E64">
        <w:t>D</w:t>
      </w:r>
      <w:r w:rsidR="002043EA">
        <w:t xml:space="preserve">49) </w:t>
      </w:r>
      <w:r>
        <w:t xml:space="preserve">is the </w:t>
      </w:r>
      <w:r w:rsidR="009254B7">
        <w:t xml:space="preserve">exhibited version </w:t>
      </w:r>
      <w:r>
        <w:t>of the planning controls but</w:t>
      </w:r>
      <w:r w:rsidR="009254B7">
        <w:t xml:space="preserve"> updated to reflect the Minister</w:t>
      </w:r>
      <w:r>
        <w:t>’</w:t>
      </w:r>
      <w:r w:rsidR="009254B7">
        <w:t xml:space="preserve">s changes </w:t>
      </w:r>
      <w:r>
        <w:t>from</w:t>
      </w:r>
      <w:r w:rsidR="009254B7">
        <w:t xml:space="preserve"> </w:t>
      </w:r>
      <w:r>
        <w:t>a review of</w:t>
      </w:r>
      <w:r w:rsidR="009254B7">
        <w:t xml:space="preserve"> the submissions and the evidence of Mr Glossop.</w:t>
      </w:r>
    </w:p>
    <w:p w:rsidR="009254B7" w:rsidRDefault="009254B7" w:rsidP="007D0B37">
      <w:pPr>
        <w:pStyle w:val="PPVBody"/>
      </w:pPr>
      <w:r>
        <w:t xml:space="preserve">Part B </w:t>
      </w:r>
      <w:r w:rsidR="00953B8B">
        <w:t>(D94) wa</w:t>
      </w:r>
      <w:r>
        <w:t>s provided on</w:t>
      </w:r>
      <w:r w:rsidR="00995BE4">
        <w:t xml:space="preserve"> 14 March </w:t>
      </w:r>
      <w:r w:rsidR="00767A22">
        <w:t xml:space="preserve">2018 </w:t>
      </w:r>
      <w:r>
        <w:t xml:space="preserve">to reflect the ongoing submissions made by various parties and the </w:t>
      </w:r>
      <w:r w:rsidR="00953B8B">
        <w:t>e</w:t>
      </w:r>
      <w:r>
        <w:t xml:space="preserve">vidence </w:t>
      </w:r>
      <w:r w:rsidR="00EF20D5">
        <w:t>of</w:t>
      </w:r>
      <w:r>
        <w:t xml:space="preserve"> witnesses.</w:t>
      </w:r>
    </w:p>
    <w:p w:rsidR="009254B7" w:rsidRDefault="009254B7" w:rsidP="007D0B37">
      <w:pPr>
        <w:pStyle w:val="PPVBody"/>
      </w:pPr>
      <w:r>
        <w:t xml:space="preserve">Part C </w:t>
      </w:r>
      <w:r w:rsidR="00953B8B">
        <w:t xml:space="preserve">(D349) </w:t>
      </w:r>
      <w:r>
        <w:t xml:space="preserve">was provided on 14 May 2018, towards the conclusion of the </w:t>
      </w:r>
      <w:r w:rsidR="00821670">
        <w:t>H</w:t>
      </w:r>
      <w:r w:rsidR="00953B8B">
        <w:t>earing</w:t>
      </w:r>
      <w:r>
        <w:t xml:space="preserve">.  This version removed the Clause 3 and 4 provisions relating to provision of private land for public </w:t>
      </w:r>
      <w:r>
        <w:lastRenderedPageBreak/>
        <w:t xml:space="preserve">purposes </w:t>
      </w:r>
      <w:r w:rsidR="00EF20D5">
        <w:t xml:space="preserve">and made </w:t>
      </w:r>
      <w:r>
        <w:t>other changes that responded to ongoing concerns about the drafting of the controls.</w:t>
      </w:r>
    </w:p>
    <w:p w:rsidR="00EF20D5" w:rsidRDefault="00464F8D" w:rsidP="00EF20D5">
      <w:r>
        <w:t>As noted in its Directions of 5 February 2018 (updated 28 February 2018), the Review Panel prepared a Consolidated Day 1 version of the proposed control</w:t>
      </w:r>
      <w:r w:rsidR="00D91C50">
        <w:t xml:space="preserve">s for use at the Hearing (D66).  </w:t>
      </w:r>
      <w:r>
        <w:t>Document 66 combined the provisions from the two planning schemes, where they were similar, and included paragraph reference numbers.  The Review Panel did not make any changes to the content of the controls, except for reconciling small inconsist</w:t>
      </w:r>
      <w:r w:rsidR="00D91C50">
        <w:t xml:space="preserve">encies between the two schemes.  </w:t>
      </w:r>
      <w:r w:rsidR="00EF20D5">
        <w:t>The Review Panel’s Directions required parties to identify recommended changes using track changes to Document 66.  This did not occur.</w:t>
      </w:r>
    </w:p>
    <w:p w:rsidR="00EF20D5" w:rsidRDefault="00EF20D5" w:rsidP="00EF20D5">
      <w:pPr>
        <w:pStyle w:val="PPVBody"/>
      </w:pPr>
      <w:r>
        <w:t xml:space="preserve">What was exhibited and then translated to the Part A version, and what has been provided as the Part C version, are vastly different.  Significant changes and updates are highlighted in high level summary form in </w:t>
      </w:r>
      <w:r w:rsidR="00ED1EB4">
        <w:fldChar w:fldCharType="begin"/>
      </w:r>
      <w:r w:rsidR="00ED1EB4">
        <w:instrText xml:space="preserve"> REF _Ref519718432 \h </w:instrText>
      </w:r>
      <w:r w:rsidR="00ED1EB4">
        <w:fldChar w:fldCharType="separate"/>
      </w:r>
      <w:r w:rsidR="00A307EC">
        <w:t xml:space="preserve">Table </w:t>
      </w:r>
      <w:r w:rsidR="00A307EC">
        <w:rPr>
          <w:noProof/>
        </w:rPr>
        <w:t>2</w:t>
      </w:r>
      <w:r w:rsidR="00ED1EB4">
        <w:fldChar w:fldCharType="end"/>
      </w:r>
      <w:r w:rsidR="00ED1EB4">
        <w:t xml:space="preserve"> to </w:t>
      </w:r>
      <w:r w:rsidR="00ED1EB4">
        <w:fldChar w:fldCharType="begin"/>
      </w:r>
      <w:r w:rsidR="00ED1EB4">
        <w:instrText xml:space="preserve"> REF _Ref519718444 \h </w:instrText>
      </w:r>
      <w:r w:rsidR="00ED1EB4">
        <w:fldChar w:fldCharType="separate"/>
      </w:r>
      <w:r w:rsidR="00A307EC">
        <w:t xml:space="preserve">Table </w:t>
      </w:r>
      <w:r w:rsidR="00A307EC">
        <w:rPr>
          <w:noProof/>
        </w:rPr>
        <w:t>8</w:t>
      </w:r>
      <w:r w:rsidR="00ED1EB4">
        <w:fldChar w:fldCharType="end"/>
      </w:r>
      <w:r>
        <w:t xml:space="preserve">.  The </w:t>
      </w:r>
      <w:r w:rsidR="00ED1EB4">
        <w:t xml:space="preserve">Review Panel acknowledges </w:t>
      </w:r>
      <w:r w:rsidR="00E60E8F">
        <w:t xml:space="preserve">the </w:t>
      </w:r>
      <w:r w:rsidR="00ED1EB4">
        <w:t>tables are</w:t>
      </w:r>
      <w:r>
        <w:t xml:space="preserve"> lengthy, but it is critically important in understanding the multiple changes to the draft Amendment.</w:t>
      </w:r>
    </w:p>
    <w:p w:rsidR="00D91C50" w:rsidRPr="008E4F2F" w:rsidRDefault="00D91C50" w:rsidP="00D91C50">
      <w:pPr>
        <w:pStyle w:val="Caption"/>
      </w:pPr>
      <w:bookmarkStart w:id="89" w:name="_Ref519718432"/>
      <w:bookmarkStart w:id="90" w:name="_Toc519439815"/>
      <w:bookmarkStart w:id="91" w:name="_Toc519719127"/>
      <w:bookmarkStart w:id="92" w:name="_Toc519710350"/>
      <w:r>
        <w:t xml:space="preserve">Table </w:t>
      </w:r>
      <w:fldSimple w:instr=" SEQ Table \* ARABIC ">
        <w:r w:rsidR="00A307EC">
          <w:rPr>
            <w:noProof/>
          </w:rPr>
          <w:t>2</w:t>
        </w:r>
      </w:fldSimple>
      <w:bookmarkEnd w:id="89"/>
      <w:r w:rsidRPr="005018FE">
        <w:rPr>
          <w:rFonts w:asciiTheme="minorHAnsi" w:hAnsiTheme="minorHAnsi"/>
          <w:b w:val="0"/>
          <w:iCs/>
        </w:rPr>
        <w:t>:</w:t>
      </w:r>
      <w:r w:rsidRPr="005018FE">
        <w:rPr>
          <w:rFonts w:asciiTheme="minorHAnsi" w:hAnsiTheme="minorHAnsi"/>
        </w:rPr>
        <w:tab/>
        <w:t xml:space="preserve">Changes to the </w:t>
      </w:r>
      <w:r>
        <w:rPr>
          <w:rFonts w:asciiTheme="minorHAnsi" w:hAnsiTheme="minorHAnsi"/>
        </w:rPr>
        <w:t>MSSs</w:t>
      </w:r>
      <w:r w:rsidRPr="005018FE">
        <w:rPr>
          <w:rFonts w:asciiTheme="minorHAnsi" w:hAnsiTheme="minorHAnsi"/>
        </w:rPr>
        <w:t xml:space="preserve"> (minor drafting changes not included)</w:t>
      </w:r>
      <w:bookmarkEnd w:id="90"/>
      <w:bookmarkEnd w:id="91"/>
      <w:bookmarkEnd w:id="92"/>
    </w:p>
    <w:tbl>
      <w:tblPr>
        <w:tblW w:w="4943" w:type="pct"/>
        <w:tblBorders>
          <w:bottom w:val="single" w:sz="12" w:space="0" w:color="215868"/>
          <w:insideH w:val="dotted" w:sz="4" w:space="0" w:color="auto"/>
        </w:tblBorders>
        <w:tblLayout w:type="fixed"/>
        <w:tblLook w:val="04A0" w:firstRow="1" w:lastRow="0" w:firstColumn="1" w:lastColumn="0" w:noHBand="0" w:noVBand="1"/>
      </w:tblPr>
      <w:tblGrid>
        <w:gridCol w:w="3510"/>
        <w:gridCol w:w="5670"/>
      </w:tblGrid>
      <w:tr w:rsidR="00D91C50" w:rsidRPr="00A90F8A" w:rsidTr="00B5290C">
        <w:trPr>
          <w:tblHeader/>
        </w:trPr>
        <w:tc>
          <w:tcPr>
            <w:tcW w:w="1912" w:type="pct"/>
            <w:tcBorders>
              <w:top w:val="nil"/>
              <w:bottom w:val="dotted" w:sz="4" w:space="0" w:color="auto"/>
            </w:tcBorders>
            <w:shd w:val="clear" w:color="auto" w:fill="215868"/>
            <w:vAlign w:val="bottom"/>
          </w:tcPr>
          <w:p w:rsidR="00D91C50" w:rsidRPr="00927E8A" w:rsidRDefault="00D91C50" w:rsidP="00B5290C">
            <w:pPr>
              <w:pStyle w:val="PPVTableHeader"/>
            </w:pPr>
            <w:r w:rsidRPr="00927E8A">
              <w:t>Part A version</w:t>
            </w:r>
          </w:p>
        </w:tc>
        <w:tc>
          <w:tcPr>
            <w:tcW w:w="3088" w:type="pct"/>
            <w:tcBorders>
              <w:top w:val="nil"/>
              <w:bottom w:val="dotted" w:sz="4" w:space="0" w:color="auto"/>
            </w:tcBorders>
            <w:shd w:val="clear" w:color="auto" w:fill="215868"/>
          </w:tcPr>
          <w:p w:rsidR="00D91C50" w:rsidRPr="00927E8A" w:rsidRDefault="00D91C50" w:rsidP="00B5290C">
            <w:pPr>
              <w:pStyle w:val="PPVTableHeader"/>
            </w:pPr>
            <w:r w:rsidRPr="00927E8A">
              <w:t>Part C version</w:t>
            </w:r>
          </w:p>
        </w:tc>
      </w:tr>
      <w:tr w:rsidR="00D91C50" w:rsidRPr="00A90F8A"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AF6500" w:rsidRDefault="00D91C50" w:rsidP="00B5290C">
            <w:pPr>
              <w:pStyle w:val="PPVTableHeader2"/>
            </w:pPr>
            <w:r>
              <w:t>Melbourne MSS</w:t>
            </w:r>
          </w:p>
        </w:tc>
      </w:tr>
      <w:tr w:rsidR="00D91C50" w:rsidRPr="002E34B1"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rsidRPr="00927E8A">
              <w:t>21.04-1.2 (urban renewal areas)</w:t>
            </w:r>
          </w:p>
        </w:tc>
      </w:tr>
      <w:tr w:rsidR="00D91C50" w:rsidRPr="002E34B1" w:rsidTr="00B5290C">
        <w:tc>
          <w:tcPr>
            <w:tcW w:w="1912" w:type="pct"/>
            <w:tcBorders>
              <w:top w:val="dotted" w:sz="4" w:space="0" w:color="auto"/>
              <w:bottom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References four mixed use precincts and one employment precinct </w:t>
            </w:r>
          </w:p>
        </w:tc>
        <w:tc>
          <w:tcPr>
            <w:tcW w:w="3088" w:type="pct"/>
            <w:tcBorders>
              <w:top w:val="dotted" w:sz="4" w:space="0" w:color="auto"/>
              <w:bottom w:val="dotted" w:sz="4" w:space="0" w:color="auto"/>
            </w:tcBorders>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Reference to </w:t>
            </w:r>
            <w:r>
              <w:rPr>
                <w:rStyle w:val="PPVTrackedAdded"/>
                <w:rFonts w:asciiTheme="minorHAnsi" w:eastAsia="Dotum" w:hAnsiTheme="minorHAnsi"/>
                <w:color w:val="auto"/>
                <w:szCs w:val="20"/>
                <w:u w:val="none"/>
              </w:rPr>
              <w:t>E</w:t>
            </w:r>
            <w:r w:rsidRPr="00927E8A">
              <w:rPr>
                <w:rStyle w:val="PPVTrackedAdded"/>
                <w:rFonts w:asciiTheme="minorHAnsi" w:eastAsia="Dotum" w:hAnsiTheme="minorHAnsi"/>
                <w:color w:val="auto"/>
                <w:szCs w:val="20"/>
                <w:u w:val="none"/>
              </w:rPr>
              <w:t xml:space="preserve">mployment </w:t>
            </w:r>
            <w:r>
              <w:rPr>
                <w:rStyle w:val="PPVTrackedAdded"/>
                <w:rFonts w:asciiTheme="minorHAnsi" w:eastAsia="Dotum" w:hAnsiTheme="minorHAnsi"/>
                <w:color w:val="auto"/>
                <w:szCs w:val="20"/>
                <w:u w:val="none"/>
              </w:rPr>
              <w:t>P</w:t>
            </w:r>
            <w:r w:rsidRPr="00927E8A">
              <w:rPr>
                <w:rStyle w:val="PPVTrackedAdded"/>
                <w:rFonts w:asciiTheme="minorHAnsi" w:eastAsia="Dotum" w:hAnsiTheme="minorHAnsi"/>
                <w:color w:val="auto"/>
                <w:szCs w:val="20"/>
                <w:u w:val="none"/>
              </w:rPr>
              <w:t>recinct deleted</w:t>
            </w:r>
          </w:p>
        </w:tc>
      </w:tr>
      <w:tr w:rsidR="00D91C50" w:rsidRPr="002E34B1"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rsidRPr="00927E8A">
              <w:t>21.08-3 (Industry)</w:t>
            </w:r>
          </w:p>
        </w:tc>
      </w:tr>
      <w:tr w:rsidR="00D91C50" w:rsidRPr="002E34B1" w:rsidTr="00B5290C">
        <w:tc>
          <w:tcPr>
            <w:tcW w:w="1912" w:type="pct"/>
            <w:tcBorders>
              <w:top w:val="dotted" w:sz="4" w:space="0" w:color="auto"/>
              <w:bottom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r>
              <w:rPr>
                <w:rStyle w:val="PPVTrackedAdded"/>
                <w:rFonts w:asciiTheme="minorHAnsi" w:eastAsia="Dotum" w:hAnsiTheme="minorHAnsi"/>
                <w:color w:val="auto"/>
                <w:szCs w:val="20"/>
                <w:u w:val="none"/>
              </w:rPr>
              <w:t>Five</w:t>
            </w:r>
            <w:r w:rsidRPr="00927E8A">
              <w:rPr>
                <w:rStyle w:val="PPVTrackedAdded"/>
                <w:rFonts w:asciiTheme="minorHAnsi" w:eastAsia="Dotum" w:hAnsiTheme="minorHAnsi"/>
                <w:color w:val="auto"/>
                <w:szCs w:val="20"/>
                <w:u w:val="none"/>
              </w:rPr>
              <w:t xml:space="preserve"> str</w:t>
            </w:r>
            <w:r>
              <w:rPr>
                <w:rStyle w:val="PPVTrackedAdded"/>
                <w:rFonts w:asciiTheme="minorHAnsi" w:eastAsia="Dotum" w:hAnsiTheme="minorHAnsi"/>
                <w:color w:val="auto"/>
                <w:szCs w:val="20"/>
                <w:u w:val="none"/>
              </w:rPr>
              <w:t>ategies supporting Objective 1 ‘</w:t>
            </w:r>
            <w:r w:rsidRPr="00927E8A">
              <w:rPr>
                <w:rStyle w:val="PPVTrackedAdded"/>
                <w:rFonts w:asciiTheme="minorHAnsi" w:eastAsia="Dotum" w:hAnsiTheme="minorHAnsi"/>
                <w:color w:val="auto"/>
                <w:szCs w:val="20"/>
                <w:u w:val="none"/>
              </w:rPr>
              <w:t>To improve the long</w:t>
            </w:r>
            <w:r>
              <w:rPr>
                <w:rStyle w:val="PPVTrackedAdded"/>
                <w:rFonts w:asciiTheme="minorHAnsi" w:eastAsia="Dotum" w:hAnsiTheme="minorHAnsi"/>
                <w:color w:val="auto"/>
                <w:szCs w:val="20"/>
                <w:u w:val="none"/>
              </w:rPr>
              <w:t>-</w:t>
            </w:r>
            <w:r w:rsidRPr="00927E8A">
              <w:rPr>
                <w:rStyle w:val="PPVTrackedAdded"/>
                <w:rFonts w:asciiTheme="minorHAnsi" w:eastAsia="Dotum" w:hAnsiTheme="minorHAnsi"/>
                <w:color w:val="auto"/>
                <w:szCs w:val="20"/>
                <w:u w:val="none"/>
              </w:rPr>
              <w:t>term via</w:t>
            </w:r>
            <w:r>
              <w:rPr>
                <w:rStyle w:val="PPVTrackedAdded"/>
                <w:rFonts w:asciiTheme="minorHAnsi" w:eastAsia="Dotum" w:hAnsiTheme="minorHAnsi"/>
                <w:color w:val="auto"/>
                <w:szCs w:val="20"/>
                <w:u w:val="none"/>
              </w:rPr>
              <w:t>bility of the City’s industries’</w:t>
            </w:r>
          </w:p>
        </w:tc>
        <w:tc>
          <w:tcPr>
            <w:tcW w:w="3088" w:type="pct"/>
            <w:tcBorders>
              <w:top w:val="dotted" w:sz="4" w:space="0" w:color="auto"/>
              <w:bottom w:val="dotted" w:sz="4" w:space="0" w:color="auto"/>
            </w:tcBorders>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Sixth strategy added, to support ongoing operation of concrete batching plants in Lorimer </w:t>
            </w:r>
          </w:p>
        </w:tc>
      </w:tr>
      <w:tr w:rsidR="00D91C50" w:rsidRPr="002E34B1"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rsidRPr="00927E8A">
              <w:t>21.13-3 (Lorimer)</w:t>
            </w:r>
          </w:p>
        </w:tc>
      </w:tr>
      <w:tr w:rsidR="00D91C50" w:rsidRPr="002E34B1" w:rsidTr="00B5290C">
        <w:tc>
          <w:tcPr>
            <w:tcW w:w="1912" w:type="pct"/>
            <w:tcBorders>
              <w:top w:val="dotted" w:sz="4" w:space="0" w:color="auto"/>
              <w:bottom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New policy to guide redevelopment of Lorimer </w:t>
            </w:r>
            <w:r>
              <w:rPr>
                <w:rStyle w:val="PPVTrackedAdded"/>
                <w:rFonts w:asciiTheme="minorHAnsi" w:eastAsia="Dotum" w:hAnsiTheme="minorHAnsi"/>
                <w:color w:val="auto"/>
                <w:szCs w:val="20"/>
                <w:u w:val="none"/>
              </w:rPr>
              <w:t>P</w:t>
            </w:r>
            <w:r w:rsidRPr="00927E8A">
              <w:rPr>
                <w:rStyle w:val="PPVTrackedAdded"/>
                <w:rFonts w:asciiTheme="minorHAnsi" w:eastAsia="Dotum" w:hAnsiTheme="minorHAnsi"/>
                <w:color w:val="auto"/>
                <w:szCs w:val="20"/>
                <w:u w:val="none"/>
              </w:rPr>
              <w:t xml:space="preserve">recinct.  Specific policies for </w:t>
            </w:r>
            <w:r>
              <w:rPr>
                <w:rStyle w:val="PPVTrackedAdded"/>
                <w:rFonts w:asciiTheme="minorHAnsi" w:eastAsia="Dotum" w:hAnsiTheme="minorHAnsi"/>
                <w:color w:val="auto"/>
                <w:szCs w:val="20"/>
                <w:u w:val="none"/>
              </w:rPr>
              <w:t>H</w:t>
            </w:r>
            <w:r w:rsidRPr="00927E8A">
              <w:rPr>
                <w:rStyle w:val="PPVTrackedAdded"/>
                <w:rFonts w:asciiTheme="minorHAnsi" w:eastAsia="Dotum" w:hAnsiTheme="minorHAnsi"/>
                <w:color w:val="auto"/>
                <w:szCs w:val="20"/>
                <w:u w:val="none"/>
              </w:rPr>
              <w:t xml:space="preserve">ousing; </w:t>
            </w:r>
            <w:r>
              <w:rPr>
                <w:rStyle w:val="PPVTrackedAdded"/>
                <w:rFonts w:asciiTheme="minorHAnsi" w:eastAsia="Dotum" w:hAnsiTheme="minorHAnsi"/>
                <w:color w:val="auto"/>
                <w:szCs w:val="20"/>
                <w:u w:val="none"/>
              </w:rPr>
              <w:t>E</w:t>
            </w:r>
            <w:r w:rsidRPr="00927E8A">
              <w:rPr>
                <w:rStyle w:val="PPVTrackedAdded"/>
                <w:rFonts w:asciiTheme="minorHAnsi" w:eastAsia="Dotum" w:hAnsiTheme="minorHAnsi"/>
                <w:color w:val="auto"/>
                <w:szCs w:val="20"/>
                <w:u w:val="none"/>
              </w:rPr>
              <w:t xml:space="preserve">conomic development; </w:t>
            </w:r>
            <w:r>
              <w:rPr>
                <w:rStyle w:val="PPVTrackedAdded"/>
                <w:rFonts w:asciiTheme="minorHAnsi" w:eastAsia="Dotum" w:hAnsiTheme="minorHAnsi"/>
                <w:color w:val="auto"/>
                <w:szCs w:val="20"/>
                <w:u w:val="none"/>
              </w:rPr>
              <w:t>B</w:t>
            </w:r>
            <w:r w:rsidRPr="00927E8A">
              <w:rPr>
                <w:rStyle w:val="PPVTrackedAdded"/>
                <w:rFonts w:asciiTheme="minorHAnsi" w:eastAsia="Dotum" w:hAnsiTheme="minorHAnsi"/>
                <w:color w:val="auto"/>
                <w:szCs w:val="20"/>
                <w:u w:val="none"/>
              </w:rPr>
              <w:t xml:space="preserve">uilt environment and heritage; </w:t>
            </w:r>
            <w:r>
              <w:rPr>
                <w:rStyle w:val="PPVTrackedAdded"/>
                <w:rFonts w:asciiTheme="minorHAnsi" w:eastAsia="Dotum" w:hAnsiTheme="minorHAnsi"/>
                <w:color w:val="auto"/>
                <w:szCs w:val="20"/>
                <w:u w:val="none"/>
              </w:rPr>
              <w:t>P</w:t>
            </w:r>
            <w:r w:rsidRPr="00927E8A">
              <w:rPr>
                <w:rStyle w:val="PPVTrackedAdded"/>
                <w:rFonts w:asciiTheme="minorHAnsi" w:eastAsia="Dotum" w:hAnsiTheme="minorHAnsi"/>
                <w:color w:val="auto"/>
                <w:szCs w:val="20"/>
                <w:u w:val="none"/>
              </w:rPr>
              <w:t>referred character for sub</w:t>
            </w:r>
            <w:r>
              <w:rPr>
                <w:rStyle w:val="PPVTrackedAdded"/>
                <w:rFonts w:asciiTheme="minorHAnsi" w:eastAsia="Dotum" w:hAnsiTheme="minorHAnsi"/>
                <w:color w:val="auto"/>
                <w:szCs w:val="20"/>
                <w:u w:val="none"/>
              </w:rPr>
              <w:t>precincts</w:t>
            </w:r>
            <w:r w:rsidRPr="00927E8A">
              <w:rPr>
                <w:rStyle w:val="PPVTrackedAdded"/>
                <w:rFonts w:asciiTheme="minorHAnsi" w:eastAsia="Dotum" w:hAnsiTheme="minorHAnsi"/>
                <w:color w:val="auto"/>
                <w:szCs w:val="20"/>
                <w:u w:val="none"/>
              </w:rPr>
              <w:t xml:space="preserve">; </w:t>
            </w:r>
            <w:r>
              <w:rPr>
                <w:rStyle w:val="PPVTrackedAdded"/>
                <w:rFonts w:asciiTheme="minorHAnsi" w:eastAsia="Dotum" w:hAnsiTheme="minorHAnsi"/>
                <w:color w:val="auto"/>
                <w:szCs w:val="20"/>
                <w:u w:val="none"/>
              </w:rPr>
              <w:t>T</w:t>
            </w:r>
            <w:r w:rsidRPr="00927E8A">
              <w:rPr>
                <w:rStyle w:val="PPVTrackedAdded"/>
                <w:rFonts w:asciiTheme="minorHAnsi" w:eastAsia="Dotum" w:hAnsiTheme="minorHAnsi"/>
                <w:color w:val="auto"/>
                <w:szCs w:val="20"/>
                <w:u w:val="none"/>
              </w:rPr>
              <w:t xml:space="preserve">ransport and </w:t>
            </w:r>
            <w:r>
              <w:rPr>
                <w:rStyle w:val="PPVTrackedAdded"/>
                <w:rFonts w:asciiTheme="minorHAnsi" w:eastAsia="Dotum" w:hAnsiTheme="minorHAnsi"/>
                <w:color w:val="auto"/>
                <w:szCs w:val="20"/>
                <w:u w:val="none"/>
              </w:rPr>
              <w:t>I</w:t>
            </w:r>
            <w:r w:rsidRPr="00927E8A">
              <w:rPr>
                <w:rStyle w:val="PPVTrackedAdded"/>
                <w:rFonts w:asciiTheme="minorHAnsi" w:eastAsia="Dotum" w:hAnsiTheme="minorHAnsi"/>
                <w:color w:val="auto"/>
                <w:szCs w:val="20"/>
                <w:u w:val="none"/>
              </w:rPr>
              <w:t>nfrastructure</w:t>
            </w:r>
          </w:p>
        </w:tc>
        <w:tc>
          <w:tcPr>
            <w:tcW w:w="3088" w:type="pct"/>
            <w:tcBorders>
              <w:top w:val="dotted" w:sz="4" w:space="0" w:color="auto"/>
              <w:bottom w:val="dotted" w:sz="4" w:space="0" w:color="auto"/>
            </w:tcBorders>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Reference to the Vision and </w:t>
            </w:r>
            <w:r w:rsidR="00FC563B">
              <w:rPr>
                <w:rStyle w:val="PPVTrackedAdded"/>
                <w:rFonts w:asciiTheme="minorHAnsi" w:eastAsia="Dotum" w:hAnsiTheme="minorHAnsi"/>
                <w:color w:val="auto"/>
                <w:szCs w:val="20"/>
                <w:u w:val="none"/>
              </w:rPr>
              <w:t xml:space="preserve">draft </w:t>
            </w:r>
            <w:r w:rsidRPr="00927E8A">
              <w:rPr>
                <w:rStyle w:val="PPVTrackedAdded"/>
                <w:rFonts w:asciiTheme="minorHAnsi" w:eastAsia="Dotum" w:hAnsiTheme="minorHAnsi"/>
                <w:color w:val="auto"/>
                <w:szCs w:val="20"/>
                <w:u w:val="none"/>
              </w:rPr>
              <w:t>Framework inserted</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Drafting changes to Housing and Economic Development policies</w:t>
            </w:r>
          </w:p>
          <w:p w:rsidR="00D91C50"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Changes to descriptions of preferred building typologies</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Preferred character outcomes deleted (shifted to Lorimer DDO)</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New Transport policy added (support continued access to existing industrial uses including the concrete batching plants)</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Streets and laneways policy expanded to include green streets and blue laneways (which serve a drainage function)</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New Flooding (etc) policy added</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New maps inserted showing sub</w:t>
            </w:r>
            <w:r>
              <w:rPr>
                <w:rStyle w:val="PPVTrackedAdded"/>
                <w:rFonts w:asciiTheme="minorHAnsi" w:eastAsia="Dotum" w:hAnsiTheme="minorHAnsi"/>
                <w:color w:val="auto"/>
                <w:szCs w:val="20"/>
                <w:u w:val="none"/>
              </w:rPr>
              <w:t>precinct</w:t>
            </w:r>
            <w:r w:rsidRPr="00927E8A">
              <w:rPr>
                <w:rStyle w:val="PPVTrackedAdded"/>
                <w:rFonts w:asciiTheme="minorHAnsi" w:eastAsia="Dotum" w:hAnsiTheme="minorHAnsi"/>
                <w:color w:val="auto"/>
                <w:szCs w:val="20"/>
                <w:u w:val="none"/>
              </w:rPr>
              <w:t xml:space="preserve"> boundaries and community hub investigation areas</w:t>
            </w:r>
          </w:p>
        </w:tc>
      </w:tr>
      <w:tr w:rsidR="00D91C50" w:rsidRPr="002E34B1"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rsidRPr="00927E8A">
              <w:t xml:space="preserve">21.17 (Reference </w:t>
            </w:r>
            <w:r>
              <w:t>D</w:t>
            </w:r>
            <w:r w:rsidRPr="00927E8A">
              <w:t>ocuments)</w:t>
            </w:r>
          </w:p>
        </w:tc>
      </w:tr>
      <w:tr w:rsidR="00D91C50" w:rsidRPr="002E34B1" w:rsidTr="00B5290C">
        <w:tc>
          <w:tcPr>
            <w:tcW w:w="1912" w:type="pct"/>
            <w:tcBorders>
              <w:top w:val="dotted" w:sz="4" w:space="0" w:color="auto"/>
              <w:bottom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r>
              <w:rPr>
                <w:rStyle w:val="PPVTrackedAdded"/>
                <w:rFonts w:asciiTheme="minorHAnsi" w:eastAsia="Dotum" w:hAnsiTheme="minorHAnsi"/>
                <w:color w:val="auto"/>
                <w:szCs w:val="20"/>
                <w:u w:val="none"/>
              </w:rPr>
              <w:t>Reference Document</w:t>
            </w:r>
            <w:r w:rsidRPr="00927E8A">
              <w:rPr>
                <w:rStyle w:val="PPVTrackedAdded"/>
                <w:rFonts w:asciiTheme="minorHAnsi" w:eastAsia="Dotum" w:hAnsiTheme="minorHAnsi"/>
                <w:color w:val="auto"/>
                <w:szCs w:val="20"/>
                <w:u w:val="none"/>
              </w:rPr>
              <w:t xml:space="preserve">s included Vision, </w:t>
            </w:r>
            <w:r w:rsidR="00FC563B">
              <w:rPr>
                <w:rStyle w:val="PPVTrackedAdded"/>
                <w:rFonts w:asciiTheme="minorHAnsi" w:eastAsia="Dotum" w:hAnsiTheme="minorHAnsi"/>
                <w:color w:val="auto"/>
                <w:szCs w:val="20"/>
                <w:u w:val="none"/>
              </w:rPr>
              <w:t xml:space="preserve">draft </w:t>
            </w:r>
            <w:r w:rsidRPr="00927E8A">
              <w:rPr>
                <w:rStyle w:val="PPVTrackedAdded"/>
                <w:rFonts w:asciiTheme="minorHAnsi" w:eastAsia="Dotum" w:hAnsiTheme="minorHAnsi"/>
                <w:color w:val="auto"/>
                <w:szCs w:val="20"/>
                <w:u w:val="none"/>
              </w:rPr>
              <w:t xml:space="preserve">Framework, Community Infrastructure Plan, Urban Design Strategy and Planisphere Open Space Strategy </w:t>
            </w:r>
          </w:p>
        </w:tc>
        <w:tc>
          <w:tcPr>
            <w:tcW w:w="3088" w:type="pct"/>
            <w:tcBorders>
              <w:top w:val="dotted" w:sz="4" w:space="0" w:color="auto"/>
              <w:bottom w:val="dotted" w:sz="4" w:space="0" w:color="auto"/>
            </w:tcBorders>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Integrated Transport Plan and Sustainability Strategy added as </w:t>
            </w:r>
            <w:r>
              <w:rPr>
                <w:rStyle w:val="PPVTrackedAdded"/>
                <w:rFonts w:asciiTheme="minorHAnsi" w:eastAsia="Dotum" w:hAnsiTheme="minorHAnsi"/>
                <w:color w:val="auto"/>
                <w:szCs w:val="20"/>
                <w:u w:val="none"/>
              </w:rPr>
              <w:t>Reference Document</w:t>
            </w:r>
            <w:r w:rsidRPr="00927E8A">
              <w:rPr>
                <w:rStyle w:val="PPVTrackedAdded"/>
                <w:rFonts w:asciiTheme="minorHAnsi" w:eastAsia="Dotum" w:hAnsiTheme="minorHAnsi"/>
                <w:color w:val="auto"/>
                <w:szCs w:val="20"/>
                <w:u w:val="none"/>
              </w:rPr>
              <w:t>s</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Corrections to dates/titles of </w:t>
            </w:r>
            <w:r>
              <w:rPr>
                <w:rStyle w:val="PPVTrackedAdded"/>
                <w:rFonts w:asciiTheme="minorHAnsi" w:eastAsia="Dotum" w:hAnsiTheme="minorHAnsi"/>
                <w:color w:val="auto"/>
                <w:szCs w:val="20"/>
                <w:u w:val="none"/>
              </w:rPr>
              <w:t>Reference Document</w:t>
            </w:r>
            <w:r w:rsidRPr="00927E8A">
              <w:rPr>
                <w:rStyle w:val="PPVTrackedAdded"/>
                <w:rFonts w:asciiTheme="minorHAnsi" w:eastAsia="Dotum" w:hAnsiTheme="minorHAnsi"/>
                <w:color w:val="auto"/>
                <w:szCs w:val="20"/>
                <w:u w:val="none"/>
              </w:rPr>
              <w:t>s</w:t>
            </w:r>
          </w:p>
        </w:tc>
      </w:tr>
      <w:tr w:rsidR="00D91C50" w:rsidRPr="00A90F8A"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lastRenderedPageBreak/>
              <w:t>Port Phillip MSS</w:t>
            </w:r>
          </w:p>
        </w:tc>
      </w:tr>
      <w:tr w:rsidR="00D91C50" w:rsidRPr="00444679"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rsidRPr="00927E8A">
              <w:t>21.05-2 (Urban structure and character)</w:t>
            </w:r>
          </w:p>
        </w:tc>
      </w:tr>
      <w:tr w:rsidR="00D91C50" w:rsidRPr="00444679" w:rsidTr="00B5290C">
        <w:tc>
          <w:tcPr>
            <w:tcW w:w="1912" w:type="pct"/>
            <w:tcBorders>
              <w:top w:val="dotted" w:sz="4" w:space="0" w:color="auto"/>
              <w:bottom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p>
        </w:tc>
        <w:tc>
          <w:tcPr>
            <w:tcW w:w="3088" w:type="pct"/>
            <w:tcBorders>
              <w:top w:val="dotted" w:sz="4" w:space="0" w:color="auto"/>
              <w:bottom w:val="dotted" w:sz="4" w:space="0" w:color="auto"/>
            </w:tcBorders>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Minor drafting change to Strategy 1.5</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New Strategy 11.5 added (ensure new development considers the potential impacts from existing industrial uses)</w:t>
            </w:r>
          </w:p>
        </w:tc>
      </w:tr>
      <w:tr w:rsidR="00D91C50" w:rsidRPr="00444679"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t>21.06-8 (Neighbourhoods</w:t>
            </w:r>
            <w:r w:rsidRPr="00927E8A">
              <w:t>)</w:t>
            </w:r>
          </w:p>
        </w:tc>
      </w:tr>
      <w:tr w:rsidR="00D91C50" w:rsidRPr="00444679" w:rsidTr="00B5290C">
        <w:tc>
          <w:tcPr>
            <w:tcW w:w="1912" w:type="pct"/>
            <w:tcBorders>
              <w:top w:val="dotted" w:sz="4" w:space="0" w:color="auto"/>
              <w:bottom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New local strategies, neighbourhood character descriptions and preferred sub</w:t>
            </w:r>
            <w:r>
              <w:rPr>
                <w:rStyle w:val="PPVTrackedAdded"/>
                <w:rFonts w:asciiTheme="minorHAnsi" w:eastAsia="Dotum" w:hAnsiTheme="minorHAnsi"/>
                <w:color w:val="auto"/>
                <w:szCs w:val="20"/>
                <w:u w:val="none"/>
              </w:rPr>
              <w:t>precinct</w:t>
            </w:r>
            <w:r w:rsidRPr="00927E8A">
              <w:rPr>
                <w:rStyle w:val="PPVTrackedAdded"/>
                <w:rFonts w:asciiTheme="minorHAnsi" w:eastAsia="Dotum" w:hAnsiTheme="minorHAnsi"/>
                <w:color w:val="auto"/>
                <w:szCs w:val="20"/>
                <w:u w:val="none"/>
              </w:rPr>
              <w:t xml:space="preserve"> character outcomes added for Montague, Sandridge and Wirraway </w:t>
            </w:r>
          </w:p>
        </w:tc>
        <w:tc>
          <w:tcPr>
            <w:tcW w:w="3088" w:type="pct"/>
            <w:tcBorders>
              <w:top w:val="dotted" w:sz="4" w:space="0" w:color="auto"/>
              <w:bottom w:val="dotted" w:sz="4" w:space="0" w:color="auto"/>
            </w:tcBorders>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Building typology elements of preferred character outcomes deleted (shifted to DDOs, but with changes)</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Additional strategies for Sandridge inserted: 6.8.30 (encourage taller buildings in retail/commercial core, transitioning to lower non-core areas); and 6.8.31 (additional through block links thr</w:t>
            </w:r>
            <w:r>
              <w:rPr>
                <w:rStyle w:val="PPVTrackedAdded"/>
                <w:rFonts w:asciiTheme="minorHAnsi" w:eastAsia="Dotum" w:hAnsiTheme="minorHAnsi"/>
                <w:color w:val="auto"/>
                <w:szCs w:val="20"/>
                <w:u w:val="none"/>
              </w:rPr>
              <w:t>ough commercial buildings)</w:t>
            </w:r>
          </w:p>
        </w:tc>
      </w:tr>
      <w:tr w:rsidR="00D91C50" w:rsidRPr="00444679" w:rsidTr="00B5290C">
        <w:tc>
          <w:tcPr>
            <w:tcW w:w="1912" w:type="pct"/>
            <w:tcBorders>
              <w:top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p>
        </w:tc>
        <w:tc>
          <w:tcPr>
            <w:tcW w:w="3088" w:type="pct"/>
            <w:tcBorders>
              <w:top w:val="dotted" w:sz="4" w:space="0" w:color="auto"/>
            </w:tcBorders>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Infrastructure funding measure added: DCP changed to </w:t>
            </w:r>
            <w:r>
              <w:rPr>
                <w:rStyle w:val="PPVTrackedAdded"/>
                <w:rFonts w:asciiTheme="minorHAnsi" w:eastAsia="Dotum" w:hAnsiTheme="minorHAnsi"/>
                <w:color w:val="auto"/>
                <w:szCs w:val="20"/>
                <w:u w:val="none"/>
              </w:rPr>
              <w:t>ICP</w:t>
            </w:r>
            <w:r w:rsidRPr="00927E8A">
              <w:rPr>
                <w:rStyle w:val="PPVTrackedAdded"/>
                <w:rFonts w:asciiTheme="minorHAnsi" w:eastAsia="Dotum" w:hAnsiTheme="minorHAnsi"/>
                <w:color w:val="auto"/>
                <w:szCs w:val="20"/>
                <w:u w:val="none"/>
              </w:rPr>
              <w:t>; reference to public transport infrastructure deleted; reference to public open space and land required for infrastructure added</w:t>
            </w:r>
          </w:p>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 xml:space="preserve">New measure inserted: investigate preferred size and location of community hubs within community hub investigation areas </w:t>
            </w:r>
          </w:p>
        </w:tc>
      </w:tr>
    </w:tbl>
    <w:p w:rsidR="00D91C50" w:rsidRDefault="00D91C50" w:rsidP="00D91C50">
      <w:pPr>
        <w:pStyle w:val="Caption"/>
      </w:pPr>
      <w:bookmarkStart w:id="93" w:name="_Toc519439816"/>
      <w:bookmarkStart w:id="94" w:name="_Toc519719128"/>
      <w:bookmarkStart w:id="95" w:name="_Toc519710351"/>
      <w:r>
        <w:t xml:space="preserve">Table </w:t>
      </w:r>
      <w:fldSimple w:instr=" SEQ Table \* ARABIC ">
        <w:r w:rsidR="00A307EC">
          <w:rPr>
            <w:noProof/>
          </w:rPr>
          <w:t>3</w:t>
        </w:r>
      </w:fldSimple>
      <w:r>
        <w:t>:</w:t>
      </w:r>
      <w:r>
        <w:tab/>
        <w:t>Changes to MSS maps</w:t>
      </w:r>
      <w:bookmarkEnd w:id="93"/>
      <w:bookmarkEnd w:id="94"/>
      <w:bookmarkEnd w:id="95"/>
    </w:p>
    <w:tbl>
      <w:tblPr>
        <w:tblW w:w="4943" w:type="pct"/>
        <w:tblBorders>
          <w:bottom w:val="single" w:sz="12" w:space="0" w:color="215868"/>
          <w:insideH w:val="dotted" w:sz="4" w:space="0" w:color="auto"/>
        </w:tblBorders>
        <w:tblLayout w:type="fixed"/>
        <w:tblLook w:val="04A0" w:firstRow="1" w:lastRow="0" w:firstColumn="1" w:lastColumn="0" w:noHBand="0" w:noVBand="1"/>
      </w:tblPr>
      <w:tblGrid>
        <w:gridCol w:w="3060"/>
        <w:gridCol w:w="3061"/>
        <w:gridCol w:w="3059"/>
      </w:tblGrid>
      <w:tr w:rsidR="00D91C50" w:rsidRPr="00E8177C" w:rsidTr="00B5290C">
        <w:trPr>
          <w:cantSplit/>
          <w:tblHeader/>
        </w:trPr>
        <w:tc>
          <w:tcPr>
            <w:tcW w:w="1667" w:type="pct"/>
            <w:tcBorders>
              <w:top w:val="nil"/>
              <w:bottom w:val="dotted" w:sz="4" w:space="0" w:color="auto"/>
            </w:tcBorders>
            <w:shd w:val="clear" w:color="auto" w:fill="215868"/>
            <w:vAlign w:val="bottom"/>
          </w:tcPr>
          <w:p w:rsidR="00D91C50" w:rsidRPr="00E8177C" w:rsidRDefault="00D91C50" w:rsidP="00B5290C">
            <w:pPr>
              <w:pStyle w:val="PPVTableHeader"/>
              <w:rPr>
                <w:rStyle w:val="PPVTrackedAdded"/>
                <w:color w:val="FFFFFF"/>
                <w:u w:val="none"/>
              </w:rPr>
            </w:pPr>
            <w:r w:rsidRPr="00E8177C">
              <w:t>Part A</w:t>
            </w:r>
          </w:p>
        </w:tc>
        <w:tc>
          <w:tcPr>
            <w:tcW w:w="1667" w:type="pct"/>
            <w:tcBorders>
              <w:top w:val="nil"/>
              <w:bottom w:val="dotted" w:sz="4" w:space="0" w:color="auto"/>
            </w:tcBorders>
            <w:shd w:val="clear" w:color="auto" w:fill="215868"/>
            <w:vAlign w:val="bottom"/>
          </w:tcPr>
          <w:p w:rsidR="00D91C50" w:rsidRPr="00E8177C" w:rsidRDefault="00D91C50" w:rsidP="00B5290C">
            <w:pPr>
              <w:pStyle w:val="PPVTableHeader"/>
              <w:rPr>
                <w:rStyle w:val="PPVTrackedAdded"/>
                <w:color w:val="FFFFFF"/>
                <w:u w:val="none"/>
              </w:rPr>
            </w:pPr>
            <w:r w:rsidRPr="00E8177C">
              <w:rPr>
                <w:rStyle w:val="PPVTrackedAdded"/>
                <w:color w:val="FFFFFF"/>
                <w:u w:val="none"/>
              </w:rPr>
              <w:t>Part B</w:t>
            </w:r>
          </w:p>
        </w:tc>
        <w:tc>
          <w:tcPr>
            <w:tcW w:w="1666" w:type="pct"/>
            <w:tcBorders>
              <w:top w:val="nil"/>
              <w:bottom w:val="dotted" w:sz="4" w:space="0" w:color="auto"/>
            </w:tcBorders>
            <w:shd w:val="clear" w:color="auto" w:fill="215868"/>
            <w:vAlign w:val="bottom"/>
          </w:tcPr>
          <w:p w:rsidR="00D91C50" w:rsidRPr="00E8177C" w:rsidRDefault="00D91C50" w:rsidP="00B5290C">
            <w:pPr>
              <w:pStyle w:val="PPVTableHeader"/>
              <w:rPr>
                <w:rStyle w:val="PPVTrackedAdded"/>
                <w:color w:val="FFFFFF"/>
                <w:u w:val="none"/>
              </w:rPr>
            </w:pPr>
            <w:r w:rsidRPr="00E8177C">
              <w:rPr>
                <w:rStyle w:val="PPVTrackedAdded"/>
                <w:color w:val="FFFFFF"/>
                <w:u w:val="none"/>
              </w:rPr>
              <w:t>Part C</w:t>
            </w:r>
          </w:p>
        </w:tc>
      </w:tr>
      <w:tr w:rsidR="00D91C50" w:rsidRPr="002E34B1" w:rsidTr="00B5290C">
        <w:trPr>
          <w:cantSplit/>
        </w:trPr>
        <w:tc>
          <w:tcPr>
            <w:tcW w:w="5000" w:type="pct"/>
            <w:gridSpan w:val="3"/>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rPr>
                <w:rStyle w:val="PPVTrackedAdded"/>
                <w:rFonts w:eastAsia="Dotum"/>
                <w:color w:val="auto"/>
                <w:szCs w:val="20"/>
                <w:u w:val="none"/>
              </w:rPr>
              <w:t xml:space="preserve">Melbourne </w:t>
            </w:r>
          </w:p>
        </w:tc>
      </w:tr>
      <w:tr w:rsidR="00431492" w:rsidRPr="002E34B1" w:rsidTr="00431492">
        <w:trPr>
          <w:cantSplit/>
        </w:trPr>
        <w:tc>
          <w:tcPr>
            <w:tcW w:w="1667" w:type="pct"/>
            <w:tcBorders>
              <w:top w:val="dotted" w:sz="4" w:space="0" w:color="auto"/>
              <w:bottom w:val="dotted" w:sz="4" w:space="0" w:color="auto"/>
            </w:tcBorders>
            <w:shd w:val="clear" w:color="auto" w:fill="auto"/>
          </w:tcPr>
          <w:p w:rsidR="00431492" w:rsidRPr="00927E8A" w:rsidRDefault="00431492"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No maps included</w:t>
            </w:r>
          </w:p>
        </w:tc>
        <w:tc>
          <w:tcPr>
            <w:tcW w:w="1667" w:type="pct"/>
            <w:tcBorders>
              <w:top w:val="dotted" w:sz="4" w:space="0" w:color="auto"/>
              <w:bottom w:val="dotted" w:sz="4" w:space="0" w:color="auto"/>
            </w:tcBorders>
            <w:shd w:val="clear" w:color="auto" w:fill="auto"/>
          </w:tcPr>
          <w:p w:rsidR="00431492" w:rsidRPr="00927E8A" w:rsidRDefault="00431492"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New Lorimer map provided which shows bike paths and cycling corridors; sub</w:t>
            </w:r>
            <w:r>
              <w:rPr>
                <w:rStyle w:val="PPVTrackedAdded"/>
                <w:rFonts w:asciiTheme="minorHAnsi" w:eastAsia="Dotum" w:hAnsiTheme="minorHAnsi"/>
                <w:color w:val="auto"/>
                <w:szCs w:val="20"/>
                <w:u w:val="none"/>
              </w:rPr>
              <w:t>precinct</w:t>
            </w:r>
            <w:r w:rsidRPr="00927E8A">
              <w:rPr>
                <w:rStyle w:val="PPVTrackedAdded"/>
                <w:rFonts w:asciiTheme="minorHAnsi" w:eastAsia="Dotum" w:hAnsiTheme="minorHAnsi"/>
                <w:color w:val="auto"/>
                <w:szCs w:val="20"/>
                <w:u w:val="none"/>
              </w:rPr>
              <w:t xml:space="preserve"> boundaries; existing and future open space; indicative (new) laneways; proposed roads and indicative (new) 12</w:t>
            </w:r>
            <w:r>
              <w:rPr>
                <w:rStyle w:val="PPVTrackedAdded"/>
                <w:rFonts w:asciiTheme="minorHAnsi" w:eastAsia="Dotum" w:hAnsiTheme="minorHAnsi"/>
                <w:color w:val="auto"/>
                <w:szCs w:val="20"/>
                <w:u w:val="none"/>
              </w:rPr>
              <w:t xml:space="preserve"> metre</w:t>
            </w:r>
            <w:r w:rsidRPr="00927E8A">
              <w:rPr>
                <w:rStyle w:val="PPVTrackedAdded"/>
                <w:rFonts w:asciiTheme="minorHAnsi" w:eastAsia="Dotum" w:hAnsiTheme="minorHAnsi"/>
                <w:color w:val="auto"/>
                <w:szCs w:val="20"/>
                <w:u w:val="none"/>
              </w:rPr>
              <w:t xml:space="preserve"> wide streets</w:t>
            </w:r>
          </w:p>
        </w:tc>
        <w:tc>
          <w:tcPr>
            <w:tcW w:w="1667" w:type="pct"/>
            <w:tcBorders>
              <w:top w:val="dotted" w:sz="4" w:space="0" w:color="auto"/>
              <w:bottom w:val="dotted" w:sz="4" w:space="0" w:color="auto"/>
            </w:tcBorders>
            <w:shd w:val="clear" w:color="auto" w:fill="auto"/>
          </w:tcPr>
          <w:p w:rsidR="00431492" w:rsidRPr="00927E8A" w:rsidRDefault="00431492"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Community hub investigation area maps added</w:t>
            </w:r>
          </w:p>
        </w:tc>
      </w:tr>
      <w:tr w:rsidR="00D91C50" w:rsidRPr="002E34B1" w:rsidTr="00B5290C">
        <w:trPr>
          <w:cantSplit/>
        </w:trPr>
        <w:tc>
          <w:tcPr>
            <w:tcW w:w="5000" w:type="pct"/>
            <w:gridSpan w:val="3"/>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rPr>
                <w:rStyle w:val="PPVTrackedAdded"/>
                <w:rFonts w:eastAsia="Dotum"/>
                <w:color w:val="auto"/>
                <w:szCs w:val="20"/>
                <w:u w:val="none"/>
              </w:rPr>
            </w:pPr>
            <w:r>
              <w:rPr>
                <w:rStyle w:val="PPVTrackedAdded"/>
                <w:rFonts w:eastAsia="Dotum"/>
                <w:color w:val="auto"/>
                <w:szCs w:val="20"/>
                <w:u w:val="none"/>
              </w:rPr>
              <w:t>Port Phillip</w:t>
            </w:r>
          </w:p>
        </w:tc>
      </w:tr>
      <w:tr w:rsidR="00D91C50" w:rsidRPr="002E34B1" w:rsidTr="00B5290C">
        <w:trPr>
          <w:cantSplit/>
        </w:trPr>
        <w:tc>
          <w:tcPr>
            <w:tcW w:w="1667" w:type="pct"/>
            <w:tcBorders>
              <w:top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Map of sub</w:t>
            </w:r>
            <w:r>
              <w:rPr>
                <w:rStyle w:val="PPVTrackedAdded"/>
                <w:rFonts w:asciiTheme="minorHAnsi" w:eastAsia="Dotum" w:hAnsiTheme="minorHAnsi"/>
                <w:color w:val="auto"/>
                <w:szCs w:val="20"/>
                <w:u w:val="none"/>
              </w:rPr>
              <w:t>precinct</w:t>
            </w:r>
            <w:r w:rsidRPr="00927E8A">
              <w:rPr>
                <w:rStyle w:val="PPVTrackedAdded"/>
                <w:rFonts w:asciiTheme="minorHAnsi" w:eastAsia="Dotum" w:hAnsiTheme="minorHAnsi"/>
                <w:color w:val="auto"/>
                <w:szCs w:val="20"/>
                <w:u w:val="none"/>
              </w:rPr>
              <w:t xml:space="preserve"> boundaries included</w:t>
            </w:r>
          </w:p>
        </w:tc>
        <w:tc>
          <w:tcPr>
            <w:tcW w:w="1667" w:type="pct"/>
            <w:tcBorders>
              <w:top w:val="dotted" w:sz="4" w:space="0" w:color="auto"/>
            </w:tcBorders>
            <w:shd w:val="clear" w:color="auto" w:fill="auto"/>
          </w:tcPr>
          <w:p w:rsidR="00D91C50" w:rsidRPr="00927E8A" w:rsidRDefault="00D91C50" w:rsidP="00B5290C">
            <w:pPr>
              <w:pStyle w:val="PPVTableText"/>
              <w:rPr>
                <w:rFonts w:eastAsia="Dotum"/>
              </w:rPr>
            </w:pPr>
            <w:r w:rsidRPr="00927E8A">
              <w:rPr>
                <w:rStyle w:val="PPVTrackedAdded"/>
                <w:rFonts w:asciiTheme="minorHAnsi" w:eastAsia="Dotum" w:hAnsiTheme="minorHAnsi"/>
                <w:color w:val="auto"/>
                <w:szCs w:val="20"/>
                <w:u w:val="none"/>
              </w:rPr>
              <w:t>No Part B version, but new maps provided as part of Part B controls New maps provided for Montague, Sandridge and Lorimer which show bike paths and cycling corridors; sub</w:t>
            </w:r>
            <w:r>
              <w:rPr>
                <w:rStyle w:val="PPVTrackedAdded"/>
                <w:rFonts w:asciiTheme="minorHAnsi" w:eastAsia="Dotum" w:hAnsiTheme="minorHAnsi"/>
                <w:color w:val="auto"/>
                <w:szCs w:val="20"/>
                <w:u w:val="none"/>
              </w:rPr>
              <w:t>precinct</w:t>
            </w:r>
            <w:r w:rsidRPr="00927E8A">
              <w:rPr>
                <w:rStyle w:val="PPVTrackedAdded"/>
                <w:rFonts w:asciiTheme="minorHAnsi" w:eastAsia="Dotum" w:hAnsiTheme="minorHAnsi"/>
                <w:color w:val="auto"/>
                <w:szCs w:val="20"/>
                <w:u w:val="none"/>
              </w:rPr>
              <w:t xml:space="preserve"> boundaries; existing and future open space; indicative (new) laneways; proposed roads and indicative (new) 12</w:t>
            </w:r>
            <w:r>
              <w:rPr>
                <w:rStyle w:val="PPVTrackedAdded"/>
                <w:rFonts w:asciiTheme="minorHAnsi" w:eastAsia="Dotum" w:hAnsiTheme="minorHAnsi"/>
                <w:color w:val="auto"/>
                <w:szCs w:val="20"/>
                <w:u w:val="none"/>
              </w:rPr>
              <w:t xml:space="preserve"> metre</w:t>
            </w:r>
            <w:r w:rsidRPr="00927E8A">
              <w:rPr>
                <w:rStyle w:val="PPVTrackedAdded"/>
                <w:rFonts w:asciiTheme="minorHAnsi" w:eastAsia="Dotum" w:hAnsiTheme="minorHAnsi"/>
                <w:color w:val="auto"/>
                <w:szCs w:val="20"/>
                <w:u w:val="none"/>
              </w:rPr>
              <w:t xml:space="preserve"> wide streets</w:t>
            </w:r>
          </w:p>
        </w:tc>
        <w:tc>
          <w:tcPr>
            <w:tcW w:w="1666" w:type="pct"/>
            <w:tcBorders>
              <w:top w:val="dotted" w:sz="4" w:space="0" w:color="auto"/>
            </w:tcBorders>
            <w:shd w:val="clear" w:color="auto" w:fill="auto"/>
          </w:tcPr>
          <w:p w:rsidR="00D91C50" w:rsidRPr="00927E8A" w:rsidRDefault="00D91C50" w:rsidP="00B5290C">
            <w:pPr>
              <w:pStyle w:val="PPVTableText"/>
              <w:rPr>
                <w:rStyle w:val="PPVTrackedAdded"/>
                <w:rFonts w:asciiTheme="minorHAnsi" w:eastAsia="Dotum" w:hAnsiTheme="minorHAnsi"/>
                <w:color w:val="auto"/>
                <w:szCs w:val="20"/>
                <w:u w:val="none"/>
              </w:rPr>
            </w:pPr>
            <w:r w:rsidRPr="00927E8A">
              <w:rPr>
                <w:rStyle w:val="PPVTrackedAdded"/>
                <w:rFonts w:asciiTheme="minorHAnsi" w:eastAsia="Dotum" w:hAnsiTheme="minorHAnsi"/>
                <w:color w:val="auto"/>
                <w:szCs w:val="20"/>
                <w:u w:val="none"/>
              </w:rPr>
              <w:t>Community hub investigation area maps added</w:t>
            </w:r>
          </w:p>
        </w:tc>
      </w:tr>
    </w:tbl>
    <w:p w:rsidR="00D70C8D" w:rsidRDefault="00D70C8D" w:rsidP="00D91C50">
      <w:pPr>
        <w:pStyle w:val="Caption"/>
      </w:pPr>
      <w:bookmarkStart w:id="96" w:name="_Toc519439817"/>
      <w:bookmarkStart w:id="97" w:name="_Toc519719129"/>
      <w:bookmarkStart w:id="98" w:name="_Toc519710352"/>
    </w:p>
    <w:p w:rsidR="00D70C8D" w:rsidRDefault="00D70C8D">
      <w:pPr>
        <w:spacing w:before="0"/>
        <w:jc w:val="left"/>
        <w:rPr>
          <w:b/>
          <w:color w:val="215868" w:themeColor="accent5" w:themeShade="80"/>
          <w:sz w:val="20"/>
          <w:szCs w:val="20"/>
        </w:rPr>
      </w:pPr>
      <w:r>
        <w:br w:type="page"/>
      </w:r>
    </w:p>
    <w:p w:rsidR="00D91C50" w:rsidRDefault="00D91C50" w:rsidP="00D91C50">
      <w:pPr>
        <w:pStyle w:val="Caption"/>
      </w:pPr>
      <w:r>
        <w:lastRenderedPageBreak/>
        <w:t xml:space="preserve">Table </w:t>
      </w:r>
      <w:fldSimple w:instr=" SEQ Table \* ARABIC ">
        <w:r w:rsidR="00A307EC">
          <w:rPr>
            <w:noProof/>
          </w:rPr>
          <w:t>4</w:t>
        </w:r>
      </w:fldSimple>
      <w:r>
        <w:t>:</w:t>
      </w:r>
      <w:r>
        <w:tab/>
        <w:t>Changes to 22.XX</w:t>
      </w:r>
      <w:bookmarkEnd w:id="96"/>
      <w:bookmarkEnd w:id="97"/>
      <w:bookmarkEnd w:id="98"/>
    </w:p>
    <w:tbl>
      <w:tblPr>
        <w:tblW w:w="4943" w:type="pct"/>
        <w:tblBorders>
          <w:bottom w:val="single" w:sz="12" w:space="0" w:color="215868"/>
          <w:insideH w:val="dotted" w:sz="4" w:space="0" w:color="auto"/>
        </w:tblBorders>
        <w:tblLayout w:type="fixed"/>
        <w:tblLook w:val="04A0" w:firstRow="1" w:lastRow="0" w:firstColumn="1" w:lastColumn="0" w:noHBand="0" w:noVBand="1"/>
      </w:tblPr>
      <w:tblGrid>
        <w:gridCol w:w="3793"/>
        <w:gridCol w:w="5387"/>
      </w:tblGrid>
      <w:tr w:rsidR="00D91C50" w:rsidRPr="00A90F8A" w:rsidTr="00B5290C">
        <w:trPr>
          <w:cantSplit/>
          <w:tblHeader/>
        </w:trPr>
        <w:tc>
          <w:tcPr>
            <w:tcW w:w="2066" w:type="pct"/>
            <w:tcBorders>
              <w:top w:val="nil"/>
              <w:bottom w:val="dotted" w:sz="4" w:space="0" w:color="auto"/>
            </w:tcBorders>
            <w:shd w:val="clear" w:color="auto" w:fill="215868"/>
            <w:vAlign w:val="bottom"/>
          </w:tcPr>
          <w:p w:rsidR="00D91C50" w:rsidRPr="00927E8A" w:rsidRDefault="00D91C50" w:rsidP="00B5290C">
            <w:pPr>
              <w:pStyle w:val="PPVTableHeader"/>
            </w:pPr>
            <w:r>
              <w:t>Part A (</w:t>
            </w:r>
            <w:r w:rsidRPr="00927E8A">
              <w:t>No Part B version</w:t>
            </w:r>
            <w:r>
              <w:t>)</w:t>
            </w:r>
          </w:p>
        </w:tc>
        <w:tc>
          <w:tcPr>
            <w:tcW w:w="2934" w:type="pct"/>
            <w:tcBorders>
              <w:top w:val="nil"/>
              <w:bottom w:val="dotted" w:sz="4" w:space="0" w:color="auto"/>
            </w:tcBorders>
            <w:shd w:val="clear" w:color="auto" w:fill="215868"/>
            <w:vAlign w:val="bottom"/>
          </w:tcPr>
          <w:p w:rsidR="00D91C50" w:rsidRPr="00927E8A" w:rsidRDefault="00D91C50" w:rsidP="00B5290C">
            <w:pPr>
              <w:pStyle w:val="PPVTableHeader"/>
            </w:pPr>
            <w:r>
              <w:t>Part C</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Objectives</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 xml:space="preserve">Objectives for Fishermans Bend </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Fifth objective: reference to Vision added; reference to social cohesion deleted</w:t>
            </w:r>
          </w:p>
          <w:p w:rsidR="00D91C50" w:rsidRPr="00927E8A" w:rsidRDefault="00D91C50" w:rsidP="00B5290C">
            <w:pPr>
              <w:pStyle w:val="PPVTableText"/>
            </w:pPr>
            <w:r w:rsidRPr="00927E8A">
              <w:t>New objective: ESD</w:t>
            </w:r>
          </w:p>
          <w:p w:rsidR="00D91C50" w:rsidRPr="00927E8A" w:rsidRDefault="00D91C50" w:rsidP="00B5290C">
            <w:pPr>
              <w:pStyle w:val="PPVTableText"/>
            </w:pPr>
            <w:r w:rsidRPr="00927E8A">
              <w:t xml:space="preserve">New objective: encourage transition to support growth of Fishermans Bend and protect industrial uses </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Definitions</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Public benefits included social housing, additional open space and community hubs</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Definitions brought across from CCZ; public benefit definition amended to refer only to social housing</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Dwelling density</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Dwelling density policy, and maximum dwelling densities, included</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Deleted</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Housing diversity</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 xml:space="preserve">Housing diversity policy described various types of housing </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‘Family</w:t>
            </w:r>
            <w:r>
              <w:t>-</w:t>
            </w:r>
            <w:r w:rsidRPr="00927E8A">
              <w:t>friendly’ changed to ‘households with children’; ‘developments that allow people to age in place’ changed to ‘households for older people’; ‘key worker housing and affordable housing’ changed to ‘households with low to moderate incomes and key workers’</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Affordable housing target</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t>Six</w:t>
            </w:r>
            <w:r w:rsidRPr="00927E8A">
              <w:t xml:space="preserve"> per cent affordable housing </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 xml:space="preserve">20 per cent affordable housing target, of which </w:t>
            </w:r>
            <w:r>
              <w:t>six</w:t>
            </w:r>
            <w:r w:rsidRPr="00927E8A">
              <w:t xml:space="preserve"> per cent is social housing (Minister described change as a ‘drafting</w:t>
            </w:r>
            <w:r>
              <w:t>’ error</w:t>
            </w:r>
            <w:r w:rsidRPr="00927E8A">
              <w:t>)</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Adaptable floor plates</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Not mentioned</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 xml:space="preserve">New policy (encourage adaptable floor plates to combine </w:t>
            </w:r>
            <w:r>
              <w:t>one</w:t>
            </w:r>
            <w:r w:rsidRPr="00927E8A">
              <w:t xml:space="preserve"> and </w:t>
            </w:r>
            <w:r w:rsidR="00CD2779">
              <w:t xml:space="preserve">two </w:t>
            </w:r>
            <w:r w:rsidRPr="00927E8A">
              <w:t>bed</w:t>
            </w:r>
            <w:r w:rsidR="00BF166F">
              <w:t>room</w:t>
            </w:r>
            <w:r w:rsidRPr="00927E8A">
              <w:t xml:space="preserve"> units to form larger apartments)</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Community hubs</w:t>
            </w:r>
          </w:p>
        </w:tc>
      </w:tr>
      <w:tr w:rsidR="00D91C50" w:rsidRPr="006B5BC5" w:rsidTr="00B5290C">
        <w:trPr>
          <w:cantSplit/>
        </w:trPr>
        <w:tc>
          <w:tcPr>
            <w:tcW w:w="2066" w:type="pct"/>
            <w:tcBorders>
              <w:bottom w:val="dotted" w:sz="4" w:space="0" w:color="auto"/>
            </w:tcBorders>
            <w:shd w:val="clear" w:color="auto" w:fill="auto"/>
          </w:tcPr>
          <w:p w:rsidR="00D91C50" w:rsidRPr="00927E8A" w:rsidRDefault="00D91C50" w:rsidP="00B5290C">
            <w:pPr>
              <w:pStyle w:val="PPVTableText"/>
            </w:pPr>
            <w:r w:rsidRPr="00927E8A">
              <w:t>Policy to encourage early delivery of community infrastructure hubs</w:t>
            </w:r>
          </w:p>
        </w:tc>
        <w:tc>
          <w:tcPr>
            <w:tcW w:w="2934" w:type="pct"/>
            <w:tcBorders>
              <w:bottom w:val="dotted" w:sz="4" w:space="0" w:color="auto"/>
            </w:tcBorders>
          </w:tcPr>
          <w:p w:rsidR="00D91C50" w:rsidRPr="00927E8A" w:rsidRDefault="00D91C50" w:rsidP="00B5290C">
            <w:pPr>
              <w:pStyle w:val="PPVTableText"/>
            </w:pPr>
            <w:r w:rsidRPr="00927E8A">
              <w:t>Deleted</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Default="00D91C50" w:rsidP="00B5290C">
            <w:pPr>
              <w:pStyle w:val="PPVTableHeader2"/>
            </w:pPr>
            <w:r w:rsidRPr="00927E8A">
              <w:t>ESD</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 xml:space="preserve">Policy to create a benchmark for sustainability, with no reference to Clause 22.13 </w:t>
            </w:r>
          </w:p>
        </w:tc>
        <w:tc>
          <w:tcPr>
            <w:tcW w:w="2934" w:type="pct"/>
            <w:tcBorders>
              <w:top w:val="dotted" w:sz="4" w:space="0" w:color="auto"/>
              <w:bottom w:val="dotted" w:sz="4" w:space="0" w:color="auto"/>
            </w:tcBorders>
          </w:tcPr>
          <w:p w:rsidR="00D91C50" w:rsidRPr="00927E8A" w:rsidRDefault="00D91C50" w:rsidP="00B5290C">
            <w:pPr>
              <w:pStyle w:val="PPVTableText"/>
            </w:pPr>
            <w:r>
              <w:t>Reference to Clause 22</w:t>
            </w:r>
            <w:r w:rsidRPr="00927E8A">
              <w:t xml:space="preserve"> added.  Does not specify which scheme, but Review Panel assumes it is the PPPS, as Clause 22.13 of the MPS has no content</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Managing flood impacts</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Specified various measures for dealing with flood impacts</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Changes including raising floor levels to be a ‘last resort’; flood lev</w:t>
            </w:r>
            <w:r>
              <w:t>ee</w:t>
            </w:r>
            <w:r w:rsidRPr="00927E8A">
              <w:t xml:space="preserve">; primary consideration to mitigating risk to human life </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Third pipe systems</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Specified various measures relating to third pipe and rainwater tanks</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Deleted (shifted to CCZ)</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Public and communal open space</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 xml:space="preserve">Specified various policies and measures for public and communal open space included </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Deleted dimensions of on</w:t>
            </w:r>
            <w:r>
              <w:t>s</w:t>
            </w:r>
            <w:r w:rsidRPr="00927E8A">
              <w:t>ite public open space; encouraging ‘publicly accessible areas’ rather than ‘public open space’ at ground level; policy relating to ‘additional open space’ under FAU scheme deleted</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Default="00D91C50" w:rsidP="00B5290C">
            <w:pPr>
              <w:pStyle w:val="PPVTableHeader2"/>
            </w:pPr>
            <w:r w:rsidRPr="00927E8A">
              <w:lastRenderedPageBreak/>
              <w:t>Landscaping requirements</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Not included</w:t>
            </w:r>
          </w:p>
        </w:tc>
        <w:tc>
          <w:tcPr>
            <w:tcW w:w="2934" w:type="pct"/>
            <w:tcBorders>
              <w:top w:val="dotted" w:sz="4" w:space="0" w:color="auto"/>
              <w:bottom w:val="dotted" w:sz="4" w:space="0" w:color="auto"/>
            </w:tcBorders>
          </w:tcPr>
          <w:p w:rsidR="00D91C50" w:rsidRPr="00927E8A" w:rsidRDefault="00D91C50" w:rsidP="00B5290C">
            <w:pPr>
              <w:pStyle w:val="PPVTableText"/>
            </w:pPr>
            <w:r>
              <w:t>I</w:t>
            </w:r>
            <w:r w:rsidRPr="00927E8A">
              <w:t>ncluded as per Document 335 (omitted in error)</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New streets and laneways</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New streets, lanes and pedestrian connections to be not more than 100 metres apart</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Changed to 50-70 metres for core areas (100 metres in non-core)</w:t>
            </w:r>
          </w:p>
          <w:p w:rsidR="00D91C50" w:rsidRPr="00927E8A" w:rsidRDefault="00D91C50" w:rsidP="00B5290C">
            <w:pPr>
              <w:pStyle w:val="PPVTableText"/>
            </w:pPr>
            <w:r w:rsidRPr="00927E8A">
              <w:t>New policy to encourage direct access to public open space</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FAU</w:t>
            </w:r>
          </w:p>
        </w:tc>
      </w:tr>
      <w:tr w:rsidR="00D91C50" w:rsidRPr="006B5BC5" w:rsidTr="00B5290C">
        <w:trPr>
          <w:cantSplit/>
        </w:trPr>
        <w:tc>
          <w:tcPr>
            <w:tcW w:w="2066"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Policy considerations for proposed public benefits</w:t>
            </w:r>
          </w:p>
        </w:tc>
        <w:tc>
          <w:tcPr>
            <w:tcW w:w="2934" w:type="pct"/>
            <w:tcBorders>
              <w:top w:val="dotted" w:sz="4" w:space="0" w:color="auto"/>
              <w:bottom w:val="dotted" w:sz="4" w:space="0" w:color="auto"/>
            </w:tcBorders>
          </w:tcPr>
          <w:p w:rsidR="00D91C50" w:rsidRPr="00927E8A" w:rsidRDefault="00D91C50" w:rsidP="00B5290C">
            <w:pPr>
              <w:pStyle w:val="PPVTableText"/>
            </w:pPr>
            <w:r w:rsidRPr="00927E8A">
              <w:t>Deleted</w:t>
            </w:r>
          </w:p>
        </w:tc>
      </w:tr>
      <w:tr w:rsidR="00D91C50" w:rsidRPr="006B5BC5" w:rsidTr="00B5290C">
        <w:trPr>
          <w:cantSplit/>
        </w:trPr>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Protection of existing industrial uses</w:t>
            </w:r>
          </w:p>
        </w:tc>
      </w:tr>
      <w:tr w:rsidR="00D91C50" w:rsidRPr="006B5BC5" w:rsidTr="00B5290C">
        <w:trPr>
          <w:cantSplit/>
        </w:trPr>
        <w:tc>
          <w:tcPr>
            <w:tcW w:w="2066" w:type="pct"/>
            <w:tcBorders>
              <w:top w:val="dotted" w:sz="4" w:space="0" w:color="auto"/>
            </w:tcBorders>
            <w:shd w:val="clear" w:color="auto" w:fill="auto"/>
          </w:tcPr>
          <w:p w:rsidR="00D91C50" w:rsidRPr="00927E8A" w:rsidRDefault="00D91C50" w:rsidP="00B5290C">
            <w:pPr>
              <w:pStyle w:val="PPVTableText"/>
            </w:pPr>
            <w:r w:rsidRPr="00927E8A">
              <w:t>Not mentioned</w:t>
            </w:r>
          </w:p>
        </w:tc>
        <w:tc>
          <w:tcPr>
            <w:tcW w:w="2934" w:type="pct"/>
            <w:tcBorders>
              <w:top w:val="dotted" w:sz="4" w:space="0" w:color="auto"/>
            </w:tcBorders>
          </w:tcPr>
          <w:p w:rsidR="00D91C50" w:rsidRPr="00927E8A" w:rsidRDefault="00D91C50" w:rsidP="00B5290C">
            <w:pPr>
              <w:pStyle w:val="PPVTableText"/>
            </w:pPr>
            <w:r w:rsidRPr="00927E8A">
              <w:t xml:space="preserve">New policy: Amenity Impact Plans to address reverse amenity impacts from existing industrial activities </w:t>
            </w:r>
          </w:p>
        </w:tc>
      </w:tr>
    </w:tbl>
    <w:p w:rsidR="00D91C50" w:rsidRDefault="00D91C50" w:rsidP="00D91C50">
      <w:pPr>
        <w:pStyle w:val="Caption"/>
      </w:pPr>
      <w:bookmarkStart w:id="99" w:name="_Toc519439818"/>
      <w:bookmarkStart w:id="100" w:name="_Toc519719130"/>
      <w:bookmarkStart w:id="101" w:name="_Toc519710353"/>
      <w:r>
        <w:t xml:space="preserve">Table </w:t>
      </w:r>
      <w:fldSimple w:instr=" SEQ Table \* ARABIC ">
        <w:r w:rsidR="00A307EC">
          <w:rPr>
            <w:noProof/>
          </w:rPr>
          <w:t>5</w:t>
        </w:r>
      </w:fldSimple>
      <w:r>
        <w:t>:</w:t>
      </w:r>
      <w:r>
        <w:tab/>
        <w:t>Changes to the CCZ</w:t>
      </w:r>
      <w:bookmarkEnd w:id="99"/>
      <w:bookmarkEnd w:id="100"/>
      <w:bookmarkEnd w:id="101"/>
    </w:p>
    <w:tbl>
      <w:tblPr>
        <w:tblW w:w="4943" w:type="pct"/>
        <w:tblBorders>
          <w:bottom w:val="single" w:sz="12" w:space="0" w:color="215868"/>
          <w:insideH w:val="dotted" w:sz="4" w:space="0" w:color="auto"/>
        </w:tblBorders>
        <w:tblLayout w:type="fixed"/>
        <w:tblLook w:val="04A0" w:firstRow="1" w:lastRow="0" w:firstColumn="1" w:lastColumn="0" w:noHBand="0" w:noVBand="1"/>
      </w:tblPr>
      <w:tblGrid>
        <w:gridCol w:w="2517"/>
        <w:gridCol w:w="230"/>
        <w:gridCol w:w="2748"/>
        <w:gridCol w:w="3685"/>
      </w:tblGrid>
      <w:tr w:rsidR="00D91C50" w:rsidRPr="00A90F8A" w:rsidTr="00B5290C">
        <w:trPr>
          <w:cantSplit/>
          <w:tblHeader/>
        </w:trPr>
        <w:tc>
          <w:tcPr>
            <w:tcW w:w="1371" w:type="pct"/>
            <w:tcBorders>
              <w:top w:val="nil"/>
              <w:bottom w:val="dotted" w:sz="4" w:space="0" w:color="auto"/>
            </w:tcBorders>
            <w:shd w:val="clear" w:color="auto" w:fill="215868"/>
            <w:vAlign w:val="bottom"/>
          </w:tcPr>
          <w:p w:rsidR="00D91C50" w:rsidRPr="00927E8A" w:rsidRDefault="00D91C50" w:rsidP="00B5290C">
            <w:pPr>
              <w:pStyle w:val="PPVTableHeader"/>
            </w:pPr>
            <w:r>
              <w:t>Part A</w:t>
            </w:r>
          </w:p>
        </w:tc>
        <w:tc>
          <w:tcPr>
            <w:tcW w:w="1622" w:type="pct"/>
            <w:gridSpan w:val="2"/>
            <w:tcBorders>
              <w:top w:val="nil"/>
              <w:bottom w:val="dotted" w:sz="4" w:space="0" w:color="auto"/>
            </w:tcBorders>
            <w:shd w:val="clear" w:color="auto" w:fill="215868"/>
            <w:vAlign w:val="bottom"/>
          </w:tcPr>
          <w:p w:rsidR="00D91C50" w:rsidRPr="00927E8A" w:rsidRDefault="00D91C50" w:rsidP="00B5290C">
            <w:pPr>
              <w:pStyle w:val="PPVTableHeader"/>
            </w:pPr>
            <w:r>
              <w:t>Part B</w:t>
            </w:r>
          </w:p>
        </w:tc>
        <w:tc>
          <w:tcPr>
            <w:tcW w:w="2007" w:type="pct"/>
            <w:tcBorders>
              <w:top w:val="nil"/>
              <w:bottom w:val="dotted" w:sz="4" w:space="0" w:color="auto"/>
            </w:tcBorders>
            <w:shd w:val="clear" w:color="auto" w:fill="215868"/>
            <w:vAlign w:val="bottom"/>
          </w:tcPr>
          <w:p w:rsidR="00D91C50" w:rsidRPr="00927E8A" w:rsidRDefault="00D91C50" w:rsidP="00B5290C">
            <w:pPr>
              <w:pStyle w:val="PPVTableHeader"/>
            </w:pPr>
            <w:r>
              <w:t>Part C</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FAR</w:t>
            </w:r>
          </w:p>
        </w:tc>
      </w:tr>
      <w:tr w:rsidR="00D91C50" w:rsidRPr="006A4D79" w:rsidTr="00B5290C">
        <w:trPr>
          <w:cantSplit/>
        </w:trPr>
        <w:tc>
          <w:tcPr>
            <w:tcW w:w="1371"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Montague core area FAR 6.1:1</w:t>
            </w:r>
          </w:p>
        </w:tc>
        <w:tc>
          <w:tcPr>
            <w:tcW w:w="3629" w:type="pct"/>
            <w:gridSpan w:val="3"/>
            <w:tcBorders>
              <w:top w:val="dotted" w:sz="4" w:space="0" w:color="auto"/>
              <w:bottom w:val="dotted" w:sz="4" w:space="0" w:color="auto"/>
            </w:tcBorders>
          </w:tcPr>
          <w:p w:rsidR="00D91C50" w:rsidRPr="00927E8A" w:rsidRDefault="00D91C50" w:rsidP="00B5290C">
            <w:pPr>
              <w:pStyle w:val="PPVTableText"/>
            </w:pPr>
            <w:r w:rsidRPr="00927E8A">
              <w:t>Montague core area FAR adjusted up (6.3:1)</w:t>
            </w:r>
          </w:p>
          <w:p w:rsidR="00D91C50" w:rsidRPr="00927E8A" w:rsidRDefault="00D91C50" w:rsidP="00B5290C">
            <w:pPr>
              <w:pStyle w:val="PPVTableText"/>
            </w:pPr>
          </w:p>
        </w:tc>
      </w:tr>
      <w:tr w:rsidR="00D91C50" w:rsidRPr="006A4D79" w:rsidTr="00B5290C">
        <w:trPr>
          <w:cantSplit/>
        </w:trPr>
        <w:tc>
          <w:tcPr>
            <w:tcW w:w="1371"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Sandridge core area FAR 8.1:1</w:t>
            </w:r>
          </w:p>
        </w:tc>
        <w:tc>
          <w:tcPr>
            <w:tcW w:w="3629" w:type="pct"/>
            <w:gridSpan w:val="3"/>
            <w:tcBorders>
              <w:top w:val="dotted" w:sz="4" w:space="0" w:color="auto"/>
              <w:bottom w:val="dotted" w:sz="4" w:space="0" w:color="auto"/>
            </w:tcBorders>
          </w:tcPr>
          <w:p w:rsidR="00D91C50" w:rsidRPr="00927E8A" w:rsidRDefault="00D91C50" w:rsidP="00B5290C">
            <w:pPr>
              <w:pStyle w:val="PPVTableText"/>
            </w:pPr>
            <w:r w:rsidRPr="00927E8A">
              <w:t xml:space="preserve">Sandridge core area FAR adjusted down </w:t>
            </w:r>
            <w:r>
              <w:t>(</w:t>
            </w:r>
            <w:r w:rsidRPr="00927E8A">
              <w:t>7.4:1)</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Dwelling FAR</w:t>
            </w:r>
          </w:p>
        </w:tc>
      </w:tr>
      <w:tr w:rsidR="00D91C50" w:rsidRPr="006A4D79" w:rsidTr="00B5290C">
        <w:trPr>
          <w:cantSplit/>
        </w:trPr>
        <w:tc>
          <w:tcPr>
            <w:tcW w:w="1371"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No separate dwelling FAR specified</w:t>
            </w:r>
          </w:p>
        </w:tc>
        <w:tc>
          <w:tcPr>
            <w:tcW w:w="1622" w:type="pct"/>
            <w:gridSpan w:val="2"/>
            <w:tcBorders>
              <w:top w:val="dotted" w:sz="4" w:space="0" w:color="auto"/>
              <w:bottom w:val="dotted" w:sz="4" w:space="0" w:color="auto"/>
            </w:tcBorders>
          </w:tcPr>
          <w:p w:rsidR="00D91C50" w:rsidRPr="00927E8A" w:rsidRDefault="00D91C50" w:rsidP="00B5290C">
            <w:pPr>
              <w:pStyle w:val="PPVTableText"/>
            </w:pPr>
            <w:r w:rsidRPr="00927E8A">
              <w:t>Total FAR split into dwelling FAR and non-dwelling FAR; Table 1 amended to specify ‘</w:t>
            </w:r>
            <w:r w:rsidR="00EE531A">
              <w:t>T</w:t>
            </w:r>
            <w:r w:rsidRPr="00927E8A">
              <w:t xml:space="preserve">otal FAR’ and ‘Accommodation FAR’; new condition in Table of Uses that Accommodation and Dwelling must not exceed ‘residential FAR’ </w:t>
            </w:r>
          </w:p>
        </w:tc>
        <w:tc>
          <w:tcPr>
            <w:tcW w:w="2007" w:type="pct"/>
            <w:tcBorders>
              <w:top w:val="dotted" w:sz="4" w:space="0" w:color="auto"/>
              <w:bottom w:val="dotted" w:sz="4" w:space="0" w:color="auto"/>
            </w:tcBorders>
          </w:tcPr>
          <w:p w:rsidR="00D91C50" w:rsidRPr="00927E8A" w:rsidRDefault="00D91C50" w:rsidP="00B5290C">
            <w:pPr>
              <w:pStyle w:val="PPVTableText"/>
            </w:pPr>
            <w:r w:rsidRPr="00927E8A">
              <w:t xml:space="preserve">Condition in Table of Uses deleted (as this effectively prohibited FAU – unintended consequence) </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t>Non-dwelling</w:t>
            </w:r>
            <w:r w:rsidRPr="00927E8A">
              <w:t xml:space="preserve"> FAR</w:t>
            </w:r>
          </w:p>
        </w:tc>
      </w:tr>
      <w:tr w:rsidR="00D91C50" w:rsidRPr="006A4D79" w:rsidTr="00B5290C">
        <w:trPr>
          <w:cantSplit/>
        </w:trPr>
        <w:tc>
          <w:tcPr>
            <w:tcW w:w="1371" w:type="pct"/>
            <w:tcBorders>
              <w:top w:val="dotted" w:sz="4" w:space="0" w:color="auto"/>
              <w:bottom w:val="dotted" w:sz="4" w:space="0" w:color="auto"/>
            </w:tcBorders>
            <w:shd w:val="clear" w:color="auto" w:fill="auto"/>
          </w:tcPr>
          <w:p w:rsidR="00D91C50" w:rsidRPr="00927E8A" w:rsidRDefault="00D91C50" w:rsidP="00B5290C">
            <w:pPr>
              <w:pStyle w:val="PPVTableText"/>
            </w:pPr>
            <w:r>
              <w:t>Non-dwelling</w:t>
            </w:r>
            <w:r w:rsidRPr="00927E8A">
              <w:t xml:space="preserve"> FAR uncapped</w:t>
            </w:r>
          </w:p>
        </w:tc>
        <w:tc>
          <w:tcPr>
            <w:tcW w:w="3629" w:type="pct"/>
            <w:gridSpan w:val="3"/>
            <w:tcBorders>
              <w:top w:val="dotted" w:sz="4" w:space="0" w:color="auto"/>
              <w:bottom w:val="dotted" w:sz="4" w:space="0" w:color="auto"/>
            </w:tcBorders>
          </w:tcPr>
          <w:p w:rsidR="00D91C50" w:rsidRPr="00927E8A" w:rsidRDefault="009636A5" w:rsidP="00B5290C">
            <w:pPr>
              <w:pStyle w:val="PPVTableText"/>
            </w:pPr>
            <w:r>
              <w:t>Total</w:t>
            </w:r>
            <w:r w:rsidR="00D91C50" w:rsidRPr="00927E8A">
              <w:t xml:space="preserve"> FAR capped</w:t>
            </w:r>
            <w:r w:rsidR="0079402A">
              <w:t xml:space="preserve"> imposing cap on n</w:t>
            </w:r>
            <w:r>
              <w:t>on-dwelling FAR</w:t>
            </w:r>
            <w:r w:rsidR="00D91C50" w:rsidRPr="00927E8A">
              <w:t xml:space="preserve"> (minimum </w:t>
            </w:r>
            <w:r w:rsidR="0079402A">
              <w:t>n</w:t>
            </w:r>
            <w:r w:rsidR="00D91C50">
              <w:t>on-dwelling</w:t>
            </w:r>
            <w:r w:rsidR="00D91C50" w:rsidRPr="00927E8A">
              <w:t xml:space="preserve"> FAR requirements in local policy </w:t>
            </w:r>
            <w:r>
              <w:t xml:space="preserve">is the same as the difference between total FAR and </w:t>
            </w:r>
            <w:r w:rsidR="0079402A">
              <w:t>d</w:t>
            </w:r>
            <w:r w:rsidR="00D91C50">
              <w:t>welling</w:t>
            </w:r>
            <w:r w:rsidR="00D91C50" w:rsidRPr="00927E8A">
              <w:t xml:space="preserve"> FAR in the CCZ)</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FAU</w:t>
            </w:r>
          </w:p>
        </w:tc>
      </w:tr>
      <w:tr w:rsidR="00D91C50" w:rsidRPr="006A4D79" w:rsidTr="00B5290C">
        <w:trPr>
          <w:cantSplit/>
        </w:trPr>
        <w:tc>
          <w:tcPr>
            <w:tcW w:w="1371"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Cannot exceed FAR unless s173 agreement for public benefit</w:t>
            </w:r>
          </w:p>
          <w:p w:rsidR="00D91C50" w:rsidRPr="00927E8A" w:rsidRDefault="00D91C50" w:rsidP="00B5290C">
            <w:pPr>
              <w:pStyle w:val="PPVTableText"/>
            </w:pPr>
            <w:r w:rsidRPr="00927E8A">
              <w:t>Application requirement for report detailing public benefit and FAU proposed</w:t>
            </w:r>
          </w:p>
          <w:p w:rsidR="00D91C50" w:rsidRPr="00927E8A" w:rsidRDefault="00D91C50" w:rsidP="00B5290C">
            <w:pPr>
              <w:pStyle w:val="PPVTableText"/>
            </w:pPr>
            <w:r w:rsidRPr="00927E8A">
              <w:t>Decision guidelines about public benefit</w:t>
            </w:r>
          </w:p>
        </w:tc>
        <w:tc>
          <w:tcPr>
            <w:tcW w:w="1622" w:type="pct"/>
            <w:gridSpan w:val="2"/>
            <w:tcBorders>
              <w:top w:val="dotted" w:sz="4" w:space="0" w:color="auto"/>
              <w:bottom w:val="dotted" w:sz="4" w:space="0" w:color="auto"/>
            </w:tcBorders>
          </w:tcPr>
          <w:p w:rsidR="00D91C50" w:rsidRPr="00927E8A" w:rsidRDefault="00D91C50" w:rsidP="00B5290C">
            <w:pPr>
              <w:pStyle w:val="PPVTableText"/>
            </w:pPr>
            <w:r w:rsidRPr="00927E8A">
              <w:t>Public benefit purpose changed to refer to where FAR exceeded rather than where planned infrastructure provision exceeded</w:t>
            </w:r>
          </w:p>
          <w:p w:rsidR="00D91C50" w:rsidRPr="00927E8A" w:rsidRDefault="00D91C50" w:rsidP="00B5290C">
            <w:pPr>
              <w:pStyle w:val="PPVTableText"/>
            </w:pPr>
            <w:r w:rsidRPr="00927E8A">
              <w:t>New decision guidelines – whether public benefit proposed</w:t>
            </w:r>
          </w:p>
          <w:p w:rsidR="00D91C50" w:rsidRPr="00927E8A" w:rsidRDefault="00D91C50" w:rsidP="00B5290C">
            <w:pPr>
              <w:pStyle w:val="PPVTableText"/>
            </w:pPr>
            <w:r w:rsidRPr="00927E8A">
              <w:t>Definition of public benefit inserted – social housing, additional open space and community hubs</w:t>
            </w:r>
          </w:p>
        </w:tc>
        <w:tc>
          <w:tcPr>
            <w:tcW w:w="2007" w:type="pct"/>
            <w:tcBorders>
              <w:top w:val="dotted" w:sz="4" w:space="0" w:color="auto"/>
              <w:bottom w:val="dotted" w:sz="4" w:space="0" w:color="auto"/>
            </w:tcBorders>
          </w:tcPr>
          <w:p w:rsidR="00D91C50" w:rsidRPr="00927E8A" w:rsidRDefault="00D91C50" w:rsidP="00B5290C">
            <w:pPr>
              <w:pStyle w:val="PPVTableText"/>
            </w:pPr>
            <w:r w:rsidRPr="00927E8A">
              <w:t>Public benefit definition amended – restricted to social housing</w:t>
            </w:r>
          </w:p>
          <w:p w:rsidR="00D91C50" w:rsidRPr="00927E8A" w:rsidRDefault="00D91C50" w:rsidP="00B5290C">
            <w:pPr>
              <w:pStyle w:val="PPVTableText"/>
            </w:pPr>
            <w:r w:rsidRPr="00927E8A">
              <w:t>Changes to application requirement and decision guidelines for public benefit, to reflect changes to eligible public benefits</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lastRenderedPageBreak/>
              <w:t>New streets, lanes and open space</w:t>
            </w:r>
          </w:p>
        </w:tc>
      </w:tr>
      <w:tr w:rsidR="00D91C50" w:rsidRPr="006A4D79" w:rsidTr="00B5290C">
        <w:trPr>
          <w:cantSplit/>
        </w:trPr>
        <w:tc>
          <w:tcPr>
            <w:tcW w:w="1371"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 xml:space="preserve">Permit applications to ‘make provision for’ new streets, lanes and open space; layout of streets and lanes to be ‘consistent with’ CCZ maps </w:t>
            </w:r>
          </w:p>
        </w:tc>
        <w:tc>
          <w:tcPr>
            <w:tcW w:w="1622" w:type="pct"/>
            <w:gridSpan w:val="2"/>
            <w:tcBorders>
              <w:top w:val="dotted" w:sz="4" w:space="0" w:color="auto"/>
              <w:bottom w:val="dotted" w:sz="4" w:space="0" w:color="auto"/>
            </w:tcBorders>
          </w:tcPr>
          <w:p w:rsidR="00D91C50" w:rsidRDefault="00D91C50" w:rsidP="00B5290C">
            <w:pPr>
              <w:pStyle w:val="PPVTableText"/>
            </w:pPr>
            <w:r w:rsidRPr="00927E8A">
              <w:t>New purpose added – to facilitate public open space and roads through FAR</w:t>
            </w:r>
          </w:p>
          <w:p w:rsidR="00D91C50" w:rsidRDefault="00D91C50" w:rsidP="00B5290C">
            <w:pPr>
              <w:pStyle w:val="PPVTableText"/>
            </w:pPr>
            <w:r w:rsidRPr="00927E8A">
              <w:t xml:space="preserve">New requirement </w:t>
            </w:r>
            <w:r>
              <w:t>that p</w:t>
            </w:r>
            <w:r w:rsidRPr="00927E8A">
              <w:t>ermits must be ‘generally in accordance with’ the CCZ maps</w:t>
            </w:r>
          </w:p>
          <w:p w:rsidR="00D91C50" w:rsidRPr="00927E8A" w:rsidRDefault="00D91C50" w:rsidP="00B5290C">
            <w:pPr>
              <w:pStyle w:val="PPVTableText"/>
            </w:pPr>
            <w:r w:rsidRPr="00927E8A">
              <w:t xml:space="preserve">New requirement that permit must not be granted unless s173 agreement requiring roads, streets and lanes to be constructed and transferred to relevant authority, and open space to be transferred to relevant authority, at no cost </w:t>
            </w:r>
          </w:p>
        </w:tc>
        <w:tc>
          <w:tcPr>
            <w:tcW w:w="2007" w:type="pct"/>
            <w:tcBorders>
              <w:top w:val="dotted" w:sz="4" w:space="0" w:color="auto"/>
              <w:bottom w:val="dotted" w:sz="4" w:space="0" w:color="auto"/>
            </w:tcBorders>
          </w:tcPr>
          <w:p w:rsidR="00D91C50" w:rsidRDefault="00D91C50" w:rsidP="00B5290C">
            <w:pPr>
              <w:pStyle w:val="PPVTableText"/>
            </w:pPr>
            <w:r w:rsidRPr="00927E8A">
              <w:t>Purposes and requirements removed</w:t>
            </w:r>
          </w:p>
          <w:p w:rsidR="00D91C50" w:rsidRPr="00927E8A" w:rsidRDefault="00D91C50" w:rsidP="00B5290C">
            <w:pPr>
              <w:pStyle w:val="PPVTableText"/>
            </w:pPr>
            <w:r w:rsidRPr="00927E8A">
              <w:t>Minister indicated open space will be delivered under future ICP, and new streets and roads will be delivered either under future ICP or (if local) as part of developer works.  Mandatory permit condition inserted for the latter</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Crossovers</w:t>
            </w:r>
          </w:p>
        </w:tc>
      </w:tr>
      <w:tr w:rsidR="00D91C50" w:rsidRPr="006A4D79" w:rsidTr="00B5290C">
        <w:trPr>
          <w:cantSplit/>
        </w:trPr>
        <w:tc>
          <w:tcPr>
            <w:tcW w:w="1371" w:type="pct"/>
            <w:tcBorders>
              <w:top w:val="dotted" w:sz="4" w:space="0" w:color="auto"/>
              <w:bottom w:val="dotted" w:sz="4" w:space="0" w:color="auto"/>
            </w:tcBorders>
            <w:shd w:val="clear" w:color="auto" w:fill="auto"/>
          </w:tcPr>
          <w:p w:rsidR="00D91C50" w:rsidRPr="00927E8A" w:rsidRDefault="00D91C50" w:rsidP="00B5290C">
            <w:pPr>
              <w:pStyle w:val="PPVTableText"/>
            </w:pPr>
            <w:r w:rsidRPr="00927E8A">
              <w:t>Not included</w:t>
            </w:r>
          </w:p>
        </w:tc>
        <w:tc>
          <w:tcPr>
            <w:tcW w:w="3629" w:type="pct"/>
            <w:gridSpan w:val="3"/>
            <w:tcBorders>
              <w:top w:val="dotted" w:sz="4" w:space="0" w:color="auto"/>
              <w:bottom w:val="dotted" w:sz="4" w:space="0" w:color="auto"/>
            </w:tcBorders>
          </w:tcPr>
          <w:p w:rsidR="00D91C50" w:rsidRPr="00927E8A" w:rsidRDefault="00D91C50" w:rsidP="00B5290C">
            <w:pPr>
              <w:pStyle w:val="PPVTableText"/>
            </w:pPr>
            <w:r w:rsidRPr="00927E8A">
              <w:t>New requirement that permit must not allow crossovers on ‘no crossover’ streets</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Bicycle and motor cycle parking rates</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Not included</w:t>
            </w:r>
            <w:r>
              <w:t xml:space="preserve"> ––––––––––––––––––––</w:t>
            </w:r>
          </w:p>
        </w:tc>
        <w:tc>
          <w:tcPr>
            <w:tcW w:w="2007" w:type="pct"/>
            <w:tcBorders>
              <w:top w:val="dotted" w:sz="4" w:space="0" w:color="auto"/>
              <w:bottom w:val="dotted" w:sz="4" w:space="0" w:color="auto"/>
            </w:tcBorders>
          </w:tcPr>
          <w:p w:rsidR="00D91C50" w:rsidRPr="00927E8A" w:rsidRDefault="00D91C50" w:rsidP="00B5290C">
            <w:pPr>
              <w:pStyle w:val="PPVTableText"/>
            </w:pPr>
            <w:r w:rsidRPr="00927E8A">
              <w:t>Included (shifted from Parking Overlay, no change to rates)</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Protection of existing uses</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Default="00D91C50" w:rsidP="00B5290C">
            <w:pPr>
              <w:pStyle w:val="PPVTableText"/>
            </w:pPr>
            <w:r w:rsidRPr="00927E8A">
              <w:t xml:space="preserve">Sensitive uses within </w:t>
            </w:r>
            <w:r w:rsidR="00732F0B">
              <w:t xml:space="preserve">Clause </w:t>
            </w:r>
            <w:r w:rsidRPr="00927E8A">
              <w:t>52.10 threshold distances require permit</w:t>
            </w:r>
          </w:p>
          <w:p w:rsidR="00D91C50" w:rsidRDefault="00D91C50" w:rsidP="00B5290C">
            <w:pPr>
              <w:pStyle w:val="PPVTableText"/>
            </w:pPr>
            <w:r w:rsidRPr="00927E8A">
              <w:t>Application for a sensitive use within 300</w:t>
            </w:r>
            <w:r>
              <w:t xml:space="preserve"> metres </w:t>
            </w:r>
            <w:r w:rsidRPr="00927E8A">
              <w:t>of existing industrial or warehouse use, or 100</w:t>
            </w:r>
            <w:r>
              <w:t xml:space="preserve"> metres </w:t>
            </w:r>
            <w:r w:rsidRPr="00927E8A">
              <w:t>of freight route alignment or West</w:t>
            </w:r>
            <w:r>
              <w:t xml:space="preserve"> G</w:t>
            </w:r>
            <w:r w:rsidRPr="00927E8A">
              <w:t xml:space="preserve">ate Freeway, or </w:t>
            </w:r>
            <w:r>
              <w:t>p</w:t>
            </w:r>
            <w:r w:rsidRPr="00927E8A">
              <w:t>ort, must provide Amenity Impact Plan</w:t>
            </w:r>
          </w:p>
          <w:p w:rsidR="00D91C50" w:rsidRPr="00927E8A" w:rsidRDefault="00D91C50" w:rsidP="00B5290C">
            <w:pPr>
              <w:pStyle w:val="PPVTableText"/>
            </w:pPr>
            <w:r w:rsidRPr="00927E8A">
              <w:t xml:space="preserve">Decision guideline – measures to mitigate against off-site amenity impacts of existing uses </w:t>
            </w:r>
          </w:p>
        </w:tc>
        <w:tc>
          <w:tcPr>
            <w:tcW w:w="2007" w:type="pct"/>
            <w:tcBorders>
              <w:top w:val="dotted" w:sz="4" w:space="0" w:color="auto"/>
              <w:bottom w:val="dotted" w:sz="4" w:space="0" w:color="auto"/>
            </w:tcBorders>
          </w:tcPr>
          <w:p w:rsidR="00D91C50" w:rsidRPr="00927E8A" w:rsidRDefault="00D91C50" w:rsidP="00B5290C">
            <w:pPr>
              <w:pStyle w:val="PPVTableText"/>
            </w:pPr>
            <w:r w:rsidRPr="00927E8A">
              <w:t>New purpose to support continued operation of existing uses</w:t>
            </w:r>
            <w:r>
              <w:t xml:space="preserve"> which facilitate urban renewal</w:t>
            </w:r>
          </w:p>
          <w:p w:rsidR="00D91C50" w:rsidRDefault="00D91C50" w:rsidP="00B5290C">
            <w:pPr>
              <w:pStyle w:val="PPVTableText"/>
            </w:pPr>
            <w:r w:rsidRPr="00927E8A">
              <w:t>Amenity Impact Plan requirements expanded</w:t>
            </w:r>
          </w:p>
          <w:p w:rsidR="00D91C50" w:rsidRDefault="00D91C50" w:rsidP="00B5290C">
            <w:pPr>
              <w:pStyle w:val="PPVTableText"/>
            </w:pPr>
            <w:r w:rsidRPr="00927E8A">
              <w:t>Existing Uses with Adverse Amenity Potential Incorporated Document added</w:t>
            </w:r>
          </w:p>
          <w:p w:rsidR="00D91C50" w:rsidRPr="00927E8A" w:rsidRDefault="00D91C50" w:rsidP="00B5290C">
            <w:pPr>
              <w:pStyle w:val="PPVTableText"/>
            </w:pPr>
            <w:r w:rsidRPr="00927E8A">
              <w:t>New decision guidelines for applications for subdivision/buildings and works associated with an ongoing industrial/warehouse use</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Protection of concrete batching plants</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Default="00D91C50" w:rsidP="00B5290C">
            <w:pPr>
              <w:pStyle w:val="PPVTableText"/>
            </w:pPr>
          </w:p>
          <w:p w:rsidR="00D91C50" w:rsidRPr="00927E8A" w:rsidRDefault="00D91C50" w:rsidP="00B5290C">
            <w:pPr>
              <w:pStyle w:val="PPVTableText"/>
            </w:pPr>
            <w:r>
              <w:t xml:space="preserve">–––– </w:t>
            </w:r>
            <w:r w:rsidRPr="00927E8A">
              <w:t>Not included (apart from above general measures)</w:t>
            </w:r>
            <w:r>
              <w:t xml:space="preserve"> ––––</w:t>
            </w:r>
          </w:p>
        </w:tc>
        <w:tc>
          <w:tcPr>
            <w:tcW w:w="2007" w:type="pct"/>
            <w:tcBorders>
              <w:top w:val="dotted" w:sz="4" w:space="0" w:color="auto"/>
              <w:bottom w:val="dotted" w:sz="4" w:space="0" w:color="auto"/>
            </w:tcBorders>
          </w:tcPr>
          <w:p w:rsidR="00785416" w:rsidRDefault="00D91C50" w:rsidP="00B5290C">
            <w:pPr>
              <w:pStyle w:val="PPVTableText"/>
            </w:pPr>
            <w:r w:rsidRPr="00927E8A">
              <w:t>Permit trigger added for sensitive uses within 300</w:t>
            </w:r>
            <w:r>
              <w:t xml:space="preserve"> metres</w:t>
            </w:r>
            <w:r w:rsidRPr="00927E8A">
              <w:t xml:space="preserve"> of concrete batching plants</w:t>
            </w:r>
            <w:r>
              <w:t xml:space="preserve"> with Amenity Impact Plan required</w:t>
            </w:r>
          </w:p>
          <w:p w:rsidR="00D91C50" w:rsidRPr="00927E8A" w:rsidRDefault="00D91C50" w:rsidP="00B5290C">
            <w:pPr>
              <w:pStyle w:val="PPVTableText"/>
            </w:pPr>
            <w:r w:rsidRPr="00927E8A">
              <w:t>Decision guideline added for measures to mitigate a</w:t>
            </w:r>
            <w:r>
              <w:t>gainst off-site amenity impacts</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Protection of pipelines</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Default="00D91C50" w:rsidP="00B5290C">
            <w:pPr>
              <w:pStyle w:val="PPVTableText"/>
            </w:pPr>
          </w:p>
          <w:p w:rsidR="00D91C50" w:rsidRPr="00927E8A" w:rsidRDefault="00D91C50" w:rsidP="00B5290C">
            <w:pPr>
              <w:pStyle w:val="PPVTableText"/>
            </w:pPr>
            <w:r>
              <w:t xml:space="preserve">–––––––––––––––––––– </w:t>
            </w:r>
            <w:r w:rsidRPr="00927E8A">
              <w:t>Not included</w:t>
            </w:r>
            <w:r>
              <w:t xml:space="preserve"> ––––––––––––––––––––</w:t>
            </w:r>
          </w:p>
        </w:tc>
        <w:tc>
          <w:tcPr>
            <w:tcW w:w="2007" w:type="pct"/>
            <w:tcBorders>
              <w:top w:val="dotted" w:sz="4" w:space="0" w:color="auto"/>
              <w:bottom w:val="dotted" w:sz="4" w:space="0" w:color="auto"/>
            </w:tcBorders>
          </w:tcPr>
          <w:p w:rsidR="00D91C50" w:rsidRPr="00927E8A" w:rsidRDefault="00D91C50" w:rsidP="00B5290C">
            <w:pPr>
              <w:pStyle w:val="PPVTableText"/>
            </w:pPr>
            <w:r w:rsidRPr="00927E8A">
              <w:t xml:space="preserve">Permit for sensitive uses within </w:t>
            </w:r>
            <w:r w:rsidR="00007C27">
              <w:t>specified distance</w:t>
            </w:r>
            <w:r w:rsidRPr="00927E8A">
              <w:t xml:space="preserve"> of the pipelines</w:t>
            </w:r>
            <w:r>
              <w:t xml:space="preserve"> with </w:t>
            </w:r>
            <w:r w:rsidRPr="00927E8A">
              <w:t>licensee’s vie</w:t>
            </w:r>
            <w:r>
              <w:t xml:space="preserve">ws to be considered and </w:t>
            </w:r>
            <w:r w:rsidRPr="00927E8A">
              <w:t xml:space="preserve">condition requiring </w:t>
            </w:r>
            <w:r w:rsidR="00007C27">
              <w:t>Construction Management P</w:t>
            </w:r>
            <w:r w:rsidRPr="00927E8A">
              <w:t>lan endorsed by pipeline licensee</w:t>
            </w:r>
          </w:p>
        </w:tc>
      </w:tr>
      <w:tr w:rsidR="00D91C50" w:rsidRPr="00481CF5"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481CF5" w:rsidRDefault="00D91C50" w:rsidP="00B5290C">
            <w:pPr>
              <w:pStyle w:val="PPVTableHeader2"/>
            </w:pPr>
            <w:r>
              <w:lastRenderedPageBreak/>
              <w:t>Exemptions for continuing uses and amendments to existing permits</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Default="00D91C50" w:rsidP="00B5290C">
            <w:pPr>
              <w:pStyle w:val="PPVTableText"/>
            </w:pPr>
          </w:p>
          <w:p w:rsidR="00D91C50" w:rsidRPr="00927E8A" w:rsidRDefault="00D91C50" w:rsidP="00B5290C">
            <w:pPr>
              <w:pStyle w:val="PPVTableText"/>
            </w:pPr>
            <w:r>
              <w:t xml:space="preserve">–––––––––––––––––––– </w:t>
            </w:r>
            <w:r w:rsidRPr="00927E8A">
              <w:t>Not included</w:t>
            </w:r>
            <w:r>
              <w:t xml:space="preserve"> ––––––––––––––––––––</w:t>
            </w:r>
          </w:p>
        </w:tc>
        <w:tc>
          <w:tcPr>
            <w:tcW w:w="2007" w:type="pct"/>
            <w:tcBorders>
              <w:top w:val="dotted" w:sz="4" w:space="0" w:color="auto"/>
              <w:bottom w:val="dotted" w:sz="4" w:space="0" w:color="auto"/>
            </w:tcBorders>
          </w:tcPr>
          <w:p w:rsidR="00D91C50" w:rsidRPr="00927E8A" w:rsidRDefault="00D91C50" w:rsidP="00B5290C">
            <w:pPr>
              <w:pStyle w:val="PPVTableText"/>
            </w:pPr>
            <w:r w:rsidRPr="00927E8A">
              <w:t>Exemptions for subdivision or buildings and works in accordance with a permit issued before the GC81 approval date</w:t>
            </w:r>
          </w:p>
          <w:p w:rsidR="00D91C50" w:rsidRPr="00927E8A" w:rsidRDefault="00D91C50" w:rsidP="00B5290C">
            <w:pPr>
              <w:pStyle w:val="PPVTableText"/>
            </w:pPr>
            <w:r w:rsidRPr="00927E8A">
              <w:t>Exemptions for continuing industrial or warehouse uses</w:t>
            </w:r>
          </w:p>
          <w:p w:rsidR="00D91C50" w:rsidRPr="00927E8A" w:rsidRDefault="00D91C50" w:rsidP="00B5290C">
            <w:pPr>
              <w:pStyle w:val="PPVTableText"/>
            </w:pPr>
            <w:r w:rsidRPr="00927E8A">
              <w:t>Exemption from FARs for amendments to existing permits, provided level of non-compliance is not increased</w:t>
            </w:r>
          </w:p>
        </w:tc>
      </w:tr>
      <w:tr w:rsidR="00D91C50" w:rsidRPr="00794135"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2D1D6D" w:rsidRDefault="00D91C50" w:rsidP="00B5290C">
            <w:pPr>
              <w:pStyle w:val="PPVTableHeader2"/>
            </w:pPr>
            <w:r w:rsidRPr="002D1D6D">
              <w:t xml:space="preserve">List of things for which no permit required </w:t>
            </w:r>
          </w:p>
        </w:tc>
      </w:tr>
      <w:tr w:rsidR="00D91C50" w:rsidRPr="006A4D79" w:rsidTr="00B5290C">
        <w:trPr>
          <w:cantSplit/>
        </w:trPr>
        <w:tc>
          <w:tcPr>
            <w:tcW w:w="1496" w:type="pct"/>
            <w:gridSpan w:val="2"/>
            <w:tcBorders>
              <w:top w:val="dotted" w:sz="4" w:space="0" w:color="auto"/>
              <w:bottom w:val="dotted" w:sz="4" w:space="0" w:color="auto"/>
            </w:tcBorders>
            <w:shd w:val="clear" w:color="auto" w:fill="auto"/>
          </w:tcPr>
          <w:p w:rsidR="00D91C50" w:rsidRPr="002D1D6D" w:rsidRDefault="00D91C50" w:rsidP="00B5290C">
            <w:pPr>
              <w:pStyle w:val="PPVTableText"/>
            </w:pPr>
            <w:r w:rsidRPr="002D1D6D">
              <w:t>List of matters for which no permit required</w:t>
            </w:r>
          </w:p>
        </w:tc>
        <w:tc>
          <w:tcPr>
            <w:tcW w:w="1497" w:type="pct"/>
            <w:tcBorders>
              <w:top w:val="dotted" w:sz="4" w:space="0" w:color="auto"/>
              <w:bottom w:val="dotted" w:sz="4" w:space="0" w:color="auto"/>
            </w:tcBorders>
            <w:shd w:val="clear" w:color="auto" w:fill="auto"/>
          </w:tcPr>
          <w:p w:rsidR="00D91C50" w:rsidRPr="002D1D6D" w:rsidRDefault="00D91C50" w:rsidP="00B5290C">
            <w:pPr>
              <w:pStyle w:val="PPVTableText"/>
            </w:pPr>
            <w:r w:rsidRPr="002D1D6D">
              <w:t>No change</w:t>
            </w:r>
          </w:p>
        </w:tc>
        <w:tc>
          <w:tcPr>
            <w:tcW w:w="2007" w:type="pct"/>
            <w:tcBorders>
              <w:top w:val="dotted" w:sz="4" w:space="0" w:color="auto"/>
              <w:bottom w:val="dotted" w:sz="4" w:space="0" w:color="auto"/>
            </w:tcBorders>
          </w:tcPr>
          <w:p w:rsidR="00D91C50" w:rsidRPr="00927E8A" w:rsidRDefault="00D91C50" w:rsidP="00B5290C">
            <w:pPr>
              <w:pStyle w:val="PPVTableText"/>
            </w:pPr>
            <w:r w:rsidRPr="002D1D6D">
              <w:t>List reduced (to avoid duplication with other provisions in the scheme)</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 xml:space="preserve">Medium density residential </w:t>
            </w:r>
            <w:r>
              <w:t>a</w:t>
            </w:r>
            <w:r w:rsidRPr="00927E8A">
              <w:t>pplication requirement</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Not included</w:t>
            </w:r>
            <w:r>
              <w:t xml:space="preserve"> ––––––––––––––––––––</w:t>
            </w:r>
          </w:p>
        </w:tc>
        <w:tc>
          <w:tcPr>
            <w:tcW w:w="2007" w:type="pct"/>
            <w:tcBorders>
              <w:top w:val="dotted" w:sz="4" w:space="0" w:color="auto"/>
              <w:bottom w:val="dotted" w:sz="4" w:space="0" w:color="auto"/>
            </w:tcBorders>
          </w:tcPr>
          <w:p w:rsidR="00D91C50" w:rsidRPr="00927E8A" w:rsidRDefault="00D91C50" w:rsidP="00B5290C">
            <w:pPr>
              <w:pStyle w:val="PPVTableText"/>
            </w:pPr>
            <w:r>
              <w:t>A</w:t>
            </w:r>
            <w:r w:rsidRPr="00927E8A">
              <w:t>pplication</w:t>
            </w:r>
            <w:r>
              <w:t>s</w:t>
            </w:r>
            <w:r w:rsidRPr="00927E8A">
              <w:t xml:space="preserve"> to address </w:t>
            </w:r>
            <w:r>
              <w:t xml:space="preserve">Clause </w:t>
            </w:r>
            <w:r w:rsidRPr="00927E8A">
              <w:t>55</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Third pipe systems and rainwater tanks</w:t>
            </w:r>
            <w:r>
              <w:t xml:space="preserve"> mandatory permit conditions</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Not included</w:t>
            </w:r>
            <w:r>
              <w:t xml:space="preserve"> ––––––––––––––––––––</w:t>
            </w:r>
          </w:p>
        </w:tc>
        <w:tc>
          <w:tcPr>
            <w:tcW w:w="2007" w:type="pct"/>
            <w:tcBorders>
              <w:top w:val="dotted" w:sz="4" w:space="0" w:color="auto"/>
              <w:bottom w:val="dotted" w:sz="4" w:space="0" w:color="auto"/>
            </w:tcBorders>
          </w:tcPr>
          <w:p w:rsidR="00D91C50" w:rsidRPr="00927E8A" w:rsidRDefault="00D91C50" w:rsidP="00B5290C">
            <w:pPr>
              <w:pStyle w:val="PPVTableText"/>
            </w:pPr>
            <w:r>
              <w:t>I</w:t>
            </w:r>
            <w:r w:rsidRPr="00927E8A">
              <w:t>ncluded (shifted from local policy)</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Addressing local policy</w:t>
            </w:r>
            <w:r>
              <w:t xml:space="preserve"> a</w:t>
            </w:r>
            <w:r w:rsidRPr="00927E8A">
              <w:t>pplication requir</w:t>
            </w:r>
            <w:r>
              <w:t>ement</w:t>
            </w:r>
          </w:p>
        </w:tc>
      </w:tr>
      <w:tr w:rsidR="00D91C50" w:rsidRPr="006A4D79" w:rsidTr="00B5290C">
        <w:trPr>
          <w:cantSplit/>
        </w:trPr>
        <w:tc>
          <w:tcPr>
            <w:tcW w:w="2993" w:type="pct"/>
            <w:gridSpan w:val="3"/>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Not included</w:t>
            </w:r>
            <w:r>
              <w:t xml:space="preserve"> ––––––––––––––––––––</w:t>
            </w:r>
          </w:p>
        </w:tc>
        <w:tc>
          <w:tcPr>
            <w:tcW w:w="2007" w:type="pct"/>
            <w:tcBorders>
              <w:top w:val="dotted" w:sz="4" w:space="0" w:color="auto"/>
              <w:bottom w:val="dotted" w:sz="4" w:space="0" w:color="auto"/>
            </w:tcBorders>
          </w:tcPr>
          <w:p w:rsidR="00D91C50" w:rsidRPr="00927E8A" w:rsidRDefault="00D91C50" w:rsidP="00B5290C">
            <w:pPr>
              <w:pStyle w:val="PPVTableText"/>
            </w:pPr>
            <w:r w:rsidRPr="00927E8A">
              <w:t>Application</w:t>
            </w:r>
            <w:r>
              <w:t>s to detail how they</w:t>
            </w:r>
            <w:r w:rsidRPr="00927E8A">
              <w:t xml:space="preserve"> respond to local policy</w:t>
            </w:r>
          </w:p>
        </w:tc>
      </w:tr>
      <w:tr w:rsidR="00D91C50" w:rsidRPr="006A4D79" w:rsidTr="00B5290C">
        <w:trPr>
          <w:cantSplit/>
        </w:trPr>
        <w:tc>
          <w:tcPr>
            <w:tcW w:w="5000" w:type="pct"/>
            <w:gridSpan w:val="4"/>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Maps</w:t>
            </w:r>
          </w:p>
        </w:tc>
      </w:tr>
      <w:tr w:rsidR="00D91C50" w:rsidRPr="006A4D79" w:rsidTr="00B5290C">
        <w:trPr>
          <w:cantSplit/>
        </w:trPr>
        <w:tc>
          <w:tcPr>
            <w:tcW w:w="1371" w:type="pct"/>
            <w:tcBorders>
              <w:top w:val="dotted" w:sz="4" w:space="0" w:color="auto"/>
            </w:tcBorders>
            <w:shd w:val="clear" w:color="auto" w:fill="auto"/>
          </w:tcPr>
          <w:p w:rsidR="00D91C50" w:rsidRPr="00927E8A" w:rsidRDefault="00D91C50" w:rsidP="00B5290C">
            <w:pPr>
              <w:pStyle w:val="PPVTableText"/>
            </w:pPr>
            <w:r w:rsidRPr="00927E8A">
              <w:t xml:space="preserve">Separate maps for core areas and active street frontages; street and laneway layouts); open space layout </w:t>
            </w:r>
          </w:p>
        </w:tc>
        <w:tc>
          <w:tcPr>
            <w:tcW w:w="3629" w:type="pct"/>
            <w:gridSpan w:val="3"/>
            <w:tcBorders>
              <w:top w:val="dotted" w:sz="4" w:space="0" w:color="auto"/>
            </w:tcBorders>
          </w:tcPr>
          <w:p w:rsidR="00D91C50" w:rsidRPr="00927E8A" w:rsidRDefault="00D91C50" w:rsidP="00B5290C">
            <w:pPr>
              <w:pStyle w:val="PPVTableText"/>
            </w:pPr>
            <w:r w:rsidRPr="00927E8A">
              <w:t xml:space="preserve">Maps updated to provide one map per precinct, consolidating all information from previous maps and adding private open space; potential </w:t>
            </w:r>
            <w:r w:rsidR="00827876">
              <w:t>M</w:t>
            </w:r>
            <w:r w:rsidRPr="00927E8A">
              <w:t xml:space="preserve">etro stations; existing and future tram corridors; new bridges/bridge upgrades; road closures; potential freight alignment; community hub investigation areas </w:t>
            </w:r>
          </w:p>
        </w:tc>
      </w:tr>
    </w:tbl>
    <w:p w:rsidR="00D91C50" w:rsidRDefault="00D91C50" w:rsidP="00D91C50">
      <w:pPr>
        <w:pStyle w:val="Caption"/>
      </w:pPr>
      <w:bookmarkStart w:id="102" w:name="_Toc519710354"/>
      <w:bookmarkStart w:id="103" w:name="_Toc519439819"/>
      <w:bookmarkStart w:id="104" w:name="_Toc519719131"/>
      <w:r>
        <w:t xml:space="preserve">Table </w:t>
      </w:r>
      <w:fldSimple w:instr=" SEQ Table \* ARABIC ">
        <w:r w:rsidR="00A307EC">
          <w:rPr>
            <w:noProof/>
          </w:rPr>
          <w:t>6</w:t>
        </w:r>
      </w:fldSimple>
      <w:r>
        <w:t>:</w:t>
      </w:r>
      <w:r>
        <w:tab/>
      </w:r>
      <w:bookmarkEnd w:id="102"/>
      <w:r w:rsidR="00ED1EB4">
        <w:t xml:space="preserve">Changes to the </w:t>
      </w:r>
      <w:r w:rsidR="00FF5FCC">
        <w:t>DDO</w:t>
      </w:r>
      <w:bookmarkEnd w:id="103"/>
      <w:bookmarkEnd w:id="104"/>
    </w:p>
    <w:tbl>
      <w:tblPr>
        <w:tblW w:w="5000" w:type="pct"/>
        <w:tblBorders>
          <w:bottom w:val="single" w:sz="12" w:space="0" w:color="215868"/>
          <w:insideH w:val="dotted" w:sz="4" w:space="0" w:color="auto"/>
        </w:tblBorders>
        <w:tblLayout w:type="fixed"/>
        <w:tblLook w:val="04A0" w:firstRow="1" w:lastRow="0" w:firstColumn="1" w:lastColumn="0" w:noHBand="0" w:noVBand="1"/>
      </w:tblPr>
      <w:tblGrid>
        <w:gridCol w:w="3061"/>
        <w:gridCol w:w="33"/>
        <w:gridCol w:w="3027"/>
        <w:gridCol w:w="69"/>
        <w:gridCol w:w="2990"/>
        <w:gridCol w:w="106"/>
      </w:tblGrid>
      <w:tr w:rsidR="00D91C50" w:rsidRPr="006A4D79" w:rsidTr="00B5290C">
        <w:trPr>
          <w:cantSplit/>
          <w:tblHeader/>
        </w:trPr>
        <w:tc>
          <w:tcPr>
            <w:tcW w:w="1666" w:type="pct"/>
            <w:gridSpan w:val="2"/>
            <w:tcBorders>
              <w:top w:val="nil"/>
              <w:bottom w:val="dotted" w:sz="4" w:space="0" w:color="auto"/>
            </w:tcBorders>
            <w:shd w:val="clear" w:color="auto" w:fill="215868"/>
            <w:vAlign w:val="bottom"/>
          </w:tcPr>
          <w:p w:rsidR="00D91C50" w:rsidRPr="00927E8A" w:rsidRDefault="00D91C50" w:rsidP="00B5290C">
            <w:pPr>
              <w:pStyle w:val="PPVTableHeader"/>
            </w:pPr>
            <w:r>
              <w:t>Part A</w:t>
            </w:r>
          </w:p>
        </w:tc>
        <w:tc>
          <w:tcPr>
            <w:tcW w:w="1667" w:type="pct"/>
            <w:gridSpan w:val="2"/>
            <w:tcBorders>
              <w:top w:val="nil"/>
              <w:bottom w:val="dotted" w:sz="4" w:space="0" w:color="auto"/>
            </w:tcBorders>
            <w:shd w:val="clear" w:color="auto" w:fill="215868"/>
            <w:vAlign w:val="bottom"/>
          </w:tcPr>
          <w:p w:rsidR="00D91C50" w:rsidRDefault="00D91C50" w:rsidP="00B5290C">
            <w:pPr>
              <w:pStyle w:val="PPVTableHeader"/>
            </w:pPr>
            <w:r w:rsidRPr="00927E8A">
              <w:t xml:space="preserve">Combined Part C version </w:t>
            </w:r>
          </w:p>
        </w:tc>
        <w:tc>
          <w:tcPr>
            <w:tcW w:w="1667" w:type="pct"/>
            <w:gridSpan w:val="2"/>
            <w:tcBorders>
              <w:top w:val="nil"/>
              <w:bottom w:val="dotted" w:sz="4" w:space="0" w:color="auto"/>
            </w:tcBorders>
            <w:shd w:val="clear" w:color="auto" w:fill="215868"/>
            <w:vAlign w:val="bottom"/>
          </w:tcPr>
          <w:p w:rsidR="00D91C50" w:rsidRDefault="00D91C50" w:rsidP="00B5290C">
            <w:pPr>
              <w:pStyle w:val="PPVTableHeader"/>
            </w:pPr>
            <w:r w:rsidRPr="00927E8A">
              <w:t>Precinct</w:t>
            </w:r>
            <w:r w:rsidR="00165DB1">
              <w:t xml:space="preserve"> </w:t>
            </w:r>
            <w:r w:rsidRPr="00927E8A">
              <w:t xml:space="preserve">specific Part C versions </w:t>
            </w:r>
          </w:p>
        </w:tc>
      </w:tr>
      <w:tr w:rsidR="00D91C50" w:rsidRPr="006A4D79" w:rsidTr="00B5290C">
        <w:trPr>
          <w:cantSplit/>
        </w:trPr>
        <w:tc>
          <w:tcPr>
            <w:tcW w:w="5000" w:type="pct"/>
            <w:gridSpan w:val="6"/>
            <w:tcBorders>
              <w:top w:val="dotted" w:sz="4" w:space="0" w:color="auto"/>
              <w:bottom w:val="dotted" w:sz="4" w:space="0" w:color="auto"/>
            </w:tcBorders>
            <w:shd w:val="clear" w:color="auto" w:fill="auto"/>
          </w:tcPr>
          <w:p w:rsidR="00D91C50" w:rsidRDefault="00D91C50" w:rsidP="00B5290C">
            <w:pPr>
              <w:pStyle w:val="PPVTableText"/>
            </w:pPr>
            <w:r w:rsidRPr="00927E8A">
              <w:t>No changes to text in Part B version, but amended DDO maps were table</w:t>
            </w:r>
            <w:r>
              <w:t>d</w:t>
            </w:r>
          </w:p>
          <w:p w:rsidR="00ED1EB4" w:rsidRPr="00927E8A" w:rsidRDefault="00ED1EB4" w:rsidP="00B5290C">
            <w:pPr>
              <w:pStyle w:val="PPVTableText"/>
            </w:pPr>
            <w:r>
              <w:t>T</w:t>
            </w:r>
            <w:r w:rsidRPr="00927E8A">
              <w:t xml:space="preserve">able </w:t>
            </w:r>
            <w:r>
              <w:t xml:space="preserve">6 </w:t>
            </w:r>
            <w:r w:rsidRPr="00927E8A">
              <w:t>does not summarise changes made to metrics of the built form controls</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Default="00D91C50" w:rsidP="00B5290C">
            <w:pPr>
              <w:pStyle w:val="PPVTableHeader2"/>
            </w:pPr>
            <w:r w:rsidRPr="00927E8A">
              <w:t>Combined/</w:t>
            </w:r>
            <w:r>
              <w:t xml:space="preserve"> </w:t>
            </w:r>
            <w:r w:rsidRPr="00927E8A">
              <w:t>separate</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 xml:space="preserve">Single </w:t>
            </w:r>
            <w:r>
              <w:t>DDO for all</w:t>
            </w:r>
            <w:r w:rsidRPr="00927E8A">
              <w:t xml:space="preserve"> </w:t>
            </w:r>
            <w:r w:rsidR="00827876">
              <w:t>P</w:t>
            </w:r>
            <w:r w:rsidRPr="00927E8A">
              <w:t>recincts</w:t>
            </w:r>
            <w:r>
              <w:t xml:space="preserve">  –––––––––––––––––––––</w:t>
            </w:r>
          </w:p>
        </w:tc>
        <w:tc>
          <w:tcPr>
            <w:tcW w:w="1667" w:type="pct"/>
            <w:gridSpan w:val="2"/>
            <w:tcBorders>
              <w:top w:val="dotted" w:sz="4" w:space="0" w:color="auto"/>
              <w:bottom w:val="dotted" w:sz="4" w:space="0" w:color="auto"/>
            </w:tcBorders>
            <w:shd w:val="clear" w:color="auto" w:fill="auto"/>
          </w:tcPr>
          <w:p w:rsidR="00D91C50" w:rsidRDefault="00D91C50" w:rsidP="00B5290C">
            <w:pPr>
              <w:pStyle w:val="PPVTableText"/>
            </w:pPr>
            <w:r w:rsidRPr="00927E8A">
              <w:t xml:space="preserve">DDOs for each precinct </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Permit exemptions</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rsidRPr="00927E8A">
              <w:t>Clause 2.0 listed permit exemptions for a number of minor works</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Deleted former categories of minor works already listed in Clause 62.01; added verandas, awnings, sunblinds or canopies</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ResCode</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rsidRPr="00927E8A">
              <w:t>Requirement that buildings and works for dwellings meet the requirements of Clauses 54 and 55</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t>Deleted</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lastRenderedPageBreak/>
              <w:t>Definitions</w:t>
            </w:r>
          </w:p>
        </w:tc>
      </w:tr>
      <w:tr w:rsidR="00D91C50" w:rsidRPr="006A4D79" w:rsidTr="00B5290C">
        <w:trPr>
          <w:cantSplit/>
        </w:trPr>
        <w:tc>
          <w:tcPr>
            <w:tcW w:w="1666"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Scattered throughout the DDO</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Consolidated into one location</w:t>
            </w:r>
          </w:p>
          <w:p w:rsidR="00D91C50" w:rsidRDefault="00D91C50" w:rsidP="00B5290C">
            <w:pPr>
              <w:pStyle w:val="PPVTableText"/>
            </w:pPr>
            <w:r w:rsidRPr="00927E8A">
              <w:t>New definitions of amenity wall, non-amenity wall and building separation distance added</w:t>
            </w:r>
          </w:p>
          <w:p w:rsidR="00D91C50" w:rsidRPr="00927E8A" w:rsidRDefault="00D91C50" w:rsidP="00B5290C">
            <w:pPr>
              <w:pStyle w:val="PPVTableText"/>
            </w:pPr>
            <w:r w:rsidRPr="00927E8A">
              <w:t>Definition of street wall height altered</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Definitions of amenity wall, non-amenity wall, building separation distance, gross developable area, residential floor area deleted</w:t>
            </w:r>
          </w:p>
          <w:p w:rsidR="00D91C50" w:rsidRPr="00927E8A" w:rsidRDefault="00D91C50" w:rsidP="00B5290C">
            <w:pPr>
              <w:pStyle w:val="PPVTableText"/>
              <w:rPr>
                <w:b/>
              </w:rPr>
            </w:pPr>
            <w:r w:rsidRPr="00927E8A">
              <w:t>Definition of net developable site area added to Wirraway DDO, omitted from others in error</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Building typologies</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Not included</w:t>
            </w:r>
            <w:r>
              <w:t xml:space="preserve"> –––––––––––––––––––––––</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rPr>
                <w:b/>
              </w:rPr>
            </w:pPr>
            <w:r w:rsidRPr="00927E8A">
              <w:t>Included (based on building typologies formerly described MSSs, but wording has been altered)</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Built form requirements and outcomes</w:t>
            </w:r>
          </w:p>
        </w:tc>
      </w:tr>
      <w:tr w:rsidR="00D91C50" w:rsidRPr="006A4D79" w:rsidTr="00B5290C">
        <w:trPr>
          <w:cantSplit/>
        </w:trPr>
        <w:tc>
          <w:tcPr>
            <w:tcW w:w="1666"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Requirements expressed in text, some identified as requirements, others not</w:t>
            </w:r>
          </w:p>
          <w:p w:rsidR="00D91C50" w:rsidRPr="00927E8A" w:rsidRDefault="00D91C50" w:rsidP="00B5290C">
            <w:pPr>
              <w:pStyle w:val="PPVTableText"/>
            </w:pPr>
            <w:r w:rsidRPr="00927E8A">
              <w:t>Outcomes expressed in text, buildings should satisfy the outcomes</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Restructured to tabulate requirements and outcomes</w:t>
            </w:r>
          </w:p>
          <w:p w:rsidR="00D91C50" w:rsidRPr="00927E8A" w:rsidRDefault="00D91C50" w:rsidP="00B5290C">
            <w:pPr>
              <w:pStyle w:val="PPVTableText"/>
            </w:pPr>
            <w:r w:rsidRPr="00927E8A">
              <w:t>General requirements added that buildings must meet the requirements and should achieve the outcomes</w:t>
            </w:r>
          </w:p>
          <w:p w:rsidR="00D91C50" w:rsidRPr="00927E8A" w:rsidRDefault="00D91C50" w:rsidP="00B5290C">
            <w:pPr>
              <w:pStyle w:val="PPVTableText"/>
            </w:pPr>
            <w:r w:rsidRPr="00927E8A">
              <w:t>Outcomes varied from the Part A version</w:t>
            </w:r>
          </w:p>
        </w:tc>
        <w:tc>
          <w:tcPr>
            <w:tcW w:w="1667" w:type="pct"/>
            <w:gridSpan w:val="2"/>
            <w:tcBorders>
              <w:top w:val="dotted" w:sz="4" w:space="0" w:color="auto"/>
              <w:bottom w:val="dotted" w:sz="4" w:space="0" w:color="auto"/>
            </w:tcBorders>
            <w:shd w:val="clear" w:color="auto" w:fill="auto"/>
          </w:tcPr>
          <w:p w:rsidR="00D91C50" w:rsidRDefault="00D91C50" w:rsidP="00B5290C">
            <w:pPr>
              <w:pStyle w:val="PPVTableText"/>
            </w:pPr>
            <w:r w:rsidRPr="00927E8A">
              <w:t>Deleted general requirements that buildings must meet the requirements and should achieve the outcomes</w:t>
            </w:r>
          </w:p>
          <w:p w:rsidR="00D91C50" w:rsidRPr="00927E8A" w:rsidRDefault="00D91C50" w:rsidP="00B5290C">
            <w:pPr>
              <w:pStyle w:val="PPVTableText"/>
            </w:pPr>
            <w:r w:rsidRPr="00927E8A">
              <w:t>Some built form outcomes changed from ‘should’ to ‘must’</w:t>
            </w:r>
          </w:p>
          <w:p w:rsidR="00D91C50" w:rsidRPr="00927E8A" w:rsidRDefault="00D91C50" w:rsidP="00B5290C">
            <w:pPr>
              <w:pStyle w:val="PPVTableText"/>
              <w:rPr>
                <w:b/>
              </w:rPr>
            </w:pPr>
            <w:r w:rsidRPr="00927E8A">
              <w:t>Outcomes varied from the combined Part C version, and in several cases new outcomes introduced</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Identifying mandatory and discretionary controls</w:t>
            </w:r>
          </w:p>
        </w:tc>
      </w:tr>
      <w:tr w:rsidR="00D91C50" w:rsidRPr="006A4D79" w:rsidTr="00B5290C">
        <w:trPr>
          <w:cantSplit/>
        </w:trPr>
        <w:tc>
          <w:tcPr>
            <w:tcW w:w="1666" w:type="pct"/>
            <w:gridSpan w:val="2"/>
            <w:tcBorders>
              <w:top w:val="dotted" w:sz="4" w:space="0" w:color="auto"/>
            </w:tcBorders>
            <w:shd w:val="clear" w:color="auto" w:fill="auto"/>
          </w:tcPr>
          <w:p w:rsidR="00D91C50" w:rsidRPr="00927E8A" w:rsidRDefault="00D91C50" w:rsidP="00B5290C">
            <w:pPr>
              <w:pStyle w:val="PPVTableText"/>
            </w:pPr>
            <w:r w:rsidRPr="00927E8A">
              <w:t>Controls expressed in text</w:t>
            </w:r>
          </w:p>
          <w:p w:rsidR="00D91C50" w:rsidRPr="00927E8A" w:rsidRDefault="00D91C50" w:rsidP="00B5290C">
            <w:pPr>
              <w:pStyle w:val="PPVTableText"/>
            </w:pPr>
            <w:r w:rsidRPr="00927E8A">
              <w:t>‘Must’ and ‘should’ both used for mandatory and discretionary controls</w:t>
            </w:r>
          </w:p>
          <w:p w:rsidR="00D91C50" w:rsidRPr="00927E8A" w:rsidRDefault="00D91C50" w:rsidP="00B5290C">
            <w:pPr>
              <w:pStyle w:val="PPVTableText"/>
            </w:pPr>
            <w:r w:rsidRPr="00927E8A">
              <w:t xml:space="preserve">Mandatory controls identified by ‘a permit cannot be granted to vary this requirement’ </w:t>
            </w:r>
          </w:p>
        </w:tc>
        <w:tc>
          <w:tcPr>
            <w:tcW w:w="1667" w:type="pct"/>
            <w:gridSpan w:val="2"/>
            <w:tcBorders>
              <w:top w:val="dotted" w:sz="4" w:space="0" w:color="auto"/>
            </w:tcBorders>
            <w:shd w:val="clear" w:color="auto" w:fill="auto"/>
          </w:tcPr>
          <w:p w:rsidR="00D91C50" w:rsidRDefault="00D91C50" w:rsidP="00B5290C">
            <w:pPr>
              <w:pStyle w:val="PPVTableText"/>
            </w:pPr>
            <w:r w:rsidRPr="00927E8A">
              <w:t>Controls expressed as a built form requirement in tables</w:t>
            </w:r>
          </w:p>
          <w:p w:rsidR="00D91C50" w:rsidRPr="00927E8A" w:rsidRDefault="00D91C50" w:rsidP="00B5290C">
            <w:pPr>
              <w:pStyle w:val="PPVTableText"/>
            </w:pPr>
            <w:r w:rsidRPr="00927E8A">
              <w:t>Discretionary controls generally expressed as ‘must’ meet the built form requirements</w:t>
            </w:r>
          </w:p>
          <w:p w:rsidR="00D91C50" w:rsidRDefault="00D91C50" w:rsidP="00B5290C">
            <w:pPr>
              <w:pStyle w:val="PPVTableText"/>
            </w:pPr>
            <w:r w:rsidRPr="00927E8A">
              <w:t>Some controls (eg setbacks above street wall heights) have both discretionary and mandatory built form requirement; ‘must’ meet the mandatory requirements and ‘should’ meet the discretionary requirements</w:t>
            </w:r>
          </w:p>
          <w:p w:rsidR="00D91C50" w:rsidRDefault="00D91C50" w:rsidP="00B5290C">
            <w:pPr>
              <w:pStyle w:val="PPVTableText"/>
            </w:pPr>
            <w:r w:rsidRPr="00927E8A">
              <w:t>Mandatory controls continue to be identified by ‘a permit cannot be granted to vary this requirement’</w:t>
            </w:r>
          </w:p>
          <w:p w:rsidR="00D91C50" w:rsidRPr="00927E8A" w:rsidRDefault="00D91C50" w:rsidP="00B5290C">
            <w:pPr>
              <w:pStyle w:val="PPVTableText"/>
            </w:pPr>
            <w:r w:rsidRPr="00927E8A">
              <w:t>No change to what is mandatory and what is discretionary</w:t>
            </w:r>
          </w:p>
        </w:tc>
        <w:tc>
          <w:tcPr>
            <w:tcW w:w="1667" w:type="pct"/>
            <w:gridSpan w:val="2"/>
            <w:tcBorders>
              <w:top w:val="dotted" w:sz="4" w:space="0" w:color="auto"/>
            </w:tcBorders>
            <w:shd w:val="clear" w:color="auto" w:fill="auto"/>
          </w:tcPr>
          <w:p w:rsidR="00D91C50" w:rsidRPr="00927E8A" w:rsidRDefault="00D91C50" w:rsidP="00B5290C">
            <w:pPr>
              <w:pStyle w:val="PPVTableText"/>
            </w:pPr>
            <w:r w:rsidRPr="00927E8A">
              <w:t>New introductory words introduced identifying built form requirements expressed as ‘must’ as mandatory, and built form requirements expressed as ‘should’ as discretionary</w:t>
            </w:r>
          </w:p>
          <w:p w:rsidR="00D91C50" w:rsidRDefault="00D91C50" w:rsidP="00B5290C">
            <w:pPr>
              <w:pStyle w:val="PPVTableText"/>
            </w:pPr>
            <w:r w:rsidRPr="00927E8A">
              <w:t>New general requirement that buildings and works ‘must’ achieve the relevant built form outcomes</w:t>
            </w:r>
          </w:p>
          <w:p w:rsidR="00D91C50" w:rsidRPr="00927E8A" w:rsidRDefault="00D91C50" w:rsidP="00B5290C">
            <w:pPr>
              <w:pStyle w:val="PPVTableText"/>
              <w:rPr>
                <w:b/>
              </w:rPr>
            </w:pPr>
            <w:r w:rsidRPr="00927E8A">
              <w:t>Mandatory controls continue to be identified by ‘a permit cannot be granted to vary this requirement’, but this is expressed as a general requirement at the start of the DDO, not individual requirements in the ta</w:t>
            </w:r>
            <w:r>
              <w:t>bles of built form requirements</w:t>
            </w:r>
          </w:p>
        </w:tc>
      </w:tr>
      <w:tr w:rsidR="00D91C50" w:rsidRPr="006A4D79" w:rsidTr="00B5290C">
        <w:trPr>
          <w:cantSplit/>
        </w:trPr>
        <w:tc>
          <w:tcPr>
            <w:tcW w:w="5000" w:type="pct"/>
            <w:gridSpan w:val="6"/>
            <w:shd w:val="clear" w:color="auto" w:fill="D9D9D9" w:themeFill="background1" w:themeFillShade="D9"/>
          </w:tcPr>
          <w:p w:rsidR="00D91C50" w:rsidRPr="00927E8A" w:rsidRDefault="00D91C50" w:rsidP="00B5290C">
            <w:pPr>
              <w:pStyle w:val="PPVTableHeader2"/>
            </w:pPr>
            <w:r w:rsidRPr="00927E8A">
              <w:t>Metrics/measures for building heights, street wall heights, setbacks, overshadowing etc</w:t>
            </w:r>
          </w:p>
        </w:tc>
      </w:tr>
      <w:tr w:rsidR="00D91C50" w:rsidRPr="006A4D79" w:rsidTr="00B5290C">
        <w:trPr>
          <w:cantSplit/>
        </w:trPr>
        <w:tc>
          <w:tcPr>
            <w:tcW w:w="1666" w:type="pct"/>
            <w:gridSpan w:val="2"/>
            <w:tcBorders>
              <w:bottom w:val="dotted" w:sz="4" w:space="0" w:color="auto"/>
            </w:tcBorders>
            <w:shd w:val="clear" w:color="auto" w:fill="auto"/>
          </w:tcPr>
          <w:p w:rsidR="00D91C50" w:rsidRPr="00927E8A" w:rsidRDefault="00D91C50" w:rsidP="00B5290C">
            <w:pPr>
              <w:pStyle w:val="PPVTableText"/>
            </w:pPr>
            <w:r w:rsidRPr="00927E8A">
              <w:t>Described in text only except for overshadowin</w:t>
            </w:r>
            <w:r>
              <w:t>g which were shown in a table</w:t>
            </w:r>
          </w:p>
        </w:tc>
        <w:tc>
          <w:tcPr>
            <w:tcW w:w="3334" w:type="pct"/>
            <w:gridSpan w:val="4"/>
            <w:tcBorders>
              <w:bottom w:val="dotted" w:sz="4" w:space="0" w:color="auto"/>
            </w:tcBorders>
            <w:shd w:val="clear" w:color="auto" w:fill="auto"/>
          </w:tcPr>
          <w:p w:rsidR="00D91C50" w:rsidRPr="00431492" w:rsidRDefault="00431492" w:rsidP="00B5290C">
            <w:pPr>
              <w:pStyle w:val="PPVTableText"/>
            </w:pPr>
            <w:r w:rsidRPr="00431492">
              <w:t xml:space="preserve">Presented the text in </w:t>
            </w:r>
            <w:r w:rsidR="00D91C50" w:rsidRPr="00431492">
              <w:t>tabular form</w:t>
            </w:r>
          </w:p>
          <w:p w:rsidR="00D91C50" w:rsidRPr="002D1D6D" w:rsidRDefault="00D91C50" w:rsidP="00B5290C">
            <w:pPr>
              <w:pStyle w:val="PPVTableText"/>
              <w:rPr>
                <w:highlight w:val="yellow"/>
              </w:rPr>
            </w:pPr>
            <w:r w:rsidRPr="00431492">
              <w:t>Diagrams included demonstrating heights, setbacks and building separation requirements</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lastRenderedPageBreak/>
              <w:t>Street wall heights</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All mandatory maximums, expressed in metres</w:t>
            </w:r>
            <w:r>
              <w:t xml:space="preserve"> ––––––––––</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Discretionary preferred street wall heights introduced (mandatory maximum street wall heights retained)</w:t>
            </w:r>
          </w:p>
          <w:p w:rsidR="00D91C50" w:rsidRPr="00927E8A" w:rsidRDefault="00D91C50" w:rsidP="00B5290C">
            <w:pPr>
              <w:pStyle w:val="PPVTableText"/>
            </w:pPr>
            <w:r w:rsidRPr="00927E8A">
              <w:t xml:space="preserve">Street wall heights expressed as storeys, not metres </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Setbacks above the street wall</w:t>
            </w:r>
          </w:p>
        </w:tc>
      </w:tr>
      <w:tr w:rsidR="00D91C50" w:rsidRPr="006A4D79" w:rsidTr="00B5290C">
        <w:trPr>
          <w:cantSplit/>
        </w:trPr>
        <w:tc>
          <w:tcPr>
            <w:tcW w:w="1666"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 xml:space="preserve">All mandatory minimums </w:t>
            </w:r>
          </w:p>
        </w:tc>
        <w:tc>
          <w:tcPr>
            <w:tcW w:w="3334"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rsidRPr="00927E8A">
              <w:t>Preferred setbacks introduced (mandatory minimums retained)</w:t>
            </w:r>
          </w:p>
          <w:p w:rsidR="00D91C50" w:rsidRPr="00927E8A" w:rsidRDefault="00D91C50" w:rsidP="00B5290C">
            <w:pPr>
              <w:pStyle w:val="PPVTableText"/>
              <w:rPr>
                <w:b/>
              </w:rPr>
            </w:pP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Side and rear setbacks</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All mandatory minimums, building heights expressed in metres</w:t>
            </w:r>
            <w:r>
              <w:t xml:space="preserve"> –––</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Discretionary preferred setbacks introduced (mandatory minimums retained)</w:t>
            </w:r>
          </w:p>
          <w:p w:rsidR="00D91C50" w:rsidRPr="00927E8A" w:rsidRDefault="00D91C50" w:rsidP="00B5290C">
            <w:pPr>
              <w:pStyle w:val="PPVTableText"/>
              <w:rPr>
                <w:b/>
              </w:rPr>
            </w:pPr>
            <w:r w:rsidRPr="00927E8A">
              <w:t>Different setbacks below and above the street wall introduced</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Building separation</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All mandatory minimums, building heights expressed in metres</w:t>
            </w:r>
            <w:r>
              <w:t xml:space="preserve"> ––––</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Discretionary preferred separations introduced (mandatory minimums retained)</w:t>
            </w:r>
          </w:p>
          <w:p w:rsidR="00D91C50" w:rsidRPr="00927E8A" w:rsidRDefault="00D91C50" w:rsidP="00B5290C">
            <w:pPr>
              <w:pStyle w:val="PPVTableText"/>
              <w:rPr>
                <w:b/>
              </w:rPr>
            </w:pPr>
            <w:r w:rsidRPr="00927E8A">
              <w:t>Different separations below and above the street wall introduced</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Overshadowing controls</w:t>
            </w:r>
          </w:p>
        </w:tc>
      </w:tr>
      <w:tr w:rsidR="00D91C50" w:rsidRPr="006A4D79" w:rsidTr="00B5290C">
        <w:trPr>
          <w:cantSplit/>
        </w:trPr>
        <w:tc>
          <w:tcPr>
            <w:tcW w:w="1666" w:type="pct"/>
            <w:gridSpan w:val="2"/>
            <w:tcBorders>
              <w:bottom w:val="dotted" w:sz="4" w:space="0" w:color="auto"/>
            </w:tcBorders>
            <w:shd w:val="clear" w:color="auto" w:fill="auto"/>
          </w:tcPr>
          <w:p w:rsidR="00D91C50" w:rsidRPr="00927E8A" w:rsidRDefault="00D91C50" w:rsidP="00B5290C">
            <w:pPr>
              <w:pStyle w:val="PPVTableText"/>
            </w:pPr>
            <w:r w:rsidRPr="00927E8A">
              <w:t>Expressed in table, by category (district park, precinct park, neighbourhood park)</w:t>
            </w:r>
          </w:p>
          <w:p w:rsidR="00D91C50" w:rsidRDefault="00D91C50" w:rsidP="00B5290C">
            <w:pPr>
              <w:pStyle w:val="PPVTableText"/>
            </w:pPr>
            <w:r w:rsidRPr="00927E8A">
              <w:t>Protection included for streets</w:t>
            </w:r>
          </w:p>
          <w:p w:rsidR="00D91C50" w:rsidRPr="00927E8A" w:rsidRDefault="00D91C50" w:rsidP="00B5290C">
            <w:pPr>
              <w:pStyle w:val="PPVTableText"/>
            </w:pPr>
            <w:r w:rsidRPr="00431492">
              <w:t xml:space="preserve">Protection included for existing residential zoned land outside </w:t>
            </w:r>
            <w:r w:rsidR="00007C27" w:rsidRPr="00431492">
              <w:t>Fishermans Bend</w:t>
            </w:r>
            <w:r w:rsidR="00007C27">
              <w:t xml:space="preserve"> </w:t>
            </w:r>
          </w:p>
        </w:tc>
        <w:tc>
          <w:tcPr>
            <w:tcW w:w="1667" w:type="pct"/>
            <w:gridSpan w:val="2"/>
            <w:tcBorders>
              <w:bottom w:val="dotted" w:sz="4" w:space="0" w:color="auto"/>
            </w:tcBorders>
            <w:shd w:val="clear" w:color="auto" w:fill="auto"/>
          </w:tcPr>
          <w:p w:rsidR="00D91C50" w:rsidRPr="00927E8A" w:rsidRDefault="00D91C50" w:rsidP="00B5290C">
            <w:pPr>
              <w:pStyle w:val="PPVTableText"/>
            </w:pPr>
            <w:r w:rsidRPr="00927E8A">
              <w:t>Table retained, but categories removed and areas shown as ‘A’, ‘B’ etc on DDO maps</w:t>
            </w:r>
          </w:p>
          <w:p w:rsidR="00D91C50" w:rsidRPr="00927E8A" w:rsidRDefault="00D91C50" w:rsidP="00B5290C">
            <w:pPr>
              <w:pStyle w:val="PPVTableText"/>
            </w:pPr>
            <w:r w:rsidRPr="00927E8A">
              <w:t>Protection for streets retained</w:t>
            </w:r>
          </w:p>
          <w:p w:rsidR="00D91C50" w:rsidRPr="00927E8A" w:rsidRDefault="00D91C50" w:rsidP="00B5290C">
            <w:pPr>
              <w:pStyle w:val="PPVTableText"/>
            </w:pPr>
            <w:r w:rsidRPr="00927E8A">
              <w:t xml:space="preserve">Protection for existing residential zoned land outside </w:t>
            </w:r>
            <w:r w:rsidR="00BF166F">
              <w:t>Fishermans Bend</w:t>
            </w:r>
            <w:r w:rsidRPr="00927E8A">
              <w:t xml:space="preserve"> retained</w:t>
            </w:r>
          </w:p>
        </w:tc>
        <w:tc>
          <w:tcPr>
            <w:tcW w:w="1667" w:type="pct"/>
            <w:gridSpan w:val="2"/>
            <w:tcBorders>
              <w:bottom w:val="dotted" w:sz="4" w:space="0" w:color="auto"/>
            </w:tcBorders>
            <w:shd w:val="clear" w:color="auto" w:fill="auto"/>
          </w:tcPr>
          <w:p w:rsidR="00D91C50" w:rsidRPr="00927E8A" w:rsidRDefault="00D91C50" w:rsidP="00B5290C">
            <w:pPr>
              <w:pStyle w:val="PPVTableText"/>
            </w:pPr>
            <w:r w:rsidRPr="00927E8A">
              <w:t>Table removed, overshadowing requirements mapped instead</w:t>
            </w:r>
          </w:p>
          <w:p w:rsidR="00D91C50" w:rsidRPr="00927E8A" w:rsidRDefault="00D91C50" w:rsidP="00B5290C">
            <w:pPr>
              <w:pStyle w:val="PPVTableText"/>
            </w:pPr>
            <w:r w:rsidRPr="00927E8A">
              <w:t>Text refers to overshadowing of streets, but maps do not show any overshadowing controls for streets</w:t>
            </w:r>
            <w:r w:rsidR="006D1F3C">
              <w:t xml:space="preserve"> apart from Plummer Street</w:t>
            </w:r>
          </w:p>
          <w:p w:rsidR="00D91C50" w:rsidRPr="00927E8A" w:rsidRDefault="00D91C50" w:rsidP="00B5290C">
            <w:pPr>
              <w:pStyle w:val="PPVTableText"/>
              <w:rPr>
                <w:b/>
              </w:rPr>
            </w:pPr>
            <w:r w:rsidRPr="00927E8A">
              <w:t xml:space="preserve">No protection for existing residential zoned land outside </w:t>
            </w:r>
            <w:r w:rsidR="00346B0A">
              <w:t xml:space="preserve">Fishermans Bend </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Site coverage requirements</w:t>
            </w:r>
          </w:p>
        </w:tc>
      </w:tr>
      <w:tr w:rsidR="00D91C50" w:rsidRPr="006A4D79" w:rsidTr="00B5290C">
        <w:trPr>
          <w:cantSplit/>
        </w:trPr>
        <w:tc>
          <w:tcPr>
            <w:tcW w:w="3333" w:type="pct"/>
            <w:gridSpan w:val="4"/>
            <w:tcBorders>
              <w:top w:val="dotted" w:sz="4" w:space="0" w:color="auto"/>
              <w:bottom w:val="dotted" w:sz="4" w:space="0" w:color="auto"/>
            </w:tcBorders>
            <w:shd w:val="clear" w:color="auto" w:fill="auto"/>
          </w:tcPr>
          <w:p w:rsidR="00D91C50" w:rsidRPr="00927E8A" w:rsidRDefault="00D91C50" w:rsidP="00B5290C">
            <w:pPr>
              <w:pStyle w:val="PPVTableText"/>
            </w:pPr>
            <w:r>
              <w:t xml:space="preserve">––––––––––––––––– </w:t>
            </w:r>
            <w:r w:rsidRPr="00927E8A">
              <w:t>Included for all non-core areas</w:t>
            </w:r>
            <w:r>
              <w:t xml:space="preserve"> –––––––––––––––––</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rPr>
                <w:b/>
              </w:rPr>
            </w:pPr>
            <w:r w:rsidRPr="00927E8A">
              <w:t>Removed</w:t>
            </w:r>
            <w:r>
              <w:t xml:space="preserve"> (but see landscaping requirements below)</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Landscaping requirements</w:t>
            </w:r>
          </w:p>
        </w:tc>
      </w:tr>
      <w:tr w:rsidR="00D91C50" w:rsidRPr="006A4D79" w:rsidTr="00B5290C">
        <w:trPr>
          <w:cantSplit/>
        </w:trPr>
        <w:tc>
          <w:tcPr>
            <w:tcW w:w="1666"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Included for all public, communal and private open space</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pPr>
            <w:r w:rsidRPr="00927E8A">
              <w:t>Additional requirement added that non-core areas in Sandridge and Wirraway include</w:t>
            </w:r>
            <w:r>
              <w:t xml:space="preserve"> </w:t>
            </w:r>
            <w:r w:rsidRPr="00927E8A">
              <w:t>30 per cent ground level outdoor open space or landscaping</w:t>
            </w:r>
          </w:p>
        </w:tc>
        <w:tc>
          <w:tcPr>
            <w:tcW w:w="1667" w:type="pct"/>
            <w:gridSpan w:val="2"/>
            <w:tcBorders>
              <w:top w:val="dotted" w:sz="4" w:space="0" w:color="auto"/>
              <w:bottom w:val="dotted" w:sz="4" w:space="0" w:color="auto"/>
            </w:tcBorders>
            <w:shd w:val="clear" w:color="auto" w:fill="auto"/>
          </w:tcPr>
          <w:p w:rsidR="00D91C50" w:rsidRPr="00927E8A" w:rsidRDefault="00D91C50" w:rsidP="00B5290C">
            <w:pPr>
              <w:pStyle w:val="PPVTableText"/>
              <w:rPr>
                <w:b/>
              </w:rPr>
            </w:pPr>
            <w:r w:rsidRPr="00927E8A">
              <w:t>Removed</w:t>
            </w:r>
          </w:p>
        </w:tc>
      </w:tr>
      <w:tr w:rsidR="00D91C50" w:rsidRPr="006A4D79" w:rsidTr="00B5290C">
        <w:trPr>
          <w:cantSplit/>
        </w:trPr>
        <w:tc>
          <w:tcPr>
            <w:tcW w:w="5000" w:type="pct"/>
            <w:gridSpan w:val="6"/>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lastRenderedPageBreak/>
              <w:t>Exemptions for continuing uses and amendments to existing permits</w:t>
            </w:r>
          </w:p>
        </w:tc>
      </w:tr>
      <w:tr w:rsidR="00D91C50" w:rsidRPr="006A4D79" w:rsidTr="00B5290C">
        <w:trPr>
          <w:cantSplit/>
        </w:trPr>
        <w:tc>
          <w:tcPr>
            <w:tcW w:w="3333" w:type="pct"/>
            <w:gridSpan w:val="4"/>
            <w:tcBorders>
              <w:top w:val="dotted" w:sz="4" w:space="0" w:color="auto"/>
            </w:tcBorders>
            <w:shd w:val="clear" w:color="auto" w:fill="auto"/>
          </w:tcPr>
          <w:p w:rsidR="00D91C50" w:rsidRPr="00927E8A" w:rsidRDefault="00D91C50" w:rsidP="00B5290C">
            <w:pPr>
              <w:pStyle w:val="PPVTableText"/>
            </w:pPr>
            <w:r>
              <w:softHyphen/>
            </w:r>
            <w:r>
              <w:softHyphen/>
            </w:r>
            <w:r>
              <w:softHyphen/>
              <w:t xml:space="preserve">––––––––––––––––––––––––– </w:t>
            </w:r>
            <w:r w:rsidRPr="00927E8A">
              <w:t>None included</w:t>
            </w:r>
            <w:r>
              <w:t xml:space="preserve"> ––––––––––––––––––––––</w:t>
            </w:r>
          </w:p>
          <w:p w:rsidR="00D91C50" w:rsidRPr="00927E8A" w:rsidRDefault="00D91C50" w:rsidP="00B5290C">
            <w:pPr>
              <w:pStyle w:val="PPVTableText"/>
            </w:pPr>
          </w:p>
        </w:tc>
        <w:tc>
          <w:tcPr>
            <w:tcW w:w="1667" w:type="pct"/>
            <w:gridSpan w:val="2"/>
            <w:tcBorders>
              <w:top w:val="dotted" w:sz="4" w:space="0" w:color="auto"/>
            </w:tcBorders>
            <w:shd w:val="clear" w:color="auto" w:fill="auto"/>
          </w:tcPr>
          <w:p w:rsidR="00D91C50" w:rsidRPr="00927E8A" w:rsidRDefault="00D91C50" w:rsidP="00B5290C">
            <w:pPr>
              <w:pStyle w:val="PPVTableText"/>
            </w:pPr>
            <w:r>
              <w:t>Exemptions</w:t>
            </w:r>
            <w:r w:rsidRPr="00927E8A">
              <w:t xml:space="preserve"> for applications associated with existing industrial uses which facilitate the urban renewal of Fishermans Bend, and amendments to permits issued before GC81 approval date</w:t>
            </w:r>
          </w:p>
        </w:tc>
      </w:tr>
      <w:tr w:rsidR="00D91C50" w:rsidRPr="006A4D79" w:rsidTr="00B5290C">
        <w:trPr>
          <w:gridAfter w:val="1"/>
          <w:wAfter w:w="57" w:type="pct"/>
        </w:trPr>
        <w:tc>
          <w:tcPr>
            <w:tcW w:w="4943" w:type="pct"/>
            <w:gridSpan w:val="5"/>
            <w:tcBorders>
              <w:top w:val="nil"/>
              <w:bottom w:val="dotted" w:sz="4" w:space="0" w:color="auto"/>
            </w:tcBorders>
            <w:shd w:val="clear" w:color="auto" w:fill="D9D9D9" w:themeFill="background1" w:themeFillShade="D9"/>
          </w:tcPr>
          <w:p w:rsidR="00D91C50" w:rsidRPr="00927E8A" w:rsidRDefault="00D91C50" w:rsidP="00B5290C">
            <w:pPr>
              <w:pStyle w:val="PPVTableHeader2"/>
            </w:pPr>
            <w:r w:rsidRPr="00927E8A">
              <w:t>Maps</w:t>
            </w:r>
          </w:p>
        </w:tc>
      </w:tr>
      <w:tr w:rsidR="00D91C50" w:rsidRPr="006A4D79" w:rsidTr="00B5290C">
        <w:trPr>
          <w:gridAfter w:val="1"/>
          <w:wAfter w:w="57" w:type="pct"/>
        </w:trPr>
        <w:tc>
          <w:tcPr>
            <w:tcW w:w="1648" w:type="pct"/>
            <w:tcBorders>
              <w:top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Separate maps for core areas and active street frontages (map 1); building heights (map 2); overshadowing (map 3)</w:t>
            </w:r>
          </w:p>
        </w:tc>
        <w:tc>
          <w:tcPr>
            <w:tcW w:w="1648" w:type="pct"/>
            <w:gridSpan w:val="2"/>
            <w:tcBorders>
              <w:top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 xml:space="preserve">Maps consolidated into one map per </w:t>
            </w:r>
            <w:r>
              <w:rPr>
                <w:rFonts w:asciiTheme="minorHAnsi" w:hAnsiTheme="minorHAnsi"/>
                <w:szCs w:val="20"/>
              </w:rPr>
              <w:t>P</w:t>
            </w:r>
            <w:r w:rsidRPr="00927E8A">
              <w:rPr>
                <w:rFonts w:asciiTheme="minorHAnsi" w:hAnsiTheme="minorHAnsi"/>
                <w:szCs w:val="20"/>
              </w:rPr>
              <w:t xml:space="preserve">recinct, showing all information from previous maps and adding existing and proposed roads, indicative (new) laneways and indicative (new) streets </w:t>
            </w:r>
          </w:p>
        </w:tc>
        <w:tc>
          <w:tcPr>
            <w:tcW w:w="1647" w:type="pct"/>
            <w:gridSpan w:val="2"/>
            <w:tcBorders>
              <w:top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 xml:space="preserve">Maps split into four separate maps per </w:t>
            </w:r>
            <w:r>
              <w:rPr>
                <w:rFonts w:asciiTheme="minorHAnsi" w:hAnsiTheme="minorHAnsi"/>
                <w:szCs w:val="20"/>
              </w:rPr>
              <w:t>P</w:t>
            </w:r>
            <w:r w:rsidRPr="00927E8A">
              <w:rPr>
                <w:rFonts w:asciiTheme="minorHAnsi" w:hAnsiTheme="minorHAnsi"/>
                <w:szCs w:val="20"/>
              </w:rPr>
              <w:t xml:space="preserve">recinct: building typologies (map 1, new); building heights and open space (map 2); active street frontages and new laneways (map 3); overshadowing (map 4) </w:t>
            </w:r>
          </w:p>
        </w:tc>
      </w:tr>
    </w:tbl>
    <w:p w:rsidR="00D91C50" w:rsidRDefault="00D91C50" w:rsidP="00D91C50">
      <w:pPr>
        <w:pStyle w:val="Caption"/>
      </w:pPr>
      <w:bookmarkStart w:id="105" w:name="_Toc519439820"/>
      <w:bookmarkStart w:id="106" w:name="_Toc519719132"/>
      <w:bookmarkStart w:id="107" w:name="_Toc519710355"/>
      <w:r>
        <w:t xml:space="preserve">Table </w:t>
      </w:r>
      <w:fldSimple w:instr=" SEQ Table \* ARABIC ">
        <w:r w:rsidR="00A307EC">
          <w:rPr>
            <w:noProof/>
          </w:rPr>
          <w:t>7</w:t>
        </w:r>
      </w:fldSimple>
      <w:r>
        <w:t>:</w:t>
      </w:r>
      <w:r>
        <w:tab/>
        <w:t>Changes to the DPO</w:t>
      </w:r>
      <w:bookmarkEnd w:id="105"/>
      <w:bookmarkEnd w:id="106"/>
      <w:bookmarkEnd w:id="107"/>
    </w:p>
    <w:tbl>
      <w:tblPr>
        <w:tblW w:w="4943" w:type="pct"/>
        <w:tblBorders>
          <w:bottom w:val="single" w:sz="12" w:space="0" w:color="215868"/>
          <w:insideH w:val="dotted" w:sz="4" w:space="0" w:color="auto"/>
        </w:tblBorders>
        <w:tblLayout w:type="fixed"/>
        <w:tblLook w:val="04A0" w:firstRow="1" w:lastRow="0" w:firstColumn="1" w:lastColumn="0" w:noHBand="0" w:noVBand="1"/>
      </w:tblPr>
      <w:tblGrid>
        <w:gridCol w:w="5919"/>
        <w:gridCol w:w="3261"/>
      </w:tblGrid>
      <w:tr w:rsidR="00D91C50" w:rsidRPr="00A90F8A" w:rsidTr="00B5290C">
        <w:trPr>
          <w:cantSplit/>
          <w:tblHeader/>
        </w:trPr>
        <w:tc>
          <w:tcPr>
            <w:tcW w:w="3224" w:type="pct"/>
            <w:tcBorders>
              <w:top w:val="nil"/>
              <w:bottom w:val="dotted" w:sz="4" w:space="0" w:color="auto"/>
            </w:tcBorders>
            <w:shd w:val="clear" w:color="auto" w:fill="215868"/>
            <w:vAlign w:val="bottom"/>
          </w:tcPr>
          <w:p w:rsidR="00D91C50" w:rsidRPr="00927E8A" w:rsidRDefault="00D91C50" w:rsidP="00B5290C">
            <w:pPr>
              <w:pStyle w:val="PPVTableHeader"/>
            </w:pPr>
            <w:r w:rsidRPr="00927E8A">
              <w:t>DPO</w:t>
            </w:r>
          </w:p>
        </w:tc>
        <w:tc>
          <w:tcPr>
            <w:tcW w:w="1776" w:type="pct"/>
            <w:tcBorders>
              <w:top w:val="nil"/>
              <w:bottom w:val="dotted" w:sz="4" w:space="0" w:color="auto"/>
            </w:tcBorders>
            <w:shd w:val="clear" w:color="auto" w:fill="215868"/>
            <w:vAlign w:val="bottom"/>
          </w:tcPr>
          <w:p w:rsidR="00D91C50" w:rsidRPr="00927E8A" w:rsidRDefault="00D91C50" w:rsidP="00B5290C">
            <w:pPr>
              <w:pStyle w:val="PPVTableHeader"/>
            </w:pPr>
          </w:p>
        </w:tc>
      </w:tr>
      <w:tr w:rsidR="00D91C50" w:rsidRPr="00022DEB" w:rsidTr="00B5290C">
        <w:trPr>
          <w:cantSplit/>
        </w:trPr>
        <w:tc>
          <w:tcPr>
            <w:tcW w:w="3224" w:type="pct"/>
            <w:shd w:val="clear" w:color="auto" w:fill="auto"/>
          </w:tcPr>
          <w:p w:rsidR="00D91C50" w:rsidRPr="00927E8A" w:rsidRDefault="00D91C50" w:rsidP="00B5290C">
            <w:pPr>
              <w:pStyle w:val="PPVTableText"/>
            </w:pPr>
            <w:r w:rsidRPr="00927E8A">
              <w:t xml:space="preserve">Included to protect and provide for master planning of </w:t>
            </w:r>
            <w:r>
              <w:t>five</w:t>
            </w:r>
            <w:r w:rsidRPr="00927E8A">
              <w:t xml:space="preserve"> key strategic areas:</w:t>
            </w:r>
          </w:p>
          <w:p w:rsidR="00D91C50" w:rsidRDefault="00D91C50" w:rsidP="00B5290C">
            <w:pPr>
              <w:pStyle w:val="PPVTableTextBullet"/>
            </w:pPr>
            <w:r w:rsidRPr="00927E8A">
              <w:t>Normanby Road civic spine</w:t>
            </w:r>
          </w:p>
          <w:p w:rsidR="00D91C50" w:rsidRDefault="00D91C50" w:rsidP="00B5290C">
            <w:pPr>
              <w:pStyle w:val="PPVTableTextBullet"/>
            </w:pPr>
            <w:r w:rsidRPr="00927E8A">
              <w:t xml:space="preserve">Sandridge central activity area, including potential </w:t>
            </w:r>
            <w:r w:rsidR="00827876">
              <w:t>M</w:t>
            </w:r>
            <w:r w:rsidRPr="00927E8A">
              <w:t>etro station</w:t>
            </w:r>
          </w:p>
          <w:p w:rsidR="00D91C50" w:rsidRDefault="00D91C50" w:rsidP="00B5290C">
            <w:pPr>
              <w:pStyle w:val="PPVTableTextBullet"/>
            </w:pPr>
            <w:r w:rsidRPr="00927E8A">
              <w:t>realignment of Plummer Street to connect with Fennel Street</w:t>
            </w:r>
          </w:p>
          <w:p w:rsidR="00D91C50" w:rsidRPr="00927E8A" w:rsidRDefault="00D91C50" w:rsidP="00B5290C">
            <w:pPr>
              <w:pStyle w:val="PPVTableTextBullet"/>
            </w:pPr>
            <w:r w:rsidRPr="00927E8A">
              <w:t>JL Murphy Reserve interface</w:t>
            </w:r>
          </w:p>
          <w:p w:rsidR="00D91C50" w:rsidRPr="00927E8A" w:rsidRDefault="00D91C50" w:rsidP="00B5290C">
            <w:pPr>
              <w:pStyle w:val="PPVTableTextBullet"/>
            </w:pPr>
            <w:r w:rsidRPr="00927E8A">
              <w:t xml:space="preserve">Wirraway transport interchange, including a potential </w:t>
            </w:r>
            <w:r w:rsidR="00827876">
              <w:t>M</w:t>
            </w:r>
            <w:r w:rsidRPr="00927E8A">
              <w:t>etro station and tram route</w:t>
            </w:r>
          </w:p>
        </w:tc>
        <w:tc>
          <w:tcPr>
            <w:tcW w:w="1776" w:type="pct"/>
          </w:tcPr>
          <w:p w:rsidR="00D91C50" w:rsidRPr="00927E8A" w:rsidRDefault="00D91C50" w:rsidP="00B5290C">
            <w:pPr>
              <w:pStyle w:val="PPVTableText"/>
            </w:pPr>
            <w:r w:rsidRPr="00927E8A">
              <w:t>DPO removed</w:t>
            </w:r>
          </w:p>
        </w:tc>
      </w:tr>
    </w:tbl>
    <w:p w:rsidR="00D91C50" w:rsidRDefault="00D91C50" w:rsidP="00D91C50">
      <w:pPr>
        <w:pStyle w:val="Caption"/>
      </w:pPr>
      <w:bookmarkStart w:id="108" w:name="_Ref519718444"/>
      <w:bookmarkStart w:id="109" w:name="_Toc519439821"/>
      <w:bookmarkStart w:id="110" w:name="_Toc519719133"/>
      <w:bookmarkStart w:id="111" w:name="_Toc519710356"/>
      <w:r>
        <w:t xml:space="preserve">Table </w:t>
      </w:r>
      <w:fldSimple w:instr=" SEQ Table \* ARABIC ">
        <w:r w:rsidR="00A307EC">
          <w:rPr>
            <w:noProof/>
          </w:rPr>
          <w:t>8</w:t>
        </w:r>
      </w:fldSimple>
      <w:bookmarkEnd w:id="108"/>
      <w:r>
        <w:t>:</w:t>
      </w:r>
      <w:r>
        <w:tab/>
      </w:r>
      <w:r w:rsidRPr="00240AFB">
        <w:t>Changes to the Parking Overlay</w:t>
      </w:r>
      <w:bookmarkEnd w:id="109"/>
      <w:bookmarkEnd w:id="110"/>
      <w:bookmarkEnd w:id="111"/>
      <w:r w:rsidRPr="00240AFB">
        <w:t xml:space="preserve"> </w:t>
      </w:r>
    </w:p>
    <w:tbl>
      <w:tblPr>
        <w:tblW w:w="4943" w:type="pct"/>
        <w:tblBorders>
          <w:bottom w:val="single" w:sz="12" w:space="0" w:color="215868"/>
          <w:insideH w:val="dotted" w:sz="4" w:space="0" w:color="auto"/>
        </w:tblBorders>
        <w:tblLayout w:type="fixed"/>
        <w:tblLook w:val="04A0" w:firstRow="1" w:lastRow="0" w:firstColumn="1" w:lastColumn="0" w:noHBand="0" w:noVBand="1"/>
      </w:tblPr>
      <w:tblGrid>
        <w:gridCol w:w="4590"/>
        <w:gridCol w:w="4590"/>
      </w:tblGrid>
      <w:tr w:rsidR="00D91C50" w:rsidRPr="00A90F8A" w:rsidTr="00B5290C">
        <w:tc>
          <w:tcPr>
            <w:tcW w:w="2500" w:type="pct"/>
            <w:tcBorders>
              <w:bottom w:val="dotted" w:sz="4" w:space="0" w:color="auto"/>
            </w:tcBorders>
            <w:shd w:val="clear" w:color="auto" w:fill="215868"/>
          </w:tcPr>
          <w:p w:rsidR="00D91C50" w:rsidRDefault="00D91C50" w:rsidP="00B5290C">
            <w:pPr>
              <w:pStyle w:val="PPVTableHeader"/>
            </w:pPr>
            <w:r>
              <w:t>Part A</w:t>
            </w:r>
          </w:p>
          <w:p w:rsidR="00D91C50" w:rsidRPr="00927E8A" w:rsidRDefault="00D91C50" w:rsidP="00B5290C">
            <w:pPr>
              <w:pStyle w:val="PPVTableHeader"/>
            </w:pPr>
            <w:r>
              <w:t>(</w:t>
            </w:r>
            <w:r w:rsidRPr="00927E8A">
              <w:t>No Part B version tabled</w:t>
            </w:r>
            <w:r>
              <w:t>)</w:t>
            </w:r>
          </w:p>
        </w:tc>
        <w:tc>
          <w:tcPr>
            <w:tcW w:w="2500" w:type="pct"/>
            <w:tcBorders>
              <w:bottom w:val="dotted" w:sz="4" w:space="0" w:color="auto"/>
            </w:tcBorders>
            <w:shd w:val="clear" w:color="auto" w:fill="215868"/>
          </w:tcPr>
          <w:p w:rsidR="00D91C50" w:rsidRPr="00927E8A" w:rsidRDefault="00D91C50" w:rsidP="00B5290C">
            <w:pPr>
              <w:pStyle w:val="PPVTableHeader"/>
            </w:pPr>
            <w:r>
              <w:t>Part C</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Parking objectives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Lists a number of objectives to be achieved</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New objectives inserted: to identify appropriate car parking rates; to encourage alternative forms of parking including car share and precinct based parking</w:t>
            </w:r>
          </w:p>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Objective to ensure design of car parking areas contributes to public realm deleted (shifted to DDOs)</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Permit requirements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Pr>
                <w:rFonts w:asciiTheme="minorHAnsi" w:hAnsiTheme="minorHAnsi"/>
                <w:szCs w:val="20"/>
              </w:rPr>
              <w:t>P</w:t>
            </w:r>
            <w:r w:rsidRPr="00927E8A">
              <w:rPr>
                <w:rFonts w:asciiTheme="minorHAnsi" w:hAnsiTheme="minorHAnsi"/>
                <w:szCs w:val="20"/>
              </w:rPr>
              <w:t xml:space="preserve">ermit not required to reduce car parking spaces below the </w:t>
            </w:r>
            <w:r>
              <w:rPr>
                <w:rFonts w:asciiTheme="minorHAnsi" w:hAnsiTheme="minorHAnsi"/>
                <w:szCs w:val="20"/>
              </w:rPr>
              <w:t xml:space="preserve">specified </w:t>
            </w:r>
            <w:r w:rsidRPr="00927E8A">
              <w:rPr>
                <w:rFonts w:asciiTheme="minorHAnsi" w:hAnsiTheme="minorHAnsi"/>
                <w:szCs w:val="20"/>
              </w:rPr>
              <w:t xml:space="preserve">rates </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Pr>
                <w:rFonts w:asciiTheme="minorHAnsi" w:hAnsiTheme="minorHAnsi"/>
                <w:szCs w:val="20"/>
              </w:rPr>
              <w:t>Deleted</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Pr>
                <w:rFonts w:asciiTheme="minorHAnsi" w:hAnsiTheme="minorHAnsi"/>
                <w:szCs w:val="20"/>
              </w:rPr>
              <w:t>P</w:t>
            </w:r>
            <w:r w:rsidRPr="00927E8A">
              <w:rPr>
                <w:rFonts w:asciiTheme="minorHAnsi" w:hAnsiTheme="minorHAnsi"/>
                <w:szCs w:val="20"/>
              </w:rPr>
              <w:t>ermit cannot be granted to provide more than the maximum rates in the schedule</w:t>
            </w:r>
            <w:r>
              <w:rPr>
                <w:rFonts w:asciiTheme="minorHAnsi" w:hAnsiTheme="minorHAnsi"/>
                <w:szCs w:val="20"/>
              </w:rPr>
              <w:t>, unless alternative parking provided</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Pr>
                <w:rFonts w:asciiTheme="minorHAnsi" w:hAnsiTheme="minorHAnsi"/>
                <w:szCs w:val="20"/>
              </w:rPr>
              <w:t>P</w:t>
            </w:r>
            <w:r w:rsidRPr="00927E8A">
              <w:rPr>
                <w:rFonts w:asciiTheme="minorHAnsi" w:hAnsiTheme="minorHAnsi"/>
                <w:szCs w:val="20"/>
              </w:rPr>
              <w:t>ermit required to exceed the maximum rates in the schedule</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Car share spaces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No exemption for spaces above maximum rates</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Exemption for spaces above the maximum rates if provided for car share</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lastRenderedPageBreak/>
              <w:t>Number of spaces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Maximum expressed as a requirement (maximum number of spaces required)</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Maximum expressed as a limit (maximum spaces to be provided)</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Application requirements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Application requirements for applications to exceed maximum rates</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New requirement (statement which demonstrates how the car parking will transition to other uses over time)</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Default="00D91C50" w:rsidP="00B5290C">
            <w:pPr>
              <w:pStyle w:val="PPVTableHeader2"/>
            </w:pPr>
            <w:r w:rsidRPr="00927E8A">
              <w:t>Decision guidelines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Decision guidelines for applications to exceed maximum rates</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Pr>
                <w:rFonts w:asciiTheme="minorHAnsi" w:hAnsiTheme="minorHAnsi"/>
                <w:szCs w:val="20"/>
              </w:rPr>
              <w:t>N</w:t>
            </w:r>
            <w:r w:rsidRPr="00927E8A">
              <w:rPr>
                <w:rFonts w:asciiTheme="minorHAnsi" w:hAnsiTheme="minorHAnsi"/>
                <w:szCs w:val="20"/>
              </w:rPr>
              <w:t>ew decision guidelines added: objectives of the schedule; availability of public transport; number and type of dwellings, inc</w:t>
            </w:r>
            <w:r>
              <w:rPr>
                <w:rFonts w:asciiTheme="minorHAnsi" w:hAnsiTheme="minorHAnsi"/>
                <w:szCs w:val="20"/>
              </w:rPr>
              <w:t>luding the</w:t>
            </w:r>
            <w:r w:rsidRPr="00927E8A">
              <w:rPr>
                <w:rFonts w:asciiTheme="minorHAnsi" w:hAnsiTheme="minorHAnsi"/>
                <w:szCs w:val="20"/>
              </w:rPr>
              <w:t xml:space="preserve"> number of bedrooms; off-site parking to be conveniently located; proportion of car share, motor cycle and bicycle spaces</w:t>
            </w:r>
          </w:p>
          <w:p w:rsidR="00D91C50" w:rsidRPr="00927E8A" w:rsidRDefault="00D91C50" w:rsidP="00B5290C">
            <w:pPr>
              <w:pStyle w:val="PPVTableText"/>
              <w:rPr>
                <w:rFonts w:asciiTheme="minorHAnsi" w:hAnsiTheme="minorHAnsi"/>
                <w:szCs w:val="20"/>
              </w:rPr>
            </w:pPr>
            <w:r>
              <w:rPr>
                <w:rFonts w:asciiTheme="minorHAnsi" w:hAnsiTheme="minorHAnsi"/>
                <w:szCs w:val="20"/>
              </w:rPr>
              <w:t>D</w:t>
            </w:r>
            <w:r w:rsidRPr="00927E8A">
              <w:rPr>
                <w:rFonts w:asciiTheme="minorHAnsi" w:hAnsiTheme="minorHAnsi"/>
                <w:szCs w:val="20"/>
              </w:rPr>
              <w:t>ecision guidelines deleted: effect on freight routes; alternate parking arrangements; suitability of car parking plan</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t>Rates for care share, motor cycle and bicycle spaces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Specified rates for car share, motor cycle and bicycle spaces</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Deleted (shifted to CCZ)</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Design standards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Specified a number of design standards for car parking</w:t>
            </w:r>
          </w:p>
          <w:p w:rsidR="00D91C50" w:rsidRDefault="00D91C50" w:rsidP="00B5290C">
            <w:pPr>
              <w:pStyle w:val="PPVTableText"/>
              <w:rPr>
                <w:rFonts w:asciiTheme="minorHAnsi" w:hAnsiTheme="minorHAnsi"/>
                <w:szCs w:val="20"/>
              </w:rPr>
            </w:pPr>
            <w:r w:rsidRPr="00927E8A">
              <w:rPr>
                <w:rFonts w:asciiTheme="minorHAnsi" w:hAnsiTheme="minorHAnsi"/>
                <w:szCs w:val="20"/>
              </w:rPr>
              <w:t xml:space="preserve">Specified priority for location of crossovers </w:t>
            </w:r>
            <w:r>
              <w:rPr>
                <w:rFonts w:asciiTheme="minorHAnsi" w:hAnsiTheme="minorHAnsi"/>
                <w:szCs w:val="20"/>
              </w:rPr>
              <w:t>(</w:t>
            </w:r>
            <w:r w:rsidRPr="00927E8A">
              <w:rPr>
                <w:rFonts w:asciiTheme="minorHAnsi" w:hAnsiTheme="minorHAnsi"/>
                <w:szCs w:val="20"/>
              </w:rPr>
              <w:t>secondary streets, side/rear laneways</w:t>
            </w:r>
            <w:r>
              <w:rPr>
                <w:rFonts w:asciiTheme="minorHAnsi" w:hAnsiTheme="minorHAnsi"/>
                <w:szCs w:val="20"/>
              </w:rPr>
              <w:t>)</w:t>
            </w:r>
          </w:p>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Crossover standards limited to crossovers on primary street frontages</w:t>
            </w:r>
          </w:p>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Mandatory requirement that crossovers and unloading areas not be located on public transport routes, active frontage streets and cycling paths/corridors</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Deleted design standards</w:t>
            </w:r>
            <w:r>
              <w:rPr>
                <w:rFonts w:asciiTheme="minorHAnsi" w:hAnsiTheme="minorHAnsi"/>
                <w:szCs w:val="20"/>
              </w:rPr>
              <w:t>:</w:t>
            </w:r>
            <w:r w:rsidRPr="00927E8A">
              <w:rPr>
                <w:rFonts w:asciiTheme="minorHAnsi" w:hAnsiTheme="minorHAnsi"/>
                <w:szCs w:val="20"/>
              </w:rPr>
              <w:t xml:space="preserve"> active sleeving</w:t>
            </w:r>
            <w:r>
              <w:rPr>
                <w:rFonts w:asciiTheme="minorHAnsi" w:hAnsiTheme="minorHAnsi"/>
                <w:szCs w:val="20"/>
              </w:rPr>
              <w:t xml:space="preserve"> </w:t>
            </w:r>
            <w:r w:rsidRPr="00927E8A">
              <w:rPr>
                <w:rFonts w:asciiTheme="minorHAnsi" w:hAnsiTheme="minorHAnsi"/>
                <w:szCs w:val="20"/>
              </w:rPr>
              <w:t>(shifted to DDOs), off-site parking to be conveniently located (shifted to decision guidelines)</w:t>
            </w:r>
          </w:p>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 xml:space="preserve">Changed priority for location of crossovers </w:t>
            </w:r>
            <w:r>
              <w:rPr>
                <w:rFonts w:asciiTheme="minorHAnsi" w:hAnsiTheme="minorHAnsi"/>
                <w:szCs w:val="20"/>
              </w:rPr>
              <w:t>(</w:t>
            </w:r>
            <w:r w:rsidRPr="00927E8A">
              <w:rPr>
                <w:rFonts w:asciiTheme="minorHAnsi" w:hAnsiTheme="minorHAnsi"/>
                <w:szCs w:val="20"/>
              </w:rPr>
              <w:t>service roads, side/rear laneways, secondary streets)</w:t>
            </w:r>
          </w:p>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 xml:space="preserve">Crossover standards </w:t>
            </w:r>
            <w:r>
              <w:rPr>
                <w:rFonts w:asciiTheme="minorHAnsi" w:hAnsiTheme="minorHAnsi"/>
                <w:szCs w:val="20"/>
              </w:rPr>
              <w:t xml:space="preserve">not </w:t>
            </w:r>
            <w:r w:rsidRPr="00927E8A">
              <w:rPr>
                <w:rFonts w:asciiTheme="minorHAnsi" w:hAnsiTheme="minorHAnsi"/>
                <w:szCs w:val="20"/>
              </w:rPr>
              <w:t>applied to crossovers on service road</w:t>
            </w:r>
          </w:p>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 xml:space="preserve">Mandatory requirements regarding crossover locations changed to discretionary </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rsidRPr="00927E8A">
              <w:t>Decision guidelines for car parking plans</w:t>
            </w:r>
          </w:p>
        </w:tc>
      </w:tr>
      <w:tr w:rsidR="00D91C50" w:rsidRPr="00022DEB" w:rsidTr="00B5290C">
        <w:tc>
          <w:tcPr>
            <w:tcW w:w="2500" w:type="pct"/>
            <w:tcBorders>
              <w:top w:val="dotted" w:sz="4" w:space="0" w:color="auto"/>
              <w:bottom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Specified a number of decision guidelines</w:t>
            </w:r>
          </w:p>
        </w:tc>
        <w:tc>
          <w:tcPr>
            <w:tcW w:w="2500" w:type="pct"/>
            <w:tcBorders>
              <w:top w:val="dotted" w:sz="4" w:space="0" w:color="auto"/>
              <w:bottom w:val="dotted" w:sz="4" w:space="0" w:color="auto"/>
            </w:tcBorders>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New decision guidelines included: rates of car share spaces; availability of precinct parking</w:t>
            </w:r>
          </w:p>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Decision guideline deleted: impacts of car parking areas on high amenity active streets</w:t>
            </w:r>
          </w:p>
        </w:tc>
      </w:tr>
      <w:tr w:rsidR="00D91C50" w:rsidRPr="00022DEB" w:rsidTr="00B5290C">
        <w:tc>
          <w:tcPr>
            <w:tcW w:w="5000" w:type="pct"/>
            <w:gridSpan w:val="2"/>
            <w:tcBorders>
              <w:top w:val="dotted" w:sz="4" w:space="0" w:color="auto"/>
              <w:bottom w:val="dotted" w:sz="4" w:space="0" w:color="auto"/>
            </w:tcBorders>
            <w:shd w:val="clear" w:color="auto" w:fill="D9D9D9" w:themeFill="background1" w:themeFillShade="D9"/>
          </w:tcPr>
          <w:p w:rsidR="00D91C50" w:rsidRPr="00927E8A" w:rsidRDefault="00D91C50" w:rsidP="00B5290C">
            <w:pPr>
              <w:pStyle w:val="PPVTableHeader2"/>
            </w:pPr>
            <w:r>
              <w:t>Reference Document</w:t>
            </w:r>
            <w:r w:rsidRPr="00927E8A">
              <w:t>s</w:t>
            </w:r>
          </w:p>
        </w:tc>
      </w:tr>
      <w:tr w:rsidR="00D91C50" w:rsidRPr="00022DEB" w:rsidTr="00B5290C">
        <w:tc>
          <w:tcPr>
            <w:tcW w:w="2500" w:type="pct"/>
            <w:tcBorders>
              <w:top w:val="dotted" w:sz="4" w:space="0" w:color="auto"/>
            </w:tcBorders>
            <w:shd w:val="clear" w:color="auto" w:fill="auto"/>
          </w:tcPr>
          <w:p w:rsidR="00D91C50" w:rsidRPr="00927E8A" w:rsidRDefault="00D91C50" w:rsidP="00B5290C">
            <w:pPr>
              <w:pStyle w:val="PPVTableText"/>
              <w:rPr>
                <w:rFonts w:asciiTheme="minorHAnsi" w:hAnsiTheme="minorHAnsi"/>
                <w:szCs w:val="20"/>
              </w:rPr>
            </w:pPr>
            <w:r w:rsidRPr="00927E8A">
              <w:rPr>
                <w:rFonts w:asciiTheme="minorHAnsi" w:hAnsiTheme="minorHAnsi"/>
                <w:szCs w:val="20"/>
              </w:rPr>
              <w:t>Only the Integrated Transport Plan</w:t>
            </w:r>
          </w:p>
        </w:tc>
        <w:tc>
          <w:tcPr>
            <w:tcW w:w="2500" w:type="pct"/>
            <w:tcBorders>
              <w:top w:val="dotted" w:sz="4" w:space="0" w:color="auto"/>
            </w:tcBorders>
          </w:tcPr>
          <w:p w:rsidR="00D91C50" w:rsidRPr="00927E8A" w:rsidRDefault="00D91C50" w:rsidP="00B5290C">
            <w:pPr>
              <w:pStyle w:val="PPVTableText"/>
              <w:rPr>
                <w:rFonts w:asciiTheme="minorHAnsi" w:hAnsiTheme="minorHAnsi"/>
                <w:szCs w:val="20"/>
              </w:rPr>
            </w:pPr>
            <w:r>
              <w:rPr>
                <w:rFonts w:asciiTheme="minorHAnsi" w:hAnsiTheme="minorHAnsi"/>
                <w:szCs w:val="20"/>
              </w:rPr>
              <w:t xml:space="preserve">Draft </w:t>
            </w:r>
            <w:r w:rsidRPr="00927E8A">
              <w:rPr>
                <w:rFonts w:asciiTheme="minorHAnsi" w:hAnsiTheme="minorHAnsi"/>
                <w:szCs w:val="20"/>
              </w:rPr>
              <w:t xml:space="preserve">Framework included as a </w:t>
            </w:r>
            <w:r>
              <w:rPr>
                <w:rFonts w:asciiTheme="minorHAnsi" w:hAnsiTheme="minorHAnsi"/>
                <w:szCs w:val="20"/>
              </w:rPr>
              <w:t>R</w:t>
            </w:r>
            <w:r w:rsidRPr="00927E8A">
              <w:rPr>
                <w:rFonts w:asciiTheme="minorHAnsi" w:hAnsiTheme="minorHAnsi"/>
                <w:szCs w:val="20"/>
              </w:rPr>
              <w:t xml:space="preserve">eference </w:t>
            </w:r>
            <w:r>
              <w:rPr>
                <w:rFonts w:asciiTheme="minorHAnsi" w:hAnsiTheme="minorHAnsi"/>
                <w:szCs w:val="20"/>
              </w:rPr>
              <w:t>D</w:t>
            </w:r>
            <w:r w:rsidRPr="00927E8A">
              <w:rPr>
                <w:rFonts w:asciiTheme="minorHAnsi" w:hAnsiTheme="minorHAnsi"/>
                <w:szCs w:val="20"/>
              </w:rPr>
              <w:t>ocument</w:t>
            </w:r>
          </w:p>
        </w:tc>
      </w:tr>
    </w:tbl>
    <w:p w:rsidR="00785416" w:rsidRDefault="00D91C50" w:rsidP="00785416">
      <w:pPr>
        <w:pStyle w:val="Heading2"/>
      </w:pPr>
      <w:bookmarkStart w:id="112" w:name="_Toc519710254"/>
      <w:bookmarkStart w:id="113" w:name="_Toc519766814"/>
      <w:r>
        <w:lastRenderedPageBreak/>
        <w:t>Recommendations</w:t>
      </w:r>
      <w:bookmarkEnd w:id="112"/>
      <w:bookmarkEnd w:id="113"/>
    </w:p>
    <w:p w:rsidR="00EF20D5" w:rsidRDefault="00EF20D5" w:rsidP="00785416">
      <w:pPr>
        <w:keepNext/>
      </w:pPr>
      <w:r>
        <w:t>For the reasons expressed in this Report, the Review Panel recommends that</w:t>
      </w:r>
      <w:r w:rsidR="00007C27">
        <w:t xml:space="preserve"> the Minister for Planning</w:t>
      </w:r>
      <w:r>
        <w:t>:</w:t>
      </w:r>
    </w:p>
    <w:p w:rsidR="00EF20D5" w:rsidRDefault="00EF20D5" w:rsidP="00785416">
      <w:pPr>
        <w:pStyle w:val="PPVRecommendation"/>
        <w:keepNext/>
      </w:pPr>
      <w:bookmarkStart w:id="114" w:name="_Toc519335210"/>
      <w:bookmarkStart w:id="115" w:name="_Toc519339213"/>
      <w:bookmarkStart w:id="116" w:name="_Toc519421968"/>
      <w:bookmarkStart w:id="117" w:name="_Toc519423863"/>
      <w:bookmarkStart w:id="118" w:name="_Toc519430738"/>
      <w:bookmarkStart w:id="119" w:name="_Toc519439857"/>
      <w:bookmarkStart w:id="120" w:name="_Toc519499151"/>
      <w:bookmarkStart w:id="121" w:name="_Toc519503230"/>
      <w:bookmarkStart w:id="122" w:name="_Toc519522557"/>
      <w:bookmarkStart w:id="123" w:name="_Toc519528826"/>
      <w:bookmarkStart w:id="124" w:name="_Toc519614573"/>
      <w:bookmarkStart w:id="125" w:name="_Toc519614698"/>
      <w:bookmarkStart w:id="126" w:name="_Toc519619721"/>
      <w:bookmarkStart w:id="127" w:name="_Toc519710389"/>
      <w:bookmarkStart w:id="128" w:name="_Toc519718921"/>
      <w:bookmarkStart w:id="129" w:name="_Toc519751498"/>
      <w:bookmarkStart w:id="130" w:name="_Toc519766909"/>
      <w:r>
        <w:t xml:space="preserve">Progress Amendment GC81 for Fishermans Bend in accordance with the Review Panel revised versions (in Overview Report </w:t>
      </w:r>
      <w:r w:rsidR="00A90D8B">
        <w:t>–</w:t>
      </w:r>
      <w:r>
        <w:t xml:space="preserve"> Volume 2) of:</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rsidR="00EF20D5" w:rsidRDefault="00EF20D5" w:rsidP="00785416">
      <w:pPr>
        <w:pStyle w:val="PPVRecommendationAlphaList"/>
        <w:keepNext/>
      </w:pPr>
      <w:bookmarkStart w:id="131" w:name="_Toc519335211"/>
      <w:bookmarkStart w:id="132" w:name="_Toc519339214"/>
      <w:bookmarkStart w:id="133" w:name="_Toc519421969"/>
      <w:bookmarkStart w:id="134" w:name="_Toc519423864"/>
      <w:bookmarkStart w:id="135" w:name="_Toc519430739"/>
      <w:bookmarkStart w:id="136" w:name="_Toc519439858"/>
      <w:bookmarkStart w:id="137" w:name="_Toc519499152"/>
      <w:bookmarkStart w:id="138" w:name="_Toc519503231"/>
      <w:bookmarkStart w:id="139" w:name="_Toc519522558"/>
      <w:bookmarkStart w:id="140" w:name="_Toc519528827"/>
      <w:bookmarkStart w:id="141" w:name="_Toc519614574"/>
      <w:bookmarkStart w:id="142" w:name="_Toc519614699"/>
      <w:bookmarkStart w:id="143" w:name="_Toc519619722"/>
      <w:bookmarkStart w:id="144" w:name="_Toc519710390"/>
      <w:bookmarkStart w:id="145" w:name="_Toc519718922"/>
      <w:bookmarkStart w:id="146" w:name="_Toc519751499"/>
      <w:bookmarkStart w:id="147" w:name="_Toc519766910"/>
      <w:r>
        <w:t>Clause 22.XX</w:t>
      </w:r>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p w:rsidR="00EF20D5" w:rsidRDefault="00EF20D5" w:rsidP="00EF20D5">
      <w:pPr>
        <w:pStyle w:val="PPVRecommendationAlphaList"/>
      </w:pPr>
      <w:bookmarkStart w:id="148" w:name="_Toc519335212"/>
      <w:bookmarkStart w:id="149" w:name="_Toc519339215"/>
      <w:bookmarkStart w:id="150" w:name="_Toc519421970"/>
      <w:bookmarkStart w:id="151" w:name="_Toc519423865"/>
      <w:bookmarkStart w:id="152" w:name="_Toc519430740"/>
      <w:bookmarkStart w:id="153" w:name="_Toc519439859"/>
      <w:bookmarkStart w:id="154" w:name="_Toc519499153"/>
      <w:bookmarkStart w:id="155" w:name="_Toc519503232"/>
      <w:bookmarkStart w:id="156" w:name="_Toc519522559"/>
      <w:bookmarkStart w:id="157" w:name="_Toc519528828"/>
      <w:bookmarkStart w:id="158" w:name="_Toc519614575"/>
      <w:bookmarkStart w:id="159" w:name="_Toc519614700"/>
      <w:bookmarkStart w:id="160" w:name="_Toc519619723"/>
      <w:bookmarkStart w:id="161" w:name="_Toc519710391"/>
      <w:bookmarkStart w:id="162" w:name="_Toc519718923"/>
      <w:bookmarkStart w:id="163" w:name="_Toc519751500"/>
      <w:bookmarkStart w:id="164" w:name="_Toc519766911"/>
      <w:r>
        <w:t>Capital City Zone</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p>
    <w:p w:rsidR="00785416" w:rsidRDefault="00EF20D5" w:rsidP="00EF20D5">
      <w:pPr>
        <w:pStyle w:val="PPVRecommendationAlphaList"/>
      </w:pPr>
      <w:bookmarkStart w:id="165" w:name="_Toc519335213"/>
      <w:bookmarkStart w:id="166" w:name="_Toc519339216"/>
      <w:bookmarkStart w:id="167" w:name="_Toc519421971"/>
      <w:bookmarkStart w:id="168" w:name="_Toc519423866"/>
      <w:bookmarkStart w:id="169" w:name="_Toc519430741"/>
      <w:bookmarkStart w:id="170" w:name="_Toc519439860"/>
      <w:bookmarkStart w:id="171" w:name="_Toc519499154"/>
      <w:bookmarkStart w:id="172" w:name="_Toc519503233"/>
      <w:bookmarkStart w:id="173" w:name="_Toc519522560"/>
      <w:bookmarkStart w:id="174" w:name="_Toc519528829"/>
      <w:bookmarkStart w:id="175" w:name="_Toc519614576"/>
      <w:bookmarkStart w:id="176" w:name="_Toc519614701"/>
      <w:bookmarkStart w:id="177" w:name="_Toc519619724"/>
      <w:bookmarkStart w:id="178" w:name="_Toc519710392"/>
      <w:bookmarkStart w:id="179" w:name="_Toc519718924"/>
      <w:bookmarkStart w:id="180" w:name="_Toc519751501"/>
      <w:bookmarkStart w:id="181" w:name="_Toc519766912"/>
      <w:r>
        <w:t>Parking Overlay</w:t>
      </w: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rsidR="00EF20D5" w:rsidRDefault="00EF20D5" w:rsidP="00EF20D5">
      <w:pPr>
        <w:pStyle w:val="PPVRecommendationAlphaList"/>
      </w:pPr>
      <w:bookmarkStart w:id="182" w:name="_Toc519335214"/>
      <w:bookmarkStart w:id="183" w:name="_Toc519339217"/>
      <w:bookmarkStart w:id="184" w:name="_Toc519421972"/>
      <w:bookmarkStart w:id="185" w:name="_Toc519423867"/>
      <w:bookmarkStart w:id="186" w:name="_Toc519430742"/>
      <w:bookmarkStart w:id="187" w:name="_Toc519439861"/>
      <w:bookmarkStart w:id="188" w:name="_Toc519499155"/>
      <w:bookmarkStart w:id="189" w:name="_Toc519503234"/>
      <w:bookmarkStart w:id="190" w:name="_Toc519522561"/>
      <w:bookmarkStart w:id="191" w:name="_Toc519528830"/>
      <w:bookmarkStart w:id="192" w:name="_Toc519614577"/>
      <w:bookmarkStart w:id="193" w:name="_Toc519614702"/>
      <w:bookmarkStart w:id="194" w:name="_Toc519619725"/>
      <w:bookmarkStart w:id="195" w:name="_Toc519710393"/>
      <w:bookmarkStart w:id="196" w:name="_Toc519718925"/>
      <w:bookmarkStart w:id="197" w:name="_Toc519751502"/>
      <w:bookmarkStart w:id="198" w:name="_Toc519766913"/>
      <w:r>
        <w:t>Design and Development Overlays for Lorimer, Montague, Sandridge and Wirraway</w:t>
      </w:r>
      <w:bookmarkEnd w:id="182"/>
      <w:bookmarkEnd w:id="183"/>
      <w:bookmarkEnd w:id="184"/>
      <w:bookmarkEnd w:id="185"/>
      <w:bookmarkEnd w:id="186"/>
      <w:bookmarkEnd w:id="187"/>
      <w:bookmarkEnd w:id="188"/>
      <w:bookmarkEnd w:id="189"/>
      <w:bookmarkEnd w:id="190"/>
      <w:r>
        <w:t xml:space="preserve"> </w:t>
      </w:r>
      <w:r w:rsidR="00B13277">
        <w:t>Precincts.</w:t>
      </w:r>
      <w:bookmarkEnd w:id="191"/>
      <w:bookmarkEnd w:id="192"/>
      <w:bookmarkEnd w:id="193"/>
      <w:bookmarkEnd w:id="194"/>
      <w:bookmarkEnd w:id="195"/>
      <w:bookmarkEnd w:id="196"/>
      <w:bookmarkEnd w:id="197"/>
      <w:bookmarkEnd w:id="198"/>
    </w:p>
    <w:p w:rsidR="00EF20D5" w:rsidRDefault="00EF20D5" w:rsidP="00EF20D5">
      <w:r>
        <w:t>These recommendations are provided in both ‘clean’ and ‘track change’ in Report No. 1, Volume 2.</w:t>
      </w:r>
    </w:p>
    <w:p w:rsidR="00C862CB" w:rsidRPr="00A90F8A" w:rsidRDefault="00C862CB" w:rsidP="00DA32F2">
      <w:pPr>
        <w:pStyle w:val="Heading1"/>
        <w:numPr>
          <w:ilvl w:val="0"/>
          <w:numId w:val="0"/>
        </w:numPr>
        <w:rPr>
          <w:rFonts w:asciiTheme="minorHAnsi" w:hAnsiTheme="minorHAnsi"/>
        </w:rPr>
      </w:pPr>
      <w:bookmarkStart w:id="199" w:name="_Toc519710255"/>
      <w:bookmarkStart w:id="200" w:name="_Toc519766815"/>
      <w:r w:rsidRPr="00A90F8A">
        <w:rPr>
          <w:rFonts w:asciiTheme="minorHAnsi" w:hAnsiTheme="minorHAnsi"/>
        </w:rPr>
        <w:lastRenderedPageBreak/>
        <w:t xml:space="preserve">PART B </w:t>
      </w:r>
      <w:r w:rsidR="00492A43">
        <w:rPr>
          <w:rFonts w:asciiTheme="minorHAnsi" w:hAnsiTheme="minorHAnsi"/>
        </w:rPr>
        <w:t>–</w:t>
      </w:r>
      <w:r w:rsidRPr="00A90F8A">
        <w:rPr>
          <w:rFonts w:asciiTheme="minorHAnsi" w:hAnsiTheme="minorHAnsi"/>
        </w:rPr>
        <w:t xml:space="preserve"> ISSUES</w:t>
      </w:r>
      <w:bookmarkEnd w:id="199"/>
      <w:bookmarkEnd w:id="200"/>
    </w:p>
    <w:p w:rsidR="00C862CB" w:rsidRDefault="00C862CB" w:rsidP="00C862CB">
      <w:pPr>
        <w:pStyle w:val="Heading1"/>
        <w:rPr>
          <w:rFonts w:asciiTheme="minorHAnsi" w:hAnsiTheme="minorHAnsi"/>
        </w:rPr>
      </w:pPr>
      <w:bookmarkStart w:id="201" w:name="_Toc519710256"/>
      <w:bookmarkStart w:id="202" w:name="_Toc519766816"/>
      <w:r w:rsidRPr="00A90F8A">
        <w:rPr>
          <w:rFonts w:asciiTheme="minorHAnsi" w:hAnsiTheme="minorHAnsi"/>
        </w:rPr>
        <w:lastRenderedPageBreak/>
        <w:t>Key issues</w:t>
      </w:r>
      <w:bookmarkEnd w:id="201"/>
      <w:bookmarkEnd w:id="202"/>
    </w:p>
    <w:p w:rsidR="00EF20D5" w:rsidRPr="00A90F8A" w:rsidRDefault="00EF20D5" w:rsidP="00EF20D5">
      <w:pPr>
        <w:pStyle w:val="PPVBody"/>
        <w:rPr>
          <w:rFonts w:asciiTheme="minorHAnsi" w:hAnsiTheme="minorHAnsi"/>
        </w:rPr>
      </w:pPr>
      <w:r w:rsidRPr="00A90F8A">
        <w:rPr>
          <w:rFonts w:asciiTheme="minorHAnsi" w:hAnsiTheme="minorHAnsi"/>
        </w:rPr>
        <w:t xml:space="preserve">The </w:t>
      </w:r>
      <w:r>
        <w:rPr>
          <w:rFonts w:asciiTheme="minorHAnsi" w:hAnsiTheme="minorHAnsi"/>
        </w:rPr>
        <w:t xml:space="preserve">Review Panel </w:t>
      </w:r>
      <w:r w:rsidRPr="00A90F8A">
        <w:rPr>
          <w:rFonts w:asciiTheme="minorHAnsi" w:hAnsiTheme="minorHAnsi"/>
        </w:rPr>
        <w:t>has</w:t>
      </w:r>
      <w:r>
        <w:rPr>
          <w:rFonts w:asciiTheme="minorHAnsi" w:hAnsiTheme="minorHAnsi"/>
        </w:rPr>
        <w:t xml:space="preserve"> received and</w:t>
      </w:r>
      <w:r w:rsidRPr="00A90F8A">
        <w:rPr>
          <w:rFonts w:asciiTheme="minorHAnsi" w:hAnsiTheme="minorHAnsi"/>
        </w:rPr>
        <w:t xml:space="preserve"> reviewed a large volume of material.  </w:t>
      </w:r>
      <w:r>
        <w:rPr>
          <w:rFonts w:asciiTheme="minorHAnsi" w:hAnsiTheme="minorHAnsi"/>
        </w:rPr>
        <w:t>In addressing the key issues, t</w:t>
      </w:r>
      <w:r w:rsidRPr="00A90F8A">
        <w:rPr>
          <w:rFonts w:asciiTheme="minorHAnsi" w:hAnsiTheme="minorHAnsi"/>
        </w:rPr>
        <w:t xml:space="preserve">he </w:t>
      </w:r>
      <w:r>
        <w:rPr>
          <w:rFonts w:asciiTheme="minorHAnsi" w:hAnsiTheme="minorHAnsi"/>
        </w:rPr>
        <w:t xml:space="preserve">Review Panel </w:t>
      </w:r>
      <w:r w:rsidRPr="00A90F8A">
        <w:rPr>
          <w:rFonts w:asciiTheme="minorHAnsi" w:hAnsiTheme="minorHAnsi"/>
        </w:rPr>
        <w:t xml:space="preserve">has had to be selective in referring to the more relevant or determinative material in the </w:t>
      </w:r>
      <w:r w:rsidR="00827876">
        <w:rPr>
          <w:rFonts w:asciiTheme="minorHAnsi" w:hAnsiTheme="minorHAnsi"/>
        </w:rPr>
        <w:t>r</w:t>
      </w:r>
      <w:r w:rsidRPr="00A90F8A">
        <w:rPr>
          <w:rFonts w:asciiTheme="minorHAnsi" w:hAnsiTheme="minorHAnsi"/>
        </w:rPr>
        <w:t>eport</w:t>
      </w:r>
      <w:r w:rsidR="00007C27">
        <w:rPr>
          <w:rFonts w:asciiTheme="minorHAnsi" w:hAnsiTheme="minorHAnsi"/>
        </w:rPr>
        <w:t>s</w:t>
      </w:r>
      <w:r w:rsidRPr="00A90F8A">
        <w:rPr>
          <w:rFonts w:asciiTheme="minorHAnsi" w:hAnsiTheme="minorHAnsi"/>
        </w:rPr>
        <w:t xml:space="preserve">.  </w:t>
      </w:r>
      <w:r>
        <w:rPr>
          <w:rFonts w:asciiTheme="minorHAnsi" w:hAnsiTheme="minorHAnsi"/>
        </w:rPr>
        <w:t>Consistent with the Terms of Reference, the Review Panel has considered a</w:t>
      </w:r>
      <w:r w:rsidRPr="00A90F8A">
        <w:rPr>
          <w:rFonts w:asciiTheme="minorHAnsi" w:hAnsiTheme="minorHAnsi"/>
        </w:rPr>
        <w:t>ll submissions</w:t>
      </w:r>
      <w:r>
        <w:rPr>
          <w:rFonts w:asciiTheme="minorHAnsi" w:hAnsiTheme="minorHAnsi"/>
        </w:rPr>
        <w:t xml:space="preserve"> (including submissions made in response to the exhibited Amendment and submissions made at the Hearing), evidence</w:t>
      </w:r>
      <w:r w:rsidRPr="00A90F8A">
        <w:rPr>
          <w:rFonts w:asciiTheme="minorHAnsi" w:hAnsiTheme="minorHAnsi"/>
        </w:rPr>
        <w:t xml:space="preserve"> and </w:t>
      </w:r>
      <w:r>
        <w:rPr>
          <w:rFonts w:asciiTheme="minorHAnsi" w:hAnsiTheme="minorHAnsi"/>
        </w:rPr>
        <w:t>other relevant information</w:t>
      </w:r>
      <w:r w:rsidRPr="00A90F8A">
        <w:rPr>
          <w:rFonts w:asciiTheme="minorHAnsi" w:hAnsiTheme="minorHAnsi"/>
        </w:rPr>
        <w:t xml:space="preserve"> in reaching its conclusions, regardless of whether </w:t>
      </w:r>
      <w:r>
        <w:rPr>
          <w:rFonts w:asciiTheme="minorHAnsi" w:hAnsiTheme="minorHAnsi"/>
        </w:rPr>
        <w:t>it is</w:t>
      </w:r>
      <w:r w:rsidRPr="00A90F8A">
        <w:rPr>
          <w:rFonts w:asciiTheme="minorHAnsi" w:hAnsiTheme="minorHAnsi"/>
        </w:rPr>
        <w:t xml:space="preserve"> specifically mentioned in the </w:t>
      </w:r>
      <w:r w:rsidR="00827876">
        <w:rPr>
          <w:rFonts w:asciiTheme="minorHAnsi" w:hAnsiTheme="minorHAnsi"/>
        </w:rPr>
        <w:t>r</w:t>
      </w:r>
      <w:r w:rsidRPr="00A90F8A">
        <w:rPr>
          <w:rFonts w:asciiTheme="minorHAnsi" w:hAnsiTheme="minorHAnsi"/>
        </w:rPr>
        <w:t>eport</w:t>
      </w:r>
      <w:r>
        <w:rPr>
          <w:rFonts w:asciiTheme="minorHAnsi" w:hAnsiTheme="minorHAnsi"/>
        </w:rPr>
        <w:t>s</w:t>
      </w:r>
      <w:r w:rsidRPr="00A90F8A">
        <w:rPr>
          <w:rFonts w:asciiTheme="minorHAnsi" w:hAnsiTheme="minorHAnsi"/>
        </w:rPr>
        <w:t>.</w:t>
      </w:r>
    </w:p>
    <w:p w:rsidR="00DD59D1" w:rsidRDefault="00DD59D1" w:rsidP="00DD6314">
      <w:pPr>
        <w:pStyle w:val="Heading2"/>
      </w:pPr>
      <w:bookmarkStart w:id="203" w:name="_Toc519710257"/>
      <w:bookmarkStart w:id="204" w:name="_Toc519766817"/>
      <w:r>
        <w:t>Key issues</w:t>
      </w:r>
      <w:bookmarkEnd w:id="203"/>
      <w:bookmarkEnd w:id="204"/>
    </w:p>
    <w:p w:rsidR="00EF20D5" w:rsidRDefault="00EF20D5" w:rsidP="00EF20D5">
      <w:pPr>
        <w:pStyle w:val="PPVBody"/>
      </w:pPr>
      <w:r>
        <w:t xml:space="preserve">Many issues emerged during the course of the Hearing.  There was particular emphasis on some matters over others.  This report provides the overview of common themes, while the Precinct </w:t>
      </w:r>
      <w:r w:rsidR="00827876">
        <w:t>R</w:t>
      </w:r>
      <w:r>
        <w:t>eports focus on the site specific matters raised by submitters.</w:t>
      </w:r>
    </w:p>
    <w:p w:rsidR="00EF20D5" w:rsidRDefault="00EF20D5" w:rsidP="00EF20D5">
      <w:pPr>
        <w:pStyle w:val="PPVBody"/>
      </w:pPr>
      <w:r>
        <w:t>In summary, the key issues related to the:</w:t>
      </w:r>
    </w:p>
    <w:p w:rsidR="00975BA0" w:rsidRDefault="00975BA0" w:rsidP="004F6781">
      <w:pPr>
        <w:pStyle w:val="PPVBullet1"/>
      </w:pPr>
      <w:r>
        <w:t>Vision for Fishermans Bend</w:t>
      </w:r>
    </w:p>
    <w:p w:rsidR="00975BA0" w:rsidRDefault="00975BA0" w:rsidP="004F6781">
      <w:pPr>
        <w:pStyle w:val="PPVBullet1"/>
      </w:pPr>
      <w:r>
        <w:t>population and (to a lesser extent) employment targets required to achieve the Vision</w:t>
      </w:r>
    </w:p>
    <w:p w:rsidR="00EE461B" w:rsidRDefault="00975BA0" w:rsidP="004F6781">
      <w:pPr>
        <w:pStyle w:val="PPVBullet1"/>
      </w:pPr>
      <w:r>
        <w:t>form of planning co</w:t>
      </w:r>
      <w:r w:rsidR="00D47FC7">
        <w:t>ntrols proposed to achieve the V</w:t>
      </w:r>
      <w:r>
        <w:t>ision and implement the Framework</w:t>
      </w:r>
    </w:p>
    <w:p w:rsidR="00975BA0" w:rsidRDefault="00975BA0" w:rsidP="004F6781">
      <w:pPr>
        <w:pStyle w:val="PPVBullet1"/>
      </w:pPr>
      <w:r>
        <w:t>preferred built form outcomes for the whole of Fishermans Bend and each of the Precincts, including:</w:t>
      </w:r>
    </w:p>
    <w:p w:rsidR="00975BA0" w:rsidRDefault="00975BA0" w:rsidP="00975BA0">
      <w:pPr>
        <w:pStyle w:val="PPVBullet2"/>
      </w:pPr>
      <w:r>
        <w:t>FAR and FAU</w:t>
      </w:r>
      <w:r w:rsidR="00C66E0F">
        <w:t xml:space="preserve"> mechanisms</w:t>
      </w:r>
    </w:p>
    <w:p w:rsidR="00975BA0" w:rsidRDefault="00D41003" w:rsidP="00975BA0">
      <w:pPr>
        <w:pStyle w:val="PPVBullet2"/>
      </w:pPr>
      <w:r>
        <w:t>h</w:t>
      </w:r>
      <w:r w:rsidR="00975BA0">
        <w:t>eights</w:t>
      </w:r>
    </w:p>
    <w:p w:rsidR="00975BA0" w:rsidRDefault="00D41003" w:rsidP="00975BA0">
      <w:pPr>
        <w:pStyle w:val="PPVBullet2"/>
      </w:pPr>
      <w:r>
        <w:t>s</w:t>
      </w:r>
      <w:r w:rsidR="00975BA0">
        <w:t>etbacks</w:t>
      </w:r>
    </w:p>
    <w:p w:rsidR="00975BA0" w:rsidRDefault="00D41003" w:rsidP="00975BA0">
      <w:pPr>
        <w:pStyle w:val="PPVBullet2"/>
      </w:pPr>
      <w:r>
        <w:t>i</w:t>
      </w:r>
      <w:r w:rsidR="00975BA0">
        <w:t>nterfaces</w:t>
      </w:r>
    </w:p>
    <w:p w:rsidR="00975BA0" w:rsidRDefault="00D41003" w:rsidP="00975BA0">
      <w:pPr>
        <w:pStyle w:val="PPVBullet2"/>
      </w:pPr>
      <w:r>
        <w:t>o</w:t>
      </w:r>
      <w:r w:rsidR="00975BA0">
        <w:t>vershadowing</w:t>
      </w:r>
    </w:p>
    <w:p w:rsidR="00EE461B" w:rsidRDefault="00975BA0" w:rsidP="004F6781">
      <w:pPr>
        <w:pStyle w:val="PPVBullet1"/>
      </w:pPr>
      <w:r>
        <w:t>current permit approvals and applications</w:t>
      </w:r>
    </w:p>
    <w:p w:rsidR="00EE461B" w:rsidRDefault="00732EA0" w:rsidP="004F6781">
      <w:pPr>
        <w:pStyle w:val="PPVBullet1"/>
      </w:pPr>
      <w:r>
        <w:t>affordable and social housing requirements</w:t>
      </w:r>
    </w:p>
    <w:p w:rsidR="00975BA0" w:rsidRDefault="00975BA0" w:rsidP="004F6781">
      <w:pPr>
        <w:pStyle w:val="PPVBullet1"/>
      </w:pPr>
      <w:r>
        <w:t xml:space="preserve">economic viability of the </w:t>
      </w:r>
      <w:r w:rsidR="00FC563B">
        <w:t xml:space="preserve">draft </w:t>
      </w:r>
      <w:r>
        <w:t>Framework</w:t>
      </w:r>
      <w:r w:rsidR="00D47FC7">
        <w:t xml:space="preserve"> as a result of the </w:t>
      </w:r>
      <w:r w:rsidR="00D41003">
        <w:t xml:space="preserve">planning controls </w:t>
      </w:r>
      <w:r>
        <w:t>and potential outcomes</w:t>
      </w:r>
    </w:p>
    <w:p w:rsidR="002C122E" w:rsidRDefault="002C122E" w:rsidP="004F6781">
      <w:pPr>
        <w:pStyle w:val="PPVBullet1"/>
      </w:pPr>
      <w:r>
        <w:t>public open space</w:t>
      </w:r>
      <w:r w:rsidR="00D41003">
        <w:t>, its location</w:t>
      </w:r>
      <w:r>
        <w:t xml:space="preserve"> </w:t>
      </w:r>
      <w:r w:rsidR="005046FF">
        <w:t>and how it is to be delivered</w:t>
      </w:r>
    </w:p>
    <w:p w:rsidR="00EE461B" w:rsidRDefault="00975BA0" w:rsidP="004F6781">
      <w:pPr>
        <w:pStyle w:val="PPVBullet1"/>
      </w:pPr>
      <w:r>
        <w:t>overall transport framework, including public transport (tram and train infrastructure), car parking, cycling and pedestrian opportunities</w:t>
      </w:r>
    </w:p>
    <w:p w:rsidR="00975BA0" w:rsidRDefault="00975BA0" w:rsidP="004F6781">
      <w:pPr>
        <w:pStyle w:val="PPVBullet1"/>
      </w:pPr>
      <w:r>
        <w:t>infrastructure, including:</w:t>
      </w:r>
    </w:p>
    <w:p w:rsidR="00975BA0" w:rsidRDefault="00975BA0" w:rsidP="00975BA0">
      <w:pPr>
        <w:pStyle w:val="PPVBullet2"/>
      </w:pPr>
      <w:r>
        <w:t>social and community</w:t>
      </w:r>
    </w:p>
    <w:p w:rsidR="00975BA0" w:rsidRDefault="00975BA0" w:rsidP="00975BA0">
      <w:pPr>
        <w:pStyle w:val="PPVBullet2"/>
      </w:pPr>
      <w:r>
        <w:t>physical assets</w:t>
      </w:r>
      <w:r w:rsidR="005046FF">
        <w:t>, including laneways and local new roads</w:t>
      </w:r>
    </w:p>
    <w:p w:rsidR="00975BA0" w:rsidRDefault="00975BA0" w:rsidP="00975BA0">
      <w:pPr>
        <w:pStyle w:val="PPVBullet2"/>
      </w:pPr>
      <w:r>
        <w:t>timing</w:t>
      </w:r>
      <w:r w:rsidR="00EF20D5">
        <w:t xml:space="preserve"> of provision</w:t>
      </w:r>
    </w:p>
    <w:p w:rsidR="00975BA0" w:rsidRDefault="00C66E0F" w:rsidP="00975BA0">
      <w:pPr>
        <w:pStyle w:val="PPVBullet2"/>
      </w:pPr>
      <w:r>
        <w:t xml:space="preserve">funding </w:t>
      </w:r>
      <w:r w:rsidR="00975BA0">
        <w:t>options</w:t>
      </w:r>
    </w:p>
    <w:p w:rsidR="00EE461B" w:rsidRDefault="00975BA0" w:rsidP="004F6781">
      <w:pPr>
        <w:pStyle w:val="PPVBullet1"/>
      </w:pPr>
      <w:r>
        <w:t>environmental issues, including:</w:t>
      </w:r>
    </w:p>
    <w:p w:rsidR="00EE461B" w:rsidRDefault="00975BA0" w:rsidP="00975BA0">
      <w:pPr>
        <w:pStyle w:val="PPVBullet2"/>
      </w:pPr>
      <w:r>
        <w:t>flooding</w:t>
      </w:r>
    </w:p>
    <w:p w:rsidR="00975BA0" w:rsidRDefault="00975BA0" w:rsidP="00975BA0">
      <w:pPr>
        <w:pStyle w:val="PPVBullet2"/>
      </w:pPr>
      <w:r>
        <w:t>air quality</w:t>
      </w:r>
    </w:p>
    <w:p w:rsidR="00975BA0" w:rsidRDefault="00975BA0" w:rsidP="00975BA0">
      <w:pPr>
        <w:pStyle w:val="PPVBullet2"/>
      </w:pPr>
      <w:r>
        <w:t>waste</w:t>
      </w:r>
    </w:p>
    <w:p w:rsidR="00975BA0" w:rsidRDefault="00DA358C" w:rsidP="00975BA0">
      <w:pPr>
        <w:pStyle w:val="PPVBullet2"/>
      </w:pPr>
      <w:r>
        <w:t xml:space="preserve">high pressure gas transmission </w:t>
      </w:r>
      <w:r w:rsidR="00975BA0">
        <w:t>pipeline protection</w:t>
      </w:r>
    </w:p>
    <w:p w:rsidR="00EF20D5" w:rsidRDefault="00EF20D5" w:rsidP="004F6781">
      <w:pPr>
        <w:pStyle w:val="PPVBullet1"/>
      </w:pPr>
      <w:r>
        <w:t>governance</w:t>
      </w:r>
    </w:p>
    <w:p w:rsidR="00785416" w:rsidRDefault="005046FF" w:rsidP="004F6781">
      <w:pPr>
        <w:pStyle w:val="PPVBullet1"/>
      </w:pPr>
      <w:r>
        <w:lastRenderedPageBreak/>
        <w:t>built form excellence and design review</w:t>
      </w:r>
    </w:p>
    <w:p w:rsidR="005046FF" w:rsidRDefault="005046FF" w:rsidP="004F6781">
      <w:pPr>
        <w:pStyle w:val="PPVBullet1"/>
      </w:pPr>
      <w:r>
        <w:t>environmental sustainability</w:t>
      </w:r>
    </w:p>
    <w:p w:rsidR="00EE461B" w:rsidRDefault="005046FF" w:rsidP="004F6781">
      <w:pPr>
        <w:pStyle w:val="PPVBullet1"/>
      </w:pPr>
      <w:r>
        <w:t>heritage</w:t>
      </w:r>
    </w:p>
    <w:p w:rsidR="005046FF" w:rsidRDefault="005046FF" w:rsidP="004F6781">
      <w:pPr>
        <w:pStyle w:val="PPVBullet1"/>
      </w:pPr>
      <w:r>
        <w:t>community involvement and engagement</w:t>
      </w:r>
    </w:p>
    <w:p w:rsidR="00EE461B" w:rsidRDefault="006A6047" w:rsidP="004F6781">
      <w:pPr>
        <w:pStyle w:val="PPVBullet1"/>
      </w:pPr>
      <w:r>
        <w:t xml:space="preserve">the way forward in providing for development of </w:t>
      </w:r>
      <w:r w:rsidR="00FC563B">
        <w:t>Precinct Plans</w:t>
      </w:r>
      <w:r>
        <w:t xml:space="preserve"> and critical infrastructure</w:t>
      </w:r>
    </w:p>
    <w:p w:rsidR="00C862CB" w:rsidRPr="00A90F8A" w:rsidRDefault="00C862CB" w:rsidP="00DD6314">
      <w:pPr>
        <w:pStyle w:val="Heading2"/>
      </w:pPr>
      <w:bookmarkStart w:id="205" w:name="_Toc519710258"/>
      <w:bookmarkStart w:id="206" w:name="_Toc519766818"/>
      <w:r w:rsidRPr="00A90F8A">
        <w:t>Elements with broad support</w:t>
      </w:r>
      <w:bookmarkEnd w:id="205"/>
      <w:bookmarkEnd w:id="206"/>
    </w:p>
    <w:p w:rsidR="00EF20D5" w:rsidRDefault="00EF20D5" w:rsidP="00EF20D5">
      <w:pPr>
        <w:pStyle w:val="PPVBody"/>
        <w:rPr>
          <w:rFonts w:asciiTheme="minorHAnsi" w:hAnsiTheme="minorHAnsi"/>
        </w:rPr>
      </w:pPr>
      <w:r>
        <w:rPr>
          <w:rFonts w:asciiTheme="minorHAnsi" w:hAnsiTheme="minorHAnsi"/>
        </w:rPr>
        <w:t>While the Hearing was robust and many issues were highly contentious, there were a number of key elements which received broad support.  These include:</w:t>
      </w:r>
    </w:p>
    <w:p w:rsidR="00EF20D5" w:rsidRDefault="00EF20D5" w:rsidP="00EF20D5">
      <w:pPr>
        <w:pStyle w:val="PPVBullet1"/>
      </w:pPr>
      <w:r>
        <w:t>the overall broader Vision of Fishermans Bend and the designation of the four Precincts (as well as the Employment Precinct)</w:t>
      </w:r>
    </w:p>
    <w:p w:rsidR="00EF20D5" w:rsidRDefault="00EF20D5" w:rsidP="00EF20D5">
      <w:pPr>
        <w:pStyle w:val="PPVBullet1"/>
      </w:pPr>
      <w:r>
        <w:t>employment targets</w:t>
      </w:r>
    </w:p>
    <w:p w:rsidR="00EF20D5" w:rsidRDefault="00EF20D5" w:rsidP="00EF20D5">
      <w:pPr>
        <w:pStyle w:val="PPVBullet1"/>
      </w:pPr>
      <w:r>
        <w:t>continued use and application of the CCZ</w:t>
      </w:r>
    </w:p>
    <w:p w:rsidR="00EF20D5" w:rsidRDefault="00EF20D5" w:rsidP="00EF20D5">
      <w:pPr>
        <w:pStyle w:val="PPVBullet1"/>
      </w:pPr>
      <w:r>
        <w:t xml:space="preserve">use of the DDO, although both Councils and others recommended separate </w:t>
      </w:r>
      <w:r w:rsidR="00007C27">
        <w:t xml:space="preserve">schedules </w:t>
      </w:r>
      <w:r>
        <w:t>for each Precinct</w:t>
      </w:r>
    </w:p>
    <w:p w:rsidR="00EF20D5" w:rsidRDefault="00EF20D5" w:rsidP="00EF20D5">
      <w:pPr>
        <w:pStyle w:val="PPVBullet1"/>
      </w:pPr>
      <w:r>
        <w:t>targeted use of the Development Plan Overlay for larger sites within or across Precincts (eg Goodman sites)</w:t>
      </w:r>
    </w:p>
    <w:p w:rsidR="00EF20D5" w:rsidRDefault="00EF20D5" w:rsidP="00EF20D5">
      <w:pPr>
        <w:pStyle w:val="PPVBullet1"/>
      </w:pPr>
      <w:r>
        <w:t>application of the Parking Overlay, with the key issue being its structure and the car parking rate</w:t>
      </w:r>
    </w:p>
    <w:p w:rsidR="00EF20D5" w:rsidRDefault="00EF20D5" w:rsidP="00EF20D5">
      <w:pPr>
        <w:pStyle w:val="PPVBullet1"/>
      </w:pPr>
      <w:r>
        <w:t>provision of public transport, and designating the alignments for both tram and rail routes as soon as possible to allow for Precinct planning (although the timing of the delivery of public transport was contentious)</w:t>
      </w:r>
    </w:p>
    <w:p w:rsidR="00EF20D5" w:rsidRDefault="00EF20D5" w:rsidP="00EF20D5">
      <w:pPr>
        <w:pStyle w:val="PPVBullet1"/>
      </w:pPr>
      <w:r>
        <w:t>overall quantum and distribution of public open space, except for some particular sites where alternative sites were suggested</w:t>
      </w:r>
    </w:p>
    <w:p w:rsidR="00EF20D5" w:rsidRDefault="00EF20D5" w:rsidP="00EF20D5">
      <w:pPr>
        <w:pStyle w:val="PPVBullet1"/>
      </w:pPr>
      <w:r>
        <w:t>designation of community hubs for social infrastructure.</w:t>
      </w:r>
    </w:p>
    <w:p w:rsidR="00EF20D5" w:rsidRDefault="00007C27" w:rsidP="00EF20D5">
      <w:pPr>
        <w:pStyle w:val="PPVBody"/>
      </w:pPr>
      <w:r>
        <w:t>Based on the information, submissions and evidence before it, the</w:t>
      </w:r>
      <w:r w:rsidR="00EF20D5">
        <w:t xml:space="preserve"> </w:t>
      </w:r>
      <w:r w:rsidR="00736808">
        <w:t xml:space="preserve">Review Panel considers the </w:t>
      </w:r>
      <w:r w:rsidR="00EF20D5">
        <w:t>overall Vision for Fishermans Bend and the draft Framework is generally sound.  It provides a good basis for moving forward to develo</w:t>
      </w:r>
      <w:r>
        <w:t xml:space="preserve">pment of the </w:t>
      </w:r>
      <w:r w:rsidR="00FC563B">
        <w:t>Precinct Plans</w:t>
      </w:r>
      <w:r w:rsidR="00EF20D5">
        <w:t xml:space="preserve"> and for having permanent controls in place.</w:t>
      </w:r>
    </w:p>
    <w:p w:rsidR="00EF20D5" w:rsidRDefault="00EF20D5" w:rsidP="00EF20D5">
      <w:pPr>
        <w:pStyle w:val="PPVBody"/>
      </w:pPr>
      <w:r>
        <w:t>The employment (jobs) target is generally achievable.</w:t>
      </w:r>
    </w:p>
    <w:p w:rsidR="00EF20D5" w:rsidRDefault="00EF20D5" w:rsidP="00EF20D5">
      <w:pPr>
        <w:pStyle w:val="PPVBody"/>
      </w:pPr>
      <w:r>
        <w:t xml:space="preserve">The CCZ is the correct zone for Fishermans Bend, and while the Mixed Use Zone may have been considered appropriate for </w:t>
      </w:r>
      <w:r w:rsidR="00736808">
        <w:t>some areas in the</w:t>
      </w:r>
      <w:r>
        <w:t xml:space="preserve"> Wirraway</w:t>
      </w:r>
      <w:r w:rsidR="00736808">
        <w:t xml:space="preserve"> and Montague</w:t>
      </w:r>
      <w:r>
        <w:t xml:space="preserve"> Precinct</w:t>
      </w:r>
      <w:r w:rsidR="00736808">
        <w:t>s</w:t>
      </w:r>
      <w:r>
        <w:t>, the Review Panel is content to confirm its support for the CCZ.</w:t>
      </w:r>
    </w:p>
    <w:p w:rsidR="00EF20D5" w:rsidRDefault="00EF20D5" w:rsidP="00EF20D5">
      <w:pPr>
        <w:pStyle w:val="PPVBody"/>
      </w:pPr>
      <w:r>
        <w:t>The use of the DDO is appropriate, although for reasons expressed in this report, the Review Panel supports the Councils’ submissions that there should be separate schedules for each of the Precincts.  However, the Review Panel emphasises the need for consistency between the schedules.</w:t>
      </w:r>
    </w:p>
    <w:p w:rsidR="00EF20D5" w:rsidRDefault="00EF20D5" w:rsidP="00EF20D5">
      <w:pPr>
        <w:pStyle w:val="PPVBody"/>
      </w:pPr>
      <w:r>
        <w:t>The use of the Development Plan Overlay for master planning large sites or specific areas is appropriate, but on an ‘opt-in’ basis</w:t>
      </w:r>
      <w:r w:rsidR="00BF166F">
        <w:t>.</w:t>
      </w:r>
    </w:p>
    <w:p w:rsidR="00EF20D5" w:rsidRDefault="00EF20D5" w:rsidP="00EF20D5">
      <w:pPr>
        <w:pStyle w:val="PPVBody"/>
      </w:pPr>
      <w:r>
        <w:t>Applying the Parking Overlay is acceptable and assists in achieving good and sustainable outcomes.</w:t>
      </w:r>
    </w:p>
    <w:p w:rsidR="00EF20D5" w:rsidRDefault="00EF20D5" w:rsidP="00EF20D5">
      <w:pPr>
        <w:pStyle w:val="PPVBody"/>
      </w:pPr>
      <w:r>
        <w:lastRenderedPageBreak/>
        <w:t>Providing public transport is critical in ensuring that Fishermans Bend can develop at the earliest opportunity, and the designation of public transport routes should be clarified as soon as practically possible.</w:t>
      </w:r>
    </w:p>
    <w:p w:rsidR="00EF20D5" w:rsidRDefault="00EF20D5" w:rsidP="00EF20D5">
      <w:pPr>
        <w:pStyle w:val="PPVBody"/>
      </w:pPr>
      <w:r>
        <w:t>There is general recognition that providing quality public open space is important for liveability.</w:t>
      </w:r>
    </w:p>
    <w:p w:rsidR="00EF20D5" w:rsidRDefault="00EF20D5" w:rsidP="00EF20D5">
      <w:pPr>
        <w:pStyle w:val="PPVBody"/>
      </w:pPr>
      <w:r>
        <w:t xml:space="preserve">The extent and location of the community hubs for social infrastructure, including for activity centres </w:t>
      </w:r>
      <w:r w:rsidR="00007C27">
        <w:t>a</w:t>
      </w:r>
      <w:r>
        <w:t>re broadly supported, albeit with some tweaking.</w:t>
      </w:r>
    </w:p>
    <w:p w:rsidR="00EF20D5" w:rsidRDefault="00EF20D5" w:rsidP="00EF20D5">
      <w:pPr>
        <w:pStyle w:val="Heading2"/>
      </w:pPr>
      <w:bookmarkStart w:id="207" w:name="_Toc519710259"/>
      <w:bookmarkStart w:id="208" w:name="_Toc519766819"/>
      <w:r w:rsidRPr="00A90F8A">
        <w:t>Issues to be resolved</w:t>
      </w:r>
      <w:bookmarkEnd w:id="207"/>
      <w:bookmarkEnd w:id="208"/>
    </w:p>
    <w:p w:rsidR="00EF20D5" w:rsidRDefault="00EF20D5" w:rsidP="00EF20D5">
      <w:pPr>
        <w:pStyle w:val="PPVBody"/>
      </w:pPr>
      <w:r>
        <w:t>Noting the elements with broad support, the key issues to be resolved include:</w:t>
      </w:r>
    </w:p>
    <w:p w:rsidR="00EF20D5" w:rsidRDefault="00EF20D5" w:rsidP="00EF20D5">
      <w:pPr>
        <w:pStyle w:val="PPVBullet1"/>
      </w:pPr>
      <w:r>
        <w:t>whether there should be a population target for Fishermans Bend, and if so, what should it be</w:t>
      </w:r>
    </w:p>
    <w:p w:rsidR="00EF20D5" w:rsidRDefault="00EF20D5" w:rsidP="00EF20D5">
      <w:pPr>
        <w:pStyle w:val="PPVBullet1"/>
      </w:pPr>
      <w:r>
        <w:t>the detail and workability of the FAR and FAU</w:t>
      </w:r>
    </w:p>
    <w:p w:rsidR="00EF20D5" w:rsidRDefault="00EF20D5" w:rsidP="00EF20D5">
      <w:pPr>
        <w:pStyle w:val="PPVBullet1"/>
      </w:pPr>
      <w:r>
        <w:t>how affordable and social housing should be delivered and by whom</w:t>
      </w:r>
    </w:p>
    <w:p w:rsidR="00EF20D5" w:rsidRDefault="00EF20D5" w:rsidP="00EF20D5">
      <w:pPr>
        <w:pStyle w:val="PPVBullet1"/>
      </w:pPr>
      <w:r>
        <w:t>specific location of public open space, how it should be acquired and funded, and whether it should be subject to mandatory or discretionary overshadowing controls</w:t>
      </w:r>
    </w:p>
    <w:p w:rsidR="00EF20D5" w:rsidRDefault="00EF20D5" w:rsidP="00EF20D5">
      <w:pPr>
        <w:pStyle w:val="PPVBullet1"/>
      </w:pPr>
      <w:r>
        <w:t>the overall transport framework and the timing of public transport</w:t>
      </w:r>
    </w:p>
    <w:p w:rsidR="00EF20D5" w:rsidRDefault="00EF20D5" w:rsidP="00EF20D5">
      <w:pPr>
        <w:pStyle w:val="PPVBullet1"/>
      </w:pPr>
      <w:r>
        <w:t>flooding and integrated water management</w:t>
      </w:r>
    </w:p>
    <w:p w:rsidR="00EF20D5" w:rsidRDefault="00EF20D5" w:rsidP="00EF20D5">
      <w:pPr>
        <w:pStyle w:val="PPVBullet1"/>
      </w:pPr>
      <w:r>
        <w:t>environmentally sustainable design</w:t>
      </w:r>
    </w:p>
    <w:p w:rsidR="00785416" w:rsidRDefault="00EF20D5" w:rsidP="00EF20D5">
      <w:pPr>
        <w:pStyle w:val="PPVBullet1"/>
      </w:pPr>
      <w:r>
        <w:t>governance</w:t>
      </w:r>
    </w:p>
    <w:p w:rsidR="00EF20D5" w:rsidRDefault="00EF20D5" w:rsidP="00EF20D5">
      <w:pPr>
        <w:pStyle w:val="PPVBullet1"/>
      </w:pPr>
      <w:r>
        <w:t>funding for social and physical infrastructure, and the mechanism by which this should occur</w:t>
      </w:r>
    </w:p>
    <w:p w:rsidR="00EF20D5" w:rsidRDefault="00EF20D5" w:rsidP="00EF20D5">
      <w:pPr>
        <w:pStyle w:val="PPVBullet1"/>
      </w:pPr>
      <w:r>
        <w:t xml:space="preserve">transitional provisions for </w:t>
      </w:r>
      <w:r w:rsidR="00E60E8F">
        <w:t xml:space="preserve">existing permits and </w:t>
      </w:r>
      <w:r>
        <w:t>live (current) permit applications</w:t>
      </w:r>
    </w:p>
    <w:p w:rsidR="00EF20D5" w:rsidRDefault="00EF20D5" w:rsidP="00EF20D5">
      <w:pPr>
        <w:pStyle w:val="PPVBullet1"/>
      </w:pPr>
      <w:r>
        <w:t>the final form of the planning controls and their content and structure.</w:t>
      </w:r>
    </w:p>
    <w:p w:rsidR="00EF20D5" w:rsidRPr="00785416" w:rsidRDefault="00007C27" w:rsidP="00C862CB">
      <w:pPr>
        <w:pStyle w:val="PPVBody"/>
      </w:pPr>
      <w:r>
        <w:t>The</w:t>
      </w:r>
      <w:r w:rsidR="00EF20D5">
        <w:t xml:space="preserve"> resolution of these key issues forms the basis of the rema</w:t>
      </w:r>
      <w:r w:rsidR="00785416">
        <w:t>inder of this report.</w:t>
      </w:r>
    </w:p>
    <w:p w:rsidR="00222A51" w:rsidRPr="00A90F8A" w:rsidRDefault="00C862CB" w:rsidP="008B68A1">
      <w:pPr>
        <w:pStyle w:val="Heading1"/>
        <w:rPr>
          <w:rFonts w:asciiTheme="minorHAnsi" w:hAnsiTheme="minorHAnsi"/>
        </w:rPr>
      </w:pPr>
      <w:bookmarkStart w:id="209" w:name="_Ref519685498"/>
      <w:bookmarkStart w:id="210" w:name="_Ref519688381"/>
      <w:bookmarkStart w:id="211" w:name="_Toc519710260"/>
      <w:bookmarkStart w:id="212" w:name="_Toc519766820"/>
      <w:r w:rsidRPr="00A90F8A">
        <w:rPr>
          <w:rFonts w:asciiTheme="minorHAnsi" w:hAnsiTheme="minorHAnsi"/>
        </w:rPr>
        <w:lastRenderedPageBreak/>
        <w:t>P</w:t>
      </w:r>
      <w:r w:rsidR="00AC6F5C" w:rsidRPr="00A90F8A">
        <w:rPr>
          <w:rFonts w:asciiTheme="minorHAnsi" w:hAnsiTheme="minorHAnsi"/>
        </w:rPr>
        <w:t xml:space="preserve">opulation </w:t>
      </w:r>
      <w:r w:rsidR="00ED5C17" w:rsidRPr="00A90F8A">
        <w:rPr>
          <w:rFonts w:asciiTheme="minorHAnsi" w:hAnsiTheme="minorHAnsi"/>
        </w:rPr>
        <w:t xml:space="preserve">and </w:t>
      </w:r>
      <w:r w:rsidR="00736808">
        <w:rPr>
          <w:rFonts w:asciiTheme="minorHAnsi" w:hAnsiTheme="minorHAnsi"/>
        </w:rPr>
        <w:t>e</w:t>
      </w:r>
      <w:r w:rsidR="00ED5C17" w:rsidRPr="00A90F8A">
        <w:rPr>
          <w:rFonts w:asciiTheme="minorHAnsi" w:hAnsiTheme="minorHAnsi"/>
        </w:rPr>
        <w:t>mployment</w:t>
      </w:r>
      <w:bookmarkEnd w:id="209"/>
      <w:bookmarkEnd w:id="210"/>
      <w:bookmarkEnd w:id="211"/>
      <w:bookmarkEnd w:id="212"/>
    </w:p>
    <w:p w:rsidR="00EE461B" w:rsidRDefault="00EA6C03" w:rsidP="00DD6314">
      <w:pPr>
        <w:pStyle w:val="Heading2"/>
      </w:pPr>
      <w:bookmarkStart w:id="213" w:name="_Toc519710261"/>
      <w:bookmarkStart w:id="214" w:name="_Toc519766821"/>
      <w:bookmarkStart w:id="215" w:name="_Toc515008320"/>
      <w:r>
        <w:t>Context and k</w:t>
      </w:r>
      <w:r w:rsidR="002C797E" w:rsidRPr="002C797E">
        <w:t>ey</w:t>
      </w:r>
      <w:r w:rsidR="002C797E" w:rsidRPr="00A90F8A">
        <w:t xml:space="preserve"> issues</w:t>
      </w:r>
      <w:bookmarkEnd w:id="213"/>
      <w:bookmarkEnd w:id="214"/>
    </w:p>
    <w:p w:rsidR="00785416" w:rsidRDefault="008F389F" w:rsidP="008F389F">
      <w:pPr>
        <w:pStyle w:val="PPVBody"/>
      </w:pPr>
      <w:r>
        <w:t>The Vision provides for a population of 80,000 people and 60,000 jobs.  The draft Framework provides for the same population, and 80,000 jobs.</w:t>
      </w:r>
    </w:p>
    <w:p w:rsidR="008F389F" w:rsidRDefault="008F389F" w:rsidP="008F389F">
      <w:pPr>
        <w:pStyle w:val="PPVBody"/>
        <w:rPr>
          <w:rFonts w:asciiTheme="minorHAnsi" w:hAnsiTheme="minorHAnsi"/>
        </w:rPr>
      </w:pPr>
      <w:r>
        <w:rPr>
          <w:rFonts w:asciiTheme="minorHAnsi" w:hAnsiTheme="minorHAnsi"/>
        </w:rPr>
        <w:t>The</w:t>
      </w:r>
      <w:r w:rsidRPr="00A90F8A">
        <w:rPr>
          <w:rFonts w:asciiTheme="minorHAnsi" w:hAnsiTheme="minorHAnsi"/>
        </w:rPr>
        <w:t xml:space="preserve"> population target i</w:t>
      </w:r>
      <w:r>
        <w:rPr>
          <w:rFonts w:asciiTheme="minorHAnsi" w:hAnsiTheme="minorHAnsi"/>
        </w:rPr>
        <w:t>nforms the Amendment in a number of ways</w:t>
      </w:r>
      <w:r w:rsidRPr="00A90F8A">
        <w:rPr>
          <w:rFonts w:asciiTheme="minorHAnsi" w:hAnsiTheme="minorHAnsi"/>
        </w:rPr>
        <w:t>:</w:t>
      </w:r>
    </w:p>
    <w:p w:rsidR="008F389F" w:rsidRDefault="008F389F" w:rsidP="008F389F">
      <w:pPr>
        <w:pStyle w:val="PPVBullet1"/>
      </w:pPr>
      <w:r>
        <w:t>i</w:t>
      </w:r>
      <w:r w:rsidRPr="00A90F8A">
        <w:t>t underpins the</w:t>
      </w:r>
      <w:r>
        <w:t xml:space="preserve"> FAR</w:t>
      </w:r>
      <w:r w:rsidRPr="00A90F8A">
        <w:t xml:space="preserve"> calculated for the core and non-core areas of each </w:t>
      </w:r>
      <w:r w:rsidR="00EE531A">
        <w:t>P</w:t>
      </w:r>
      <w:r w:rsidRPr="00A90F8A">
        <w:t>recinct</w:t>
      </w:r>
    </w:p>
    <w:p w:rsidR="008F389F" w:rsidRPr="00A90F8A" w:rsidRDefault="008F389F" w:rsidP="008F389F">
      <w:pPr>
        <w:pStyle w:val="PPVBullet1"/>
      </w:pPr>
      <w:r>
        <w:t>i</w:t>
      </w:r>
      <w:r w:rsidRPr="00A90F8A">
        <w:t>t provides the basis for forecasting demand for open space, schools, community infrastructure and public transport</w:t>
      </w:r>
    </w:p>
    <w:p w:rsidR="008F389F" w:rsidRPr="00A90F8A" w:rsidRDefault="008F389F" w:rsidP="008F389F">
      <w:pPr>
        <w:pStyle w:val="PPVBullet1"/>
      </w:pPr>
      <w:r>
        <w:t>i</w:t>
      </w:r>
      <w:r w:rsidRPr="00A90F8A">
        <w:t xml:space="preserve">t is translated into the dwelling density policy in </w:t>
      </w:r>
      <w:r>
        <w:t>C</w:t>
      </w:r>
      <w:r w:rsidRPr="00A90F8A">
        <w:t>lause 22.XX</w:t>
      </w:r>
      <w:r>
        <w:t>.</w:t>
      </w:r>
    </w:p>
    <w:p w:rsidR="008F389F" w:rsidRDefault="008F389F" w:rsidP="008F389F">
      <w:pPr>
        <w:pStyle w:val="PPVBody"/>
        <w:rPr>
          <w:rFonts w:asciiTheme="minorHAnsi" w:hAnsiTheme="minorHAnsi"/>
        </w:rPr>
      </w:pPr>
      <w:r w:rsidRPr="00601E61">
        <w:t xml:space="preserve">The issue of the population targets for Fishermans Bend was controversial, with the majority of landholders submitting that the </w:t>
      </w:r>
      <w:r>
        <w:t xml:space="preserve">residential </w:t>
      </w:r>
      <w:r w:rsidRPr="00601E61">
        <w:t>population target proposed is too low.</w:t>
      </w:r>
      <w:r>
        <w:t xml:space="preserve">  </w:t>
      </w:r>
      <w:r>
        <w:rPr>
          <w:rFonts w:asciiTheme="minorHAnsi" w:hAnsiTheme="minorHAnsi"/>
        </w:rPr>
        <w:t>The key issues to be addressed are:</w:t>
      </w:r>
    </w:p>
    <w:p w:rsidR="008F389F" w:rsidRDefault="008F389F" w:rsidP="008F389F">
      <w:pPr>
        <w:pStyle w:val="PPVBullet1"/>
      </w:pPr>
      <w:r>
        <w:t>whether the proposed population target can be reviewed</w:t>
      </w:r>
    </w:p>
    <w:p w:rsidR="008F389F" w:rsidRDefault="008F389F" w:rsidP="008F389F">
      <w:pPr>
        <w:pStyle w:val="PPVBullet1"/>
      </w:pPr>
      <w:r>
        <w:t>genesis of the population and jobs</w:t>
      </w:r>
      <w:r w:rsidRPr="00981E1E">
        <w:t xml:space="preserve"> </w:t>
      </w:r>
      <w:r>
        <w:t>targets</w:t>
      </w:r>
    </w:p>
    <w:p w:rsidR="008F389F" w:rsidRDefault="008F389F" w:rsidP="008F389F">
      <w:pPr>
        <w:pStyle w:val="PPVBullet1"/>
      </w:pPr>
      <w:r>
        <w:t>whether population (rather than urban form) is an appropriate starting point for developing the planning controls</w:t>
      </w:r>
    </w:p>
    <w:p w:rsidR="008F389F" w:rsidRDefault="008F389F" w:rsidP="008F389F">
      <w:pPr>
        <w:pStyle w:val="PPVBullet1"/>
      </w:pPr>
      <w:r w:rsidRPr="002D1D6D">
        <w:t xml:space="preserve">whether the proposed </w:t>
      </w:r>
      <w:r>
        <w:t>residential</w:t>
      </w:r>
      <w:r w:rsidRPr="0037002E">
        <w:t xml:space="preserve"> </w:t>
      </w:r>
      <w:r>
        <w:t>densities are appropriate</w:t>
      </w:r>
    </w:p>
    <w:p w:rsidR="00785416" w:rsidRDefault="008F389F" w:rsidP="008F389F">
      <w:pPr>
        <w:pStyle w:val="PPVBullet1"/>
      </w:pPr>
      <w:r>
        <w:t>the appropriateness of the population target</w:t>
      </w:r>
    </w:p>
    <w:p w:rsidR="008F389F" w:rsidRPr="00A55E48" w:rsidRDefault="008F389F" w:rsidP="008F389F">
      <w:pPr>
        <w:pStyle w:val="PPVBullet1"/>
      </w:pPr>
      <w:r>
        <w:t>the appropriateness of the jobs target</w:t>
      </w:r>
      <w:r w:rsidRPr="0069262D">
        <w:t>.</w:t>
      </w:r>
    </w:p>
    <w:p w:rsidR="008F389F" w:rsidRPr="00A90F8A" w:rsidRDefault="008F389F" w:rsidP="008F389F">
      <w:pPr>
        <w:pStyle w:val="Heading2"/>
      </w:pPr>
      <w:bookmarkStart w:id="216" w:name="_Toc519270975"/>
      <w:bookmarkStart w:id="217" w:name="_Toc519710262"/>
      <w:bookmarkStart w:id="218" w:name="_Toc519766822"/>
      <w:r>
        <w:t>Whether the proposed population target can be reviewed</w:t>
      </w:r>
      <w:bookmarkEnd w:id="216"/>
      <w:bookmarkEnd w:id="217"/>
      <w:bookmarkEnd w:id="218"/>
    </w:p>
    <w:p w:rsidR="008F389F" w:rsidRPr="00A90F8A" w:rsidRDefault="008F389F" w:rsidP="008F389F">
      <w:pPr>
        <w:pStyle w:val="Heading4"/>
      </w:pPr>
      <w:r w:rsidRPr="00A90F8A">
        <w:t>Evidence and submissions</w:t>
      </w:r>
    </w:p>
    <w:p w:rsidR="008F389F" w:rsidRPr="00A90F8A" w:rsidRDefault="008F389F" w:rsidP="008F389F">
      <w:pPr>
        <w:rPr>
          <w:rFonts w:asciiTheme="minorHAnsi" w:hAnsiTheme="minorHAnsi"/>
        </w:rPr>
      </w:pPr>
      <w:r>
        <w:rPr>
          <w:rFonts w:asciiTheme="minorHAnsi" w:hAnsiTheme="minorHAnsi"/>
        </w:rPr>
        <w:t xml:space="preserve">The </w:t>
      </w:r>
      <w:r w:rsidRPr="00A90F8A">
        <w:rPr>
          <w:rFonts w:asciiTheme="minorHAnsi" w:hAnsiTheme="minorHAnsi"/>
        </w:rPr>
        <w:t>Minister submitted:</w:t>
      </w:r>
    </w:p>
    <w:p w:rsidR="008F389F" w:rsidRPr="00293BE6" w:rsidRDefault="008F389F" w:rsidP="008F389F">
      <w:pPr>
        <w:pStyle w:val="PPVQuote"/>
        <w:rPr>
          <w:rFonts w:asciiTheme="minorHAnsi" w:hAnsiTheme="minorHAnsi"/>
        </w:rPr>
      </w:pPr>
      <w:r w:rsidRPr="00293BE6">
        <w:rPr>
          <w:rFonts w:asciiTheme="minorHAnsi" w:hAnsiTheme="minorHAnsi"/>
        </w:rPr>
        <w:t>…</w:t>
      </w:r>
      <w:r>
        <w:rPr>
          <w:rFonts w:asciiTheme="minorHAnsi" w:hAnsiTheme="minorHAnsi"/>
        </w:rPr>
        <w:t xml:space="preserve"> </w:t>
      </w:r>
      <w:r w:rsidRPr="00293BE6">
        <w:rPr>
          <w:rFonts w:asciiTheme="minorHAnsi" w:hAnsiTheme="minorHAnsi"/>
        </w:rPr>
        <w:t>the role of the Review Panel is not to review the Vision; it is not to interrogate how the background documents have informed the draft Framework; and it is not to interrogate the draft Framework, except to the extent that the proposed controls have been informed by the draft Framework to achieve the Vision.</w:t>
      </w:r>
      <w:r>
        <w:rPr>
          <w:rStyle w:val="FootnoteReference"/>
          <w:rFonts w:asciiTheme="minorHAnsi" w:hAnsiTheme="minorHAnsi"/>
        </w:rPr>
        <w:footnoteReference w:id="15"/>
      </w:r>
    </w:p>
    <w:p w:rsidR="008F389F" w:rsidRPr="00A90F8A" w:rsidRDefault="008F389F" w:rsidP="008F389F">
      <w:pPr>
        <w:rPr>
          <w:rFonts w:asciiTheme="minorHAnsi" w:hAnsiTheme="minorHAnsi"/>
        </w:rPr>
      </w:pPr>
      <w:r w:rsidRPr="00A90F8A">
        <w:rPr>
          <w:rFonts w:asciiTheme="minorHAnsi" w:hAnsiTheme="minorHAnsi"/>
        </w:rPr>
        <w:t>Mr Tweedie submitted that that Review Panel is not only entitled to review the</w:t>
      </w:r>
      <w:r>
        <w:rPr>
          <w:rFonts w:asciiTheme="minorHAnsi" w:hAnsiTheme="minorHAnsi"/>
        </w:rPr>
        <w:t xml:space="preserve">se documents, </w:t>
      </w:r>
      <w:r w:rsidRPr="00A90F8A">
        <w:rPr>
          <w:rFonts w:asciiTheme="minorHAnsi" w:hAnsiTheme="minorHAnsi"/>
        </w:rPr>
        <w:t>it has a legal obligation to do so</w:t>
      </w:r>
      <w:r>
        <w:rPr>
          <w:rFonts w:asciiTheme="minorHAnsi" w:hAnsiTheme="minorHAnsi"/>
        </w:rPr>
        <w:t xml:space="preserve">, </w:t>
      </w:r>
      <w:r w:rsidRPr="00A90F8A">
        <w:rPr>
          <w:rFonts w:asciiTheme="minorHAnsi" w:hAnsiTheme="minorHAnsi"/>
        </w:rPr>
        <w:t>because:</w:t>
      </w:r>
    </w:p>
    <w:p w:rsidR="008F389F" w:rsidRPr="00A90F8A" w:rsidRDefault="008F389F" w:rsidP="008F389F">
      <w:pPr>
        <w:pStyle w:val="PPVQuote"/>
        <w:rPr>
          <w:rFonts w:asciiTheme="minorHAnsi" w:hAnsiTheme="minorHAnsi"/>
        </w:rPr>
      </w:pPr>
      <w:r w:rsidRPr="00A90F8A">
        <w:rPr>
          <w:rFonts w:asciiTheme="minorHAnsi" w:hAnsiTheme="minorHAnsi"/>
        </w:rPr>
        <w:t>There has been extensive submissions and evidence called by the Minister with regard to the Vision, and in particular the population targets included in the Vision, and the draft Framework.</w:t>
      </w:r>
      <w:r w:rsidRPr="00820B43">
        <w:rPr>
          <w:rStyle w:val="FootnoteReference"/>
          <w:rFonts w:asciiTheme="minorHAnsi" w:hAnsiTheme="minorHAnsi"/>
          <w:i w:val="0"/>
        </w:rPr>
        <w:footnoteReference w:id="16"/>
      </w:r>
    </w:p>
    <w:p w:rsidR="008F389F" w:rsidRPr="00A90F8A" w:rsidRDefault="008F389F" w:rsidP="008F389F">
      <w:pPr>
        <w:rPr>
          <w:rFonts w:asciiTheme="minorHAnsi" w:hAnsiTheme="minorHAnsi"/>
        </w:rPr>
      </w:pPr>
      <w:r w:rsidRPr="00A90F8A">
        <w:rPr>
          <w:rFonts w:asciiTheme="minorHAnsi" w:hAnsiTheme="minorHAnsi"/>
        </w:rPr>
        <w:t>Mr Tweedie was supported by others including Ms Collingwood</w:t>
      </w:r>
      <w:r>
        <w:rPr>
          <w:rFonts w:asciiTheme="minorHAnsi" w:hAnsiTheme="minorHAnsi"/>
        </w:rPr>
        <w:t xml:space="preserve"> and Mr Wren.</w:t>
      </w:r>
    </w:p>
    <w:p w:rsidR="008F389F" w:rsidRPr="00A90F8A" w:rsidRDefault="008F389F" w:rsidP="008F389F">
      <w:pPr>
        <w:rPr>
          <w:rFonts w:asciiTheme="minorHAnsi" w:hAnsiTheme="minorHAnsi"/>
        </w:rPr>
      </w:pPr>
      <w:r w:rsidRPr="00A90F8A">
        <w:rPr>
          <w:rFonts w:asciiTheme="minorHAnsi" w:hAnsiTheme="minorHAnsi"/>
        </w:rPr>
        <w:t>In closing, the Minister reaffirmed his position by submitting:</w:t>
      </w:r>
    </w:p>
    <w:p w:rsidR="008F389F" w:rsidRPr="00A90F8A" w:rsidRDefault="008F389F" w:rsidP="008F389F">
      <w:pPr>
        <w:ind w:left="851"/>
        <w:rPr>
          <w:rFonts w:asciiTheme="minorHAnsi" w:hAnsiTheme="minorHAnsi"/>
        </w:rPr>
      </w:pPr>
      <w:r w:rsidRPr="00A90F8A">
        <w:rPr>
          <w:rStyle w:val="PPVQuoteChar"/>
          <w:rFonts w:asciiTheme="minorHAnsi" w:hAnsiTheme="minorHAnsi"/>
        </w:rPr>
        <w:lastRenderedPageBreak/>
        <w:t>Nothing in the Terms (of Reference) requests the Review Panel to review the Vision and, although not expressly excluded, it is respectfully submitted that such a review is inconsistent with the clear intent of the Terms</w:t>
      </w:r>
      <w:r w:rsidRPr="00A90F8A">
        <w:rPr>
          <w:rFonts w:asciiTheme="minorHAnsi" w:hAnsiTheme="minorHAnsi"/>
        </w:rPr>
        <w:t>.</w:t>
      </w:r>
      <w:r w:rsidRPr="00820B43">
        <w:rPr>
          <w:rStyle w:val="FootnoteReference"/>
          <w:rFonts w:asciiTheme="minorHAnsi" w:hAnsiTheme="minorHAnsi"/>
        </w:rPr>
        <w:footnoteReference w:id="17"/>
      </w:r>
    </w:p>
    <w:p w:rsidR="008F389F" w:rsidRDefault="008F389F" w:rsidP="008F389F">
      <w:pPr>
        <w:pStyle w:val="PPVBody"/>
        <w:rPr>
          <w:rFonts w:asciiTheme="minorHAnsi" w:hAnsiTheme="minorHAnsi"/>
        </w:rPr>
      </w:pPr>
      <w:r w:rsidRPr="00A90F8A">
        <w:rPr>
          <w:rFonts w:asciiTheme="minorHAnsi" w:hAnsiTheme="minorHAnsi"/>
        </w:rPr>
        <w:t>However</w:t>
      </w:r>
      <w:r>
        <w:rPr>
          <w:rFonts w:asciiTheme="minorHAnsi" w:hAnsiTheme="minorHAnsi"/>
        </w:rPr>
        <w:t>,</w:t>
      </w:r>
      <w:r w:rsidRPr="00A90F8A">
        <w:rPr>
          <w:rFonts w:asciiTheme="minorHAnsi" w:hAnsiTheme="minorHAnsi"/>
        </w:rPr>
        <w:t xml:space="preserve"> the Minister’s Part B </w:t>
      </w:r>
      <w:r>
        <w:rPr>
          <w:rFonts w:asciiTheme="minorHAnsi" w:hAnsiTheme="minorHAnsi"/>
        </w:rPr>
        <w:t xml:space="preserve">submission </w:t>
      </w:r>
      <w:r w:rsidRPr="00A90F8A">
        <w:rPr>
          <w:rFonts w:asciiTheme="minorHAnsi" w:hAnsiTheme="minorHAnsi"/>
        </w:rPr>
        <w:t>acknowledged that:</w:t>
      </w:r>
    </w:p>
    <w:p w:rsidR="008F389F" w:rsidRPr="00A90F8A" w:rsidRDefault="008F389F" w:rsidP="008F389F">
      <w:pPr>
        <w:pStyle w:val="PPVQuote"/>
        <w:rPr>
          <w:rFonts w:asciiTheme="minorHAnsi" w:hAnsiTheme="minorHAnsi"/>
        </w:rPr>
      </w:pPr>
      <w:r>
        <w:rPr>
          <w:rFonts w:asciiTheme="minorHAnsi" w:hAnsiTheme="minorHAnsi"/>
        </w:rPr>
        <w:t xml:space="preserve">… </w:t>
      </w:r>
      <w:r w:rsidRPr="00A90F8A">
        <w:rPr>
          <w:rFonts w:asciiTheme="minorHAnsi" w:hAnsiTheme="minorHAnsi"/>
        </w:rPr>
        <w:t>the FAU scheme has the potential to result in an increase in the overall number of workers and residents in Fishermans Bend, including potentially beyond the 80,000 population and employment targets.</w:t>
      </w:r>
    </w:p>
    <w:p w:rsidR="008F389F" w:rsidRDefault="008F389F" w:rsidP="008F389F">
      <w:pPr>
        <w:pStyle w:val="PPVBody"/>
        <w:rPr>
          <w:rFonts w:asciiTheme="minorHAnsi" w:hAnsiTheme="minorHAnsi"/>
        </w:rPr>
      </w:pPr>
      <w:r w:rsidRPr="00A90F8A">
        <w:rPr>
          <w:rFonts w:asciiTheme="minorHAnsi" w:hAnsiTheme="minorHAnsi"/>
        </w:rPr>
        <w:t>Under cross examination by Mr Tweedie, Ms Hodyl acknowledged that under the FAR/ FAU controls proposed, a population as high as 149,000 could result.</w:t>
      </w:r>
      <w:r w:rsidRPr="00820B43">
        <w:rPr>
          <w:rStyle w:val="FootnoteReference"/>
          <w:rFonts w:asciiTheme="minorHAnsi" w:hAnsiTheme="minorHAnsi"/>
        </w:rPr>
        <w:footnoteReference w:id="18"/>
      </w:r>
    </w:p>
    <w:p w:rsidR="008F389F" w:rsidRPr="00A90F8A" w:rsidRDefault="008F389F" w:rsidP="008F389F">
      <w:pPr>
        <w:pStyle w:val="PPVBody"/>
        <w:rPr>
          <w:rFonts w:asciiTheme="minorHAnsi" w:hAnsiTheme="minorHAnsi"/>
        </w:rPr>
      </w:pPr>
      <w:r>
        <w:rPr>
          <w:rFonts w:asciiTheme="minorHAnsi" w:hAnsiTheme="minorHAnsi"/>
        </w:rPr>
        <w:t xml:space="preserve">In closing, Mr Tweedie submitted that the Minister had not sought to change the Terms of Reference to clarify that the Review Panel is not to review the population target.  Nor had he declined to answer questions about the population target in the </w:t>
      </w:r>
      <w:r>
        <w:t>Review Panel’s p</w:t>
      </w:r>
      <w:r w:rsidRPr="00684142">
        <w:t>reliminar</w:t>
      </w:r>
      <w:r>
        <w:t>y list of key issues (D</w:t>
      </w:r>
      <w:r w:rsidRPr="00684142">
        <w:t>20)</w:t>
      </w:r>
      <w:r>
        <w:rPr>
          <w:rFonts w:asciiTheme="minorHAnsi" w:hAnsiTheme="minorHAnsi"/>
        </w:rPr>
        <w:t xml:space="preserve"> on the basis that they did not fall within the Terms of Reference.</w:t>
      </w:r>
    </w:p>
    <w:p w:rsidR="008F389F" w:rsidRPr="00A90F8A" w:rsidRDefault="008F389F" w:rsidP="008F389F">
      <w:pPr>
        <w:pStyle w:val="Heading4"/>
      </w:pPr>
      <w:r w:rsidRPr="00A90F8A">
        <w:t>Discussion</w:t>
      </w:r>
    </w:p>
    <w:p w:rsidR="008F389F" w:rsidRPr="00A90F8A" w:rsidRDefault="008F389F" w:rsidP="008F389F">
      <w:pPr>
        <w:pStyle w:val="PPVBody"/>
        <w:rPr>
          <w:rFonts w:asciiTheme="minorHAnsi" w:hAnsiTheme="minorHAnsi"/>
        </w:rPr>
      </w:pPr>
      <w:r w:rsidRPr="00A90F8A">
        <w:rPr>
          <w:rFonts w:asciiTheme="minorHAnsi" w:hAnsiTheme="minorHAnsi"/>
        </w:rPr>
        <w:t>The Review Panel acknowledges that a population of 80,000 is referenced in numerous policy d</w:t>
      </w:r>
      <w:r>
        <w:rPr>
          <w:rFonts w:asciiTheme="minorHAnsi" w:hAnsiTheme="minorHAnsi"/>
        </w:rPr>
        <w:t xml:space="preserve">ocuments, including the Vision, the draft Framework </w:t>
      </w:r>
      <w:r w:rsidRPr="00A90F8A">
        <w:rPr>
          <w:rFonts w:asciiTheme="minorHAnsi" w:hAnsiTheme="minorHAnsi"/>
        </w:rPr>
        <w:t xml:space="preserve">and the </w:t>
      </w:r>
      <w:r w:rsidRPr="00A9346C">
        <w:rPr>
          <w:rFonts w:asciiTheme="minorHAnsi" w:hAnsiTheme="minorHAnsi"/>
          <w:i/>
        </w:rPr>
        <w:t xml:space="preserve">Plan Melbourne Implementation </w:t>
      </w:r>
      <w:r>
        <w:rPr>
          <w:rFonts w:asciiTheme="minorHAnsi" w:hAnsiTheme="minorHAnsi"/>
          <w:i/>
        </w:rPr>
        <w:t>Plan</w:t>
      </w:r>
      <w:r w:rsidRPr="00A9346C">
        <w:rPr>
          <w:rFonts w:asciiTheme="minorHAnsi" w:hAnsiTheme="minorHAnsi"/>
          <w:i/>
        </w:rPr>
        <w:t>.</w:t>
      </w:r>
      <w:r w:rsidRPr="00A90F8A">
        <w:rPr>
          <w:rFonts w:asciiTheme="minorHAnsi" w:hAnsiTheme="minorHAnsi"/>
        </w:rPr>
        <w:t xml:space="preserve"> </w:t>
      </w:r>
      <w:r>
        <w:rPr>
          <w:rFonts w:asciiTheme="minorHAnsi" w:hAnsiTheme="minorHAnsi"/>
        </w:rPr>
        <w:t xml:space="preserve"> </w:t>
      </w:r>
      <w:r w:rsidRPr="00A90F8A">
        <w:rPr>
          <w:rFonts w:asciiTheme="minorHAnsi" w:hAnsiTheme="minorHAnsi"/>
        </w:rPr>
        <w:t>However</w:t>
      </w:r>
      <w:r>
        <w:rPr>
          <w:rFonts w:asciiTheme="minorHAnsi" w:hAnsiTheme="minorHAnsi"/>
        </w:rPr>
        <w:t>,</w:t>
      </w:r>
      <w:r w:rsidRPr="00A90F8A">
        <w:rPr>
          <w:rFonts w:asciiTheme="minorHAnsi" w:hAnsiTheme="minorHAnsi"/>
        </w:rPr>
        <w:t xml:space="preserve"> it is cognisant that the controls proposed by the Minister</w:t>
      </w:r>
      <w:r>
        <w:rPr>
          <w:rFonts w:asciiTheme="minorHAnsi" w:hAnsiTheme="minorHAnsi"/>
        </w:rPr>
        <w:t>,</w:t>
      </w:r>
      <w:r w:rsidRPr="00A90F8A">
        <w:rPr>
          <w:rFonts w:asciiTheme="minorHAnsi" w:hAnsiTheme="minorHAnsi"/>
        </w:rPr>
        <w:t xml:space="preserve"> and as acknowledged by Ms Hodyl</w:t>
      </w:r>
      <w:r>
        <w:rPr>
          <w:rFonts w:asciiTheme="minorHAnsi" w:hAnsiTheme="minorHAnsi"/>
        </w:rPr>
        <w:t>,</w:t>
      </w:r>
      <w:r w:rsidRPr="00A90F8A">
        <w:rPr>
          <w:rFonts w:asciiTheme="minorHAnsi" w:hAnsiTheme="minorHAnsi"/>
        </w:rPr>
        <w:t xml:space="preserve"> could result in a </w:t>
      </w:r>
      <w:r>
        <w:rPr>
          <w:rFonts w:asciiTheme="minorHAnsi" w:hAnsiTheme="minorHAnsi"/>
        </w:rPr>
        <w:t>significantly higher population than the 80,000 proposed.</w:t>
      </w:r>
    </w:p>
    <w:p w:rsidR="00785416" w:rsidRDefault="008F389F" w:rsidP="008F389F">
      <w:pPr>
        <w:pStyle w:val="PPVBody"/>
        <w:rPr>
          <w:rFonts w:asciiTheme="minorHAnsi" w:hAnsiTheme="minorHAnsi"/>
        </w:rPr>
      </w:pPr>
      <w:r>
        <w:rPr>
          <w:rFonts w:asciiTheme="minorHAnsi" w:hAnsiTheme="minorHAnsi"/>
        </w:rPr>
        <w:t>T</w:t>
      </w:r>
      <w:r w:rsidRPr="00A90F8A">
        <w:rPr>
          <w:rFonts w:asciiTheme="minorHAnsi" w:hAnsiTheme="minorHAnsi"/>
        </w:rPr>
        <w:t xml:space="preserve">he Terms of Reference neither require nor prohibit </w:t>
      </w:r>
      <w:r>
        <w:rPr>
          <w:rFonts w:asciiTheme="minorHAnsi" w:hAnsiTheme="minorHAnsi"/>
        </w:rPr>
        <w:t>the Review Panel</w:t>
      </w:r>
      <w:r w:rsidRPr="00A90F8A">
        <w:rPr>
          <w:rFonts w:asciiTheme="minorHAnsi" w:hAnsiTheme="minorHAnsi"/>
        </w:rPr>
        <w:t xml:space="preserve"> from reviewing the Vision. </w:t>
      </w:r>
      <w:r>
        <w:rPr>
          <w:rFonts w:asciiTheme="minorHAnsi" w:hAnsiTheme="minorHAnsi"/>
        </w:rPr>
        <w:t xml:space="preserve"> Having said that, it is not the role of the Review Panel to</w:t>
      </w:r>
      <w:r w:rsidRPr="00A90F8A">
        <w:rPr>
          <w:rFonts w:asciiTheme="minorHAnsi" w:hAnsiTheme="minorHAnsi"/>
        </w:rPr>
        <w:t xml:space="preserve"> undertake </w:t>
      </w:r>
      <w:r>
        <w:rPr>
          <w:rFonts w:asciiTheme="minorHAnsi" w:hAnsiTheme="minorHAnsi"/>
        </w:rPr>
        <w:t>a broad</w:t>
      </w:r>
      <w:r w:rsidRPr="00A90F8A">
        <w:rPr>
          <w:rFonts w:asciiTheme="minorHAnsi" w:hAnsiTheme="minorHAnsi"/>
        </w:rPr>
        <w:t xml:space="preserve"> review</w:t>
      </w:r>
      <w:r>
        <w:rPr>
          <w:rFonts w:asciiTheme="minorHAnsi" w:hAnsiTheme="minorHAnsi"/>
        </w:rPr>
        <w:t xml:space="preserve"> of the Vision, or a full scale review of the population target, as it does not have the material before it or available resources to undertake such a review</w:t>
      </w:r>
      <w:r w:rsidRPr="00A90F8A">
        <w:rPr>
          <w:rFonts w:asciiTheme="minorHAnsi" w:hAnsiTheme="minorHAnsi"/>
        </w:rPr>
        <w:t>.</w:t>
      </w:r>
    </w:p>
    <w:p w:rsidR="008F389F" w:rsidRPr="00A90F8A" w:rsidRDefault="008F389F" w:rsidP="008F389F">
      <w:pPr>
        <w:pStyle w:val="PPVBody"/>
        <w:rPr>
          <w:rFonts w:asciiTheme="minorHAnsi" w:hAnsiTheme="minorHAnsi"/>
        </w:rPr>
      </w:pPr>
      <w:r w:rsidRPr="00A90F8A">
        <w:rPr>
          <w:rFonts w:asciiTheme="minorHAnsi" w:hAnsiTheme="minorHAnsi"/>
        </w:rPr>
        <w:t>However, given that the Minister has acknowledged that the population could exceed the number set out in the Vision, the Review Panel is of the view that it is obliged to comment on t</w:t>
      </w:r>
      <w:r>
        <w:rPr>
          <w:rFonts w:asciiTheme="minorHAnsi" w:hAnsiTheme="minorHAnsi"/>
        </w:rPr>
        <w:t>he proposed population target</w:t>
      </w:r>
      <w:r w:rsidRPr="00A90F8A">
        <w:rPr>
          <w:rFonts w:asciiTheme="minorHAnsi" w:hAnsiTheme="minorHAnsi"/>
        </w:rPr>
        <w:t>.  The Review Panel notes that whil</w:t>
      </w:r>
      <w:r>
        <w:rPr>
          <w:rFonts w:asciiTheme="minorHAnsi" w:hAnsiTheme="minorHAnsi"/>
        </w:rPr>
        <w:t>e</w:t>
      </w:r>
      <w:r w:rsidRPr="00A90F8A">
        <w:rPr>
          <w:rFonts w:asciiTheme="minorHAnsi" w:hAnsiTheme="minorHAnsi"/>
        </w:rPr>
        <w:t xml:space="preserve"> the Minister relies on population target</w:t>
      </w:r>
      <w:r>
        <w:rPr>
          <w:rFonts w:asciiTheme="minorHAnsi" w:hAnsiTheme="minorHAnsi"/>
        </w:rPr>
        <w:t>s</w:t>
      </w:r>
      <w:r w:rsidRPr="00A90F8A">
        <w:rPr>
          <w:rFonts w:asciiTheme="minorHAnsi" w:hAnsiTheme="minorHAnsi"/>
        </w:rPr>
        <w:t xml:space="preserve"> </w:t>
      </w:r>
      <w:r>
        <w:rPr>
          <w:rFonts w:asciiTheme="minorHAnsi" w:hAnsiTheme="minorHAnsi"/>
        </w:rPr>
        <w:t xml:space="preserve">as </w:t>
      </w:r>
      <w:r w:rsidRPr="00A90F8A">
        <w:rPr>
          <w:rFonts w:asciiTheme="minorHAnsi" w:hAnsiTheme="minorHAnsi"/>
        </w:rPr>
        <w:t>set</w:t>
      </w:r>
      <w:r>
        <w:rPr>
          <w:rFonts w:asciiTheme="minorHAnsi" w:hAnsiTheme="minorHAnsi"/>
        </w:rPr>
        <w:t xml:space="preserve"> o</w:t>
      </w:r>
      <w:r w:rsidRPr="00A90F8A">
        <w:rPr>
          <w:rFonts w:asciiTheme="minorHAnsi" w:hAnsiTheme="minorHAnsi"/>
        </w:rPr>
        <w:t xml:space="preserve">ut in the </w:t>
      </w:r>
      <w:r w:rsidRPr="00A90F8A">
        <w:rPr>
          <w:rFonts w:asciiTheme="minorHAnsi" w:hAnsiTheme="minorHAnsi"/>
          <w:i/>
        </w:rPr>
        <w:t xml:space="preserve">Plan Melbourne Implementation </w:t>
      </w:r>
      <w:r>
        <w:rPr>
          <w:rFonts w:asciiTheme="minorHAnsi" w:hAnsiTheme="minorHAnsi"/>
          <w:i/>
        </w:rPr>
        <w:t>Plan</w:t>
      </w:r>
      <w:r w:rsidRPr="00A90F8A">
        <w:rPr>
          <w:rFonts w:asciiTheme="minorHAnsi" w:hAnsiTheme="minorHAnsi"/>
        </w:rPr>
        <w:t xml:space="preserve">, the jobs target </w:t>
      </w:r>
      <w:r w:rsidR="00007C27">
        <w:rPr>
          <w:rFonts w:asciiTheme="minorHAnsi" w:hAnsiTheme="minorHAnsi"/>
        </w:rPr>
        <w:t xml:space="preserve">of 60,000 </w:t>
      </w:r>
      <w:r>
        <w:rPr>
          <w:rFonts w:asciiTheme="minorHAnsi" w:hAnsiTheme="minorHAnsi"/>
        </w:rPr>
        <w:t xml:space="preserve">referred to </w:t>
      </w:r>
      <w:r w:rsidR="00007C27">
        <w:rPr>
          <w:rFonts w:asciiTheme="minorHAnsi" w:hAnsiTheme="minorHAnsi"/>
        </w:rPr>
        <w:t>has now been increased.</w:t>
      </w:r>
    </w:p>
    <w:p w:rsidR="008F389F" w:rsidRPr="00A90F8A" w:rsidRDefault="008F389F" w:rsidP="008F389F">
      <w:pPr>
        <w:pStyle w:val="Heading4"/>
      </w:pPr>
      <w:r>
        <w:t>Findings</w:t>
      </w:r>
    </w:p>
    <w:p w:rsidR="008F389F" w:rsidRPr="00A90F8A" w:rsidRDefault="008F389F" w:rsidP="008F389F">
      <w:pPr>
        <w:pStyle w:val="PPVBody"/>
        <w:rPr>
          <w:rFonts w:asciiTheme="minorHAnsi" w:hAnsiTheme="minorHAnsi"/>
        </w:rPr>
      </w:pPr>
      <w:r w:rsidRPr="00A90F8A">
        <w:rPr>
          <w:rFonts w:asciiTheme="minorHAnsi" w:hAnsiTheme="minorHAnsi"/>
        </w:rPr>
        <w:t xml:space="preserve">The Review Panel </w:t>
      </w:r>
      <w:r>
        <w:rPr>
          <w:rFonts w:asciiTheme="minorHAnsi" w:hAnsiTheme="minorHAnsi"/>
        </w:rPr>
        <w:t>finds:</w:t>
      </w:r>
    </w:p>
    <w:p w:rsidR="008F389F" w:rsidRPr="00A90F8A" w:rsidRDefault="008F389F" w:rsidP="008F389F">
      <w:pPr>
        <w:pStyle w:val="PPVBullet1"/>
      </w:pPr>
      <w:r>
        <w:t>i</w:t>
      </w:r>
      <w:r w:rsidRPr="00A90F8A">
        <w:t xml:space="preserve">t is not its role to undertake a </w:t>
      </w:r>
      <w:r w:rsidR="00007C27">
        <w:t>‘</w:t>
      </w:r>
      <w:r w:rsidRPr="00A90F8A">
        <w:t>first principles</w:t>
      </w:r>
      <w:r w:rsidR="00007C27">
        <w:t>’</w:t>
      </w:r>
      <w:r w:rsidRPr="00A90F8A">
        <w:t xml:space="preserve"> review of </w:t>
      </w:r>
      <w:r>
        <w:t>the proposed population targets</w:t>
      </w:r>
    </w:p>
    <w:p w:rsidR="008F389F" w:rsidRPr="00A90F8A" w:rsidRDefault="008F389F" w:rsidP="008F389F">
      <w:pPr>
        <w:pStyle w:val="PPVBullet1"/>
      </w:pPr>
      <w:r>
        <w:t>g</w:t>
      </w:r>
      <w:r w:rsidRPr="00A90F8A">
        <w:t>iven that the proposed controls allow for a population significantly in excess of the proposed 8</w:t>
      </w:r>
      <w:r>
        <w:t xml:space="preserve">0,000 residents, it is legitimate, indeed </w:t>
      </w:r>
      <w:r w:rsidRPr="00A90F8A">
        <w:t>important</w:t>
      </w:r>
      <w:r>
        <w:t>,</w:t>
      </w:r>
      <w:r w:rsidRPr="00A90F8A">
        <w:t xml:space="preserve"> for it to address </w:t>
      </w:r>
      <w:r>
        <w:t>the target.</w:t>
      </w:r>
    </w:p>
    <w:p w:rsidR="008F389F" w:rsidRPr="00A90F8A" w:rsidRDefault="008F389F" w:rsidP="008F389F">
      <w:pPr>
        <w:pStyle w:val="Heading2"/>
      </w:pPr>
      <w:bookmarkStart w:id="221" w:name="_Toc519270976"/>
      <w:bookmarkStart w:id="222" w:name="_Toc519710263"/>
      <w:bookmarkStart w:id="223" w:name="_Toc519766823"/>
      <w:r w:rsidRPr="00A90F8A">
        <w:lastRenderedPageBreak/>
        <w:t>Genesis of the proposed target population and jobs</w:t>
      </w:r>
      <w:bookmarkEnd w:id="221"/>
      <w:bookmarkEnd w:id="222"/>
      <w:bookmarkEnd w:id="223"/>
    </w:p>
    <w:p w:rsidR="008F389F" w:rsidRPr="00A90F8A" w:rsidRDefault="008F389F" w:rsidP="008F389F">
      <w:pPr>
        <w:pStyle w:val="PPVBody"/>
        <w:rPr>
          <w:rFonts w:asciiTheme="minorHAnsi" w:hAnsiTheme="minorHAnsi"/>
        </w:rPr>
      </w:pPr>
      <w:r>
        <w:rPr>
          <w:rFonts w:asciiTheme="minorHAnsi" w:hAnsiTheme="minorHAnsi"/>
        </w:rPr>
        <w:t>I</w:t>
      </w:r>
      <w:r w:rsidRPr="00A90F8A">
        <w:rPr>
          <w:rFonts w:asciiTheme="minorHAnsi" w:hAnsiTheme="minorHAnsi"/>
        </w:rPr>
        <w:t xml:space="preserve">t is useful to understand the genesis and strategic underpinning of the </w:t>
      </w:r>
      <w:r>
        <w:rPr>
          <w:rFonts w:asciiTheme="minorHAnsi" w:hAnsiTheme="minorHAnsi"/>
        </w:rPr>
        <w:t xml:space="preserve">proposed </w:t>
      </w:r>
      <w:r w:rsidRPr="00A90F8A">
        <w:rPr>
          <w:rFonts w:asciiTheme="minorHAnsi" w:hAnsiTheme="minorHAnsi"/>
        </w:rPr>
        <w:t>population target of 80,000</w:t>
      </w:r>
      <w:r w:rsidR="0030647E">
        <w:rPr>
          <w:rFonts w:asciiTheme="minorHAnsi" w:hAnsiTheme="minorHAnsi"/>
        </w:rPr>
        <w:t xml:space="preserve"> by 2050</w:t>
      </w:r>
      <w:r>
        <w:rPr>
          <w:rFonts w:asciiTheme="minorHAnsi" w:hAnsiTheme="minorHAnsi"/>
        </w:rPr>
        <w:t>.</w:t>
      </w:r>
    </w:p>
    <w:p w:rsidR="00785416" w:rsidRDefault="008F389F" w:rsidP="008F389F">
      <w:pPr>
        <w:pStyle w:val="Heading4"/>
      </w:pPr>
      <w:r>
        <w:t>Background reports</w:t>
      </w:r>
    </w:p>
    <w:p w:rsidR="00185124" w:rsidRPr="00A90F8A" w:rsidRDefault="00185124" w:rsidP="00185124">
      <w:pPr>
        <w:pStyle w:val="PPVBody"/>
        <w:rPr>
          <w:rFonts w:asciiTheme="minorHAnsi" w:hAnsiTheme="minorHAnsi"/>
        </w:rPr>
      </w:pPr>
      <w:r w:rsidRPr="00A90F8A">
        <w:rPr>
          <w:rFonts w:asciiTheme="minorHAnsi" w:hAnsiTheme="minorHAnsi"/>
        </w:rPr>
        <w:t xml:space="preserve">Places Victoria </w:t>
      </w:r>
      <w:r>
        <w:rPr>
          <w:rFonts w:asciiTheme="minorHAnsi" w:hAnsiTheme="minorHAnsi"/>
        </w:rPr>
        <w:t xml:space="preserve">commissioned a report that </w:t>
      </w:r>
      <w:r w:rsidRPr="00A90F8A">
        <w:rPr>
          <w:rFonts w:asciiTheme="minorHAnsi" w:hAnsiTheme="minorHAnsi"/>
        </w:rPr>
        <w:t xml:space="preserve">identified </w:t>
      </w:r>
      <w:r>
        <w:rPr>
          <w:rFonts w:asciiTheme="minorHAnsi" w:hAnsiTheme="minorHAnsi"/>
        </w:rPr>
        <w:t>low</w:t>
      </w:r>
      <w:r w:rsidR="00007C27">
        <w:rPr>
          <w:rFonts w:asciiTheme="minorHAnsi" w:hAnsiTheme="minorHAnsi"/>
        </w:rPr>
        <w:t>,</w:t>
      </w:r>
      <w:r>
        <w:rPr>
          <w:rFonts w:asciiTheme="minorHAnsi" w:hAnsiTheme="minorHAnsi"/>
        </w:rPr>
        <w:t xml:space="preserve"> mid and high </w:t>
      </w:r>
      <w:r w:rsidRPr="00A90F8A">
        <w:rPr>
          <w:rFonts w:asciiTheme="minorHAnsi" w:hAnsiTheme="minorHAnsi"/>
        </w:rPr>
        <w:t>development scenarios which provided ‘bookends’ for considering future development within Fishermans Bend.</w:t>
      </w:r>
      <w:r>
        <w:rPr>
          <w:rFonts w:asciiTheme="minorHAnsi" w:hAnsiTheme="minorHAnsi"/>
        </w:rPr>
        <w:t xml:space="preserve">  </w:t>
      </w:r>
      <w:r w:rsidRPr="00A90F8A">
        <w:rPr>
          <w:rFonts w:asciiTheme="minorHAnsi" w:hAnsiTheme="minorHAnsi"/>
        </w:rPr>
        <w:t>The report notes that Melbourne’s projected population was anticipated to reach between 5.6 and 6.4 million by 2050, requiring the delivery of 30,000 new dwellings each year.</w:t>
      </w:r>
      <w:r>
        <w:rPr>
          <w:rFonts w:asciiTheme="minorHAnsi" w:hAnsiTheme="minorHAnsi"/>
        </w:rPr>
        <w:t xml:space="preserve">  Population level tested ranged between 35,250 and 141,000, complemented by up to 58,000 jobs </w:t>
      </w:r>
      <w:r>
        <w:rPr>
          <w:rStyle w:val="FootnoteReference"/>
          <w:rFonts w:asciiTheme="minorHAnsi" w:hAnsiTheme="minorHAnsi"/>
        </w:rPr>
        <w:footnoteReference w:id="19"/>
      </w:r>
      <w:r w:rsidR="00D70C8D">
        <w:rPr>
          <w:rFonts w:asciiTheme="minorHAnsi" w:hAnsiTheme="minorHAnsi"/>
        </w:rPr>
        <w:t xml:space="preserve">.  </w:t>
      </w:r>
      <w:r>
        <w:rPr>
          <w:rFonts w:asciiTheme="minorHAnsi" w:hAnsiTheme="minorHAnsi"/>
        </w:rPr>
        <w:t>The report concluded that the high growth scenarios of 141,000 population and 58,000 jobs was optimal.</w:t>
      </w:r>
    </w:p>
    <w:p w:rsidR="00185124" w:rsidRPr="00A90F8A" w:rsidRDefault="00185124" w:rsidP="00185124">
      <w:pPr>
        <w:rPr>
          <w:rFonts w:asciiTheme="minorHAnsi" w:hAnsiTheme="minorHAnsi"/>
        </w:rPr>
      </w:pPr>
      <w:r w:rsidRPr="00A90F8A">
        <w:rPr>
          <w:rFonts w:asciiTheme="minorHAnsi" w:hAnsiTheme="minorHAnsi"/>
        </w:rPr>
        <w:t>Two additional studies undertaken in November and December 2012</w:t>
      </w:r>
      <w:r>
        <w:rPr>
          <w:rFonts w:asciiTheme="minorHAnsi" w:hAnsiTheme="minorHAnsi"/>
        </w:rPr>
        <w:t xml:space="preserve"> by SGS Economics and Planning and AECOM assessed population </w:t>
      </w:r>
      <w:r w:rsidRPr="00A90F8A">
        <w:rPr>
          <w:rFonts w:asciiTheme="minorHAnsi" w:hAnsiTheme="minorHAnsi"/>
        </w:rPr>
        <w:t>scenarios rang</w:t>
      </w:r>
      <w:r>
        <w:rPr>
          <w:rFonts w:asciiTheme="minorHAnsi" w:hAnsiTheme="minorHAnsi"/>
        </w:rPr>
        <w:t xml:space="preserve">ing </w:t>
      </w:r>
      <w:r w:rsidRPr="00A90F8A">
        <w:rPr>
          <w:rFonts w:asciiTheme="minorHAnsi" w:hAnsiTheme="minorHAnsi"/>
        </w:rPr>
        <w:t>from 9,750 people to 141,000 people.</w:t>
      </w:r>
    </w:p>
    <w:p w:rsidR="008F389F" w:rsidRPr="00A90F8A" w:rsidRDefault="008F389F" w:rsidP="008F389F">
      <w:pPr>
        <w:pStyle w:val="Heading4"/>
      </w:pPr>
      <w:r w:rsidRPr="00A90F8A">
        <w:t xml:space="preserve">Fishermans Bend </w:t>
      </w:r>
      <w:r>
        <w:t>d</w:t>
      </w:r>
      <w:r w:rsidRPr="00A90F8A">
        <w:t>raft Vision, Places Victoria (2013)</w:t>
      </w:r>
    </w:p>
    <w:p w:rsidR="008F389F" w:rsidRPr="00A90F8A" w:rsidRDefault="008F389F" w:rsidP="008F389F">
      <w:pPr>
        <w:pStyle w:val="PPVBody"/>
        <w:rPr>
          <w:rFonts w:asciiTheme="minorHAnsi" w:hAnsiTheme="minorHAnsi"/>
        </w:rPr>
      </w:pPr>
      <w:r w:rsidRPr="00A90F8A">
        <w:rPr>
          <w:rFonts w:asciiTheme="minorHAnsi" w:hAnsiTheme="minorHAnsi"/>
        </w:rPr>
        <w:t xml:space="preserve">The draft Vision identified the opportunity for a population of 80,000 residents and 40,000 jobs </w:t>
      </w:r>
      <w:r>
        <w:rPr>
          <w:rFonts w:asciiTheme="minorHAnsi" w:hAnsiTheme="minorHAnsi"/>
        </w:rPr>
        <w:t>by 2050, with 24,000 new residents by 2025.</w:t>
      </w:r>
      <w:r w:rsidRPr="00820B43">
        <w:rPr>
          <w:rStyle w:val="FootnoteReference"/>
          <w:rFonts w:asciiTheme="minorHAnsi" w:hAnsiTheme="minorHAnsi"/>
        </w:rPr>
        <w:footnoteReference w:id="20"/>
      </w:r>
      <w:r>
        <w:rPr>
          <w:rFonts w:asciiTheme="minorHAnsi" w:hAnsiTheme="minorHAnsi"/>
        </w:rPr>
        <w:t xml:space="preserve"> </w:t>
      </w:r>
      <w:r w:rsidR="00D70C8D">
        <w:rPr>
          <w:rFonts w:asciiTheme="minorHAnsi" w:hAnsiTheme="minorHAnsi"/>
        </w:rPr>
        <w:t xml:space="preserve"> </w:t>
      </w:r>
      <w:r>
        <w:rPr>
          <w:rFonts w:asciiTheme="minorHAnsi" w:hAnsiTheme="minorHAnsi"/>
        </w:rPr>
        <w:t>This was based on an expected Melbourne population of 6.5 million by 2053.</w:t>
      </w:r>
      <w:r w:rsidRPr="00820B43">
        <w:rPr>
          <w:rStyle w:val="FootnoteReference"/>
          <w:rFonts w:asciiTheme="minorHAnsi" w:hAnsiTheme="minorHAnsi"/>
        </w:rPr>
        <w:footnoteReference w:id="21"/>
      </w:r>
      <w:r>
        <w:rPr>
          <w:rFonts w:asciiTheme="minorHAnsi" w:hAnsiTheme="minorHAnsi"/>
        </w:rPr>
        <w:t xml:space="preserve">  </w:t>
      </w:r>
      <w:r w:rsidRPr="00A90F8A">
        <w:rPr>
          <w:rFonts w:asciiTheme="minorHAnsi" w:hAnsiTheme="minorHAnsi"/>
        </w:rPr>
        <w:t xml:space="preserve">Following the </w:t>
      </w:r>
      <w:r>
        <w:rPr>
          <w:rFonts w:asciiTheme="minorHAnsi" w:hAnsiTheme="minorHAnsi"/>
        </w:rPr>
        <w:t>d</w:t>
      </w:r>
      <w:r w:rsidRPr="00A90F8A">
        <w:rPr>
          <w:rFonts w:asciiTheme="minorHAnsi" w:hAnsiTheme="minorHAnsi"/>
        </w:rPr>
        <w:t xml:space="preserve">raft Vision (2013) the State Government, DELWP and SGS </w:t>
      </w:r>
      <w:r>
        <w:rPr>
          <w:rFonts w:asciiTheme="minorHAnsi" w:hAnsiTheme="minorHAnsi"/>
        </w:rPr>
        <w:t xml:space="preserve">Economics and Planning </w:t>
      </w:r>
      <w:r w:rsidRPr="00A90F8A">
        <w:rPr>
          <w:rFonts w:asciiTheme="minorHAnsi" w:hAnsiTheme="minorHAnsi"/>
        </w:rPr>
        <w:t>all released reports between July 2014 and September 2017 quoting the 80,000 target population figure.</w:t>
      </w:r>
      <w:r>
        <w:rPr>
          <w:rFonts w:asciiTheme="minorHAnsi" w:hAnsiTheme="minorHAnsi"/>
        </w:rPr>
        <w:t xml:space="preserve">  The recast Vision adopted by the State Government in 2016 refers to a </w:t>
      </w:r>
      <w:r w:rsidRPr="00A90F8A">
        <w:rPr>
          <w:rFonts w:asciiTheme="minorHAnsi" w:hAnsiTheme="minorHAnsi"/>
        </w:rPr>
        <w:t>target population figure</w:t>
      </w:r>
      <w:r>
        <w:rPr>
          <w:rFonts w:asciiTheme="minorHAnsi" w:hAnsiTheme="minorHAnsi"/>
        </w:rPr>
        <w:t xml:space="preserve"> of </w:t>
      </w:r>
      <w:r w:rsidRPr="00A90F8A">
        <w:rPr>
          <w:rFonts w:asciiTheme="minorHAnsi" w:hAnsiTheme="minorHAnsi"/>
        </w:rPr>
        <w:t>80,000</w:t>
      </w:r>
      <w:r>
        <w:rPr>
          <w:rFonts w:asciiTheme="minorHAnsi" w:hAnsiTheme="minorHAnsi"/>
        </w:rPr>
        <w:t>, and 60,000 jobs.</w:t>
      </w:r>
    </w:p>
    <w:p w:rsidR="008F389F" w:rsidRPr="00A90F8A" w:rsidRDefault="008F389F" w:rsidP="008F389F">
      <w:pPr>
        <w:pStyle w:val="Heading4"/>
      </w:pPr>
      <w:r w:rsidRPr="00A90F8A">
        <w:t>Fishermans Bend Ministerial Advisory Committee</w:t>
      </w:r>
    </w:p>
    <w:p w:rsidR="008F389F" w:rsidRPr="00A90F8A" w:rsidRDefault="008F389F" w:rsidP="008F389F">
      <w:pPr>
        <w:pStyle w:val="PPVBody"/>
        <w:rPr>
          <w:rFonts w:asciiTheme="minorHAnsi" w:hAnsiTheme="minorHAnsi" w:cs="Times New Roman"/>
        </w:rPr>
      </w:pPr>
      <w:r>
        <w:t xml:space="preserve">The MAC </w:t>
      </w:r>
      <w:r w:rsidRPr="00A90F8A">
        <w:t xml:space="preserve">Report </w:t>
      </w:r>
      <w:r>
        <w:t xml:space="preserve">No. </w:t>
      </w:r>
      <w:r w:rsidRPr="00A90F8A">
        <w:t xml:space="preserve">1 </w:t>
      </w:r>
      <w:r>
        <w:t xml:space="preserve">(in 2015) </w:t>
      </w:r>
      <w:r w:rsidRPr="00A90F8A">
        <w:t>sought to ‘maximise’ the development potential of Fishermans Bend</w:t>
      </w:r>
      <w:r>
        <w:t>,</w:t>
      </w:r>
      <w:r w:rsidRPr="00A90F8A">
        <w:t xml:space="preserve"> noting it to be a finite resource.</w:t>
      </w:r>
      <w:r>
        <w:t xml:space="preserve">  </w:t>
      </w:r>
      <w:r w:rsidRPr="00A90F8A">
        <w:t xml:space="preserve">The </w:t>
      </w:r>
      <w:r>
        <w:t>r</w:t>
      </w:r>
      <w:r w:rsidRPr="00A90F8A">
        <w:t>eport acknowledged that the population targets prepared in 2012 were based on development trends far lower than those evident in 2015.</w:t>
      </w:r>
      <w:r w:rsidRPr="00820B43">
        <w:rPr>
          <w:rStyle w:val="FootnoteReference"/>
          <w:rFonts w:asciiTheme="minorHAnsi" w:hAnsiTheme="minorHAnsi"/>
        </w:rPr>
        <w:footnoteReference w:id="22"/>
      </w:r>
      <w:r>
        <w:t xml:space="preserve">  </w:t>
      </w:r>
      <w:r>
        <w:rPr>
          <w:rFonts w:asciiTheme="minorHAnsi" w:hAnsiTheme="minorHAnsi"/>
        </w:rPr>
        <w:t>T</w:t>
      </w:r>
      <w:r w:rsidRPr="00A90F8A">
        <w:rPr>
          <w:rFonts w:asciiTheme="minorHAnsi" w:hAnsiTheme="minorHAnsi"/>
        </w:rPr>
        <w:t>he MAC recomm</w:t>
      </w:r>
      <w:r>
        <w:rPr>
          <w:rFonts w:asciiTheme="minorHAnsi" w:hAnsiTheme="minorHAnsi"/>
        </w:rPr>
        <w:t>ended that further work should “</w:t>
      </w:r>
      <w:r w:rsidRPr="00A90F8A">
        <w:rPr>
          <w:rFonts w:asciiTheme="minorHAnsi" w:hAnsiTheme="minorHAnsi"/>
          <w:i/>
        </w:rPr>
        <w:t>test a number of macro scenarios that consider various options for the ultimate population, density,</w:t>
      </w:r>
      <w:r>
        <w:rPr>
          <w:rFonts w:asciiTheme="minorHAnsi" w:hAnsiTheme="minorHAnsi"/>
          <w:i/>
        </w:rPr>
        <w:t xml:space="preserve"> mix and servicing requirements”</w:t>
      </w:r>
      <w:r w:rsidR="00185124">
        <w:rPr>
          <w:rStyle w:val="FootnoteReference"/>
          <w:rFonts w:asciiTheme="minorHAnsi" w:hAnsiTheme="minorHAnsi"/>
          <w:i/>
        </w:rPr>
        <w:footnoteReference w:id="23"/>
      </w:r>
      <w:r w:rsidRPr="00A90F8A">
        <w:rPr>
          <w:rFonts w:asciiTheme="minorHAnsi" w:hAnsiTheme="minorHAnsi"/>
          <w:i/>
        </w:rPr>
        <w:t>.</w:t>
      </w:r>
      <w:r>
        <w:rPr>
          <w:rFonts w:asciiTheme="minorHAnsi" w:hAnsiTheme="minorHAnsi"/>
        </w:rPr>
        <w:t xml:space="preserve">  </w:t>
      </w:r>
      <w:r w:rsidRPr="00A90F8A">
        <w:rPr>
          <w:rFonts w:asciiTheme="minorHAnsi" w:hAnsiTheme="minorHAnsi"/>
        </w:rPr>
        <w:t>This testing does not appear to have been undertaken.</w:t>
      </w:r>
    </w:p>
    <w:p w:rsidR="008F389F" w:rsidRPr="00A90F8A" w:rsidRDefault="008F389F" w:rsidP="008F389F">
      <w:pPr>
        <w:pStyle w:val="PPVBody"/>
        <w:rPr>
          <w:rFonts w:asciiTheme="minorHAnsi" w:hAnsiTheme="minorHAnsi"/>
        </w:rPr>
      </w:pPr>
      <w:r w:rsidRPr="00A90F8A">
        <w:rPr>
          <w:rFonts w:asciiTheme="minorHAnsi" w:hAnsiTheme="minorHAnsi"/>
        </w:rPr>
        <w:t xml:space="preserve">Despite the recommendations made in </w:t>
      </w:r>
      <w:r>
        <w:rPr>
          <w:rFonts w:asciiTheme="minorHAnsi" w:hAnsiTheme="minorHAnsi"/>
        </w:rPr>
        <w:t xml:space="preserve">the MAC </w:t>
      </w:r>
      <w:r w:rsidRPr="00A90F8A">
        <w:rPr>
          <w:rFonts w:asciiTheme="minorHAnsi" w:hAnsiTheme="minorHAnsi"/>
        </w:rPr>
        <w:t xml:space="preserve">Report </w:t>
      </w:r>
      <w:r>
        <w:rPr>
          <w:rFonts w:asciiTheme="minorHAnsi" w:hAnsiTheme="minorHAnsi"/>
        </w:rPr>
        <w:t xml:space="preserve">No. </w:t>
      </w:r>
      <w:r w:rsidRPr="00A90F8A">
        <w:rPr>
          <w:rFonts w:asciiTheme="minorHAnsi" w:hAnsiTheme="minorHAnsi"/>
        </w:rPr>
        <w:t xml:space="preserve">1 and the </w:t>
      </w:r>
      <w:r>
        <w:rPr>
          <w:rFonts w:asciiTheme="minorHAnsi" w:hAnsiTheme="minorHAnsi"/>
        </w:rPr>
        <w:t xml:space="preserve">apparent </w:t>
      </w:r>
      <w:r w:rsidRPr="00A90F8A">
        <w:rPr>
          <w:rFonts w:asciiTheme="minorHAnsi" w:hAnsiTheme="minorHAnsi"/>
        </w:rPr>
        <w:t>absence of further scenario testing</w:t>
      </w:r>
      <w:r>
        <w:rPr>
          <w:rFonts w:asciiTheme="minorHAnsi" w:hAnsiTheme="minorHAnsi"/>
        </w:rPr>
        <w:t xml:space="preserve"> recommended by the MAC</w:t>
      </w:r>
      <w:r w:rsidRPr="00A90F8A">
        <w:rPr>
          <w:rFonts w:asciiTheme="minorHAnsi" w:hAnsiTheme="minorHAnsi"/>
        </w:rPr>
        <w:t xml:space="preserve">, the </w:t>
      </w:r>
      <w:r>
        <w:rPr>
          <w:rFonts w:asciiTheme="minorHAnsi" w:hAnsiTheme="minorHAnsi"/>
        </w:rPr>
        <w:t>MAC Report No. 2 (</w:t>
      </w:r>
      <w:r w:rsidRPr="00A90F8A">
        <w:rPr>
          <w:rFonts w:asciiTheme="minorHAnsi" w:hAnsiTheme="minorHAnsi"/>
        </w:rPr>
        <w:t>2017</w:t>
      </w:r>
      <w:r>
        <w:rPr>
          <w:rFonts w:asciiTheme="minorHAnsi" w:hAnsiTheme="minorHAnsi"/>
        </w:rPr>
        <w:t>)</w:t>
      </w:r>
      <w:r w:rsidRPr="00A90F8A">
        <w:rPr>
          <w:rFonts w:asciiTheme="minorHAnsi" w:hAnsiTheme="minorHAnsi"/>
        </w:rPr>
        <w:t xml:space="preserve"> supported the revised 2016 Vision</w:t>
      </w:r>
      <w:r>
        <w:rPr>
          <w:rFonts w:asciiTheme="minorHAnsi" w:hAnsiTheme="minorHAnsi"/>
        </w:rPr>
        <w:t xml:space="preserve"> (and the population target of 80,000)</w:t>
      </w:r>
      <w:r w:rsidRPr="00A90F8A">
        <w:rPr>
          <w:rFonts w:asciiTheme="minorHAnsi" w:hAnsiTheme="minorHAnsi"/>
        </w:rPr>
        <w:t xml:space="preserve"> and acknowledged that the population targets were confirmed </w:t>
      </w:r>
      <w:r>
        <w:rPr>
          <w:rFonts w:asciiTheme="minorHAnsi" w:hAnsiTheme="minorHAnsi"/>
        </w:rPr>
        <w:t>“</w:t>
      </w:r>
      <w:r w:rsidRPr="00A90F8A">
        <w:rPr>
          <w:rFonts w:asciiTheme="minorHAnsi" w:hAnsiTheme="minorHAnsi"/>
          <w:i/>
        </w:rPr>
        <w:t>by extensive research and consultation</w:t>
      </w:r>
      <w:r>
        <w:rPr>
          <w:rFonts w:asciiTheme="minorHAnsi" w:hAnsiTheme="minorHAnsi"/>
          <w:i/>
        </w:rPr>
        <w:t>”.</w:t>
      </w:r>
      <w:r w:rsidRPr="00820B43">
        <w:rPr>
          <w:rStyle w:val="FootnoteReference"/>
          <w:rFonts w:asciiTheme="minorHAnsi" w:hAnsiTheme="minorHAnsi"/>
        </w:rPr>
        <w:footnoteReference w:id="24"/>
      </w:r>
      <w:r>
        <w:rPr>
          <w:rFonts w:asciiTheme="minorHAnsi" w:hAnsiTheme="minorHAnsi"/>
        </w:rPr>
        <w:t xml:space="preserve">  </w:t>
      </w:r>
      <w:r w:rsidRPr="00A90F8A">
        <w:rPr>
          <w:rFonts w:asciiTheme="minorHAnsi" w:hAnsiTheme="minorHAnsi"/>
        </w:rPr>
        <w:t>Th</w:t>
      </w:r>
      <w:r>
        <w:rPr>
          <w:rFonts w:asciiTheme="minorHAnsi" w:hAnsiTheme="minorHAnsi"/>
        </w:rPr>
        <w:t>is</w:t>
      </w:r>
      <w:r w:rsidRPr="00A90F8A">
        <w:rPr>
          <w:rFonts w:asciiTheme="minorHAnsi" w:hAnsiTheme="minorHAnsi"/>
        </w:rPr>
        <w:t xml:space="preserve"> report endorsed the approach to land use planning through the linking of population and employment targets with built form controls.</w:t>
      </w:r>
    </w:p>
    <w:p w:rsidR="008F389F" w:rsidRPr="00A90F8A" w:rsidRDefault="008F389F" w:rsidP="008F389F">
      <w:pPr>
        <w:pStyle w:val="Heading4"/>
      </w:pPr>
      <w:r w:rsidRPr="00A90F8A">
        <w:lastRenderedPageBreak/>
        <w:t xml:space="preserve">Policy </w:t>
      </w:r>
      <w:r>
        <w:t>references to</w:t>
      </w:r>
      <w:r w:rsidRPr="00A90F8A">
        <w:t xml:space="preserve"> the population target</w:t>
      </w:r>
    </w:p>
    <w:p w:rsidR="008F389F" w:rsidRPr="00A90F8A" w:rsidRDefault="008F389F" w:rsidP="008F389F">
      <w:pPr>
        <w:pStyle w:val="PPVBody"/>
        <w:rPr>
          <w:rFonts w:asciiTheme="minorHAnsi" w:hAnsiTheme="minorHAnsi"/>
        </w:rPr>
      </w:pPr>
      <w:r w:rsidRPr="00A90F8A">
        <w:rPr>
          <w:rFonts w:asciiTheme="minorHAnsi" w:hAnsiTheme="minorHAnsi"/>
          <w:i/>
        </w:rPr>
        <w:t xml:space="preserve">Plan Melbourne </w:t>
      </w:r>
      <w:r w:rsidRPr="00A90F8A">
        <w:rPr>
          <w:rFonts w:asciiTheme="minorHAnsi" w:hAnsiTheme="minorHAnsi"/>
        </w:rPr>
        <w:t>designates Fishermans Bend as a ‘Priority Precinct’ and Major Urban Renewal Precinct.</w:t>
      </w:r>
      <w:r w:rsidRPr="00820B43">
        <w:rPr>
          <w:rStyle w:val="FootnoteReference"/>
          <w:rFonts w:asciiTheme="minorHAnsi" w:hAnsiTheme="minorHAnsi"/>
        </w:rPr>
        <w:footnoteReference w:id="25"/>
      </w:r>
      <w:r w:rsidRPr="00A90F8A">
        <w:rPr>
          <w:rFonts w:asciiTheme="minorHAnsi" w:hAnsiTheme="minorHAnsi"/>
        </w:rPr>
        <w:t xml:space="preserve"> </w:t>
      </w:r>
      <w:r>
        <w:rPr>
          <w:rFonts w:asciiTheme="minorHAnsi" w:hAnsiTheme="minorHAnsi"/>
        </w:rPr>
        <w:t xml:space="preserve"> </w:t>
      </w:r>
      <w:r w:rsidRPr="00A90F8A">
        <w:rPr>
          <w:rFonts w:asciiTheme="minorHAnsi" w:hAnsiTheme="minorHAnsi"/>
        </w:rPr>
        <w:t>It seeks to ‘maximise development opportunities’ of this precinct in order to minimise the need to increase residential densities in other parts of the city.</w:t>
      </w:r>
      <w:r w:rsidRPr="00820B43">
        <w:rPr>
          <w:rStyle w:val="FootnoteReference"/>
          <w:rFonts w:asciiTheme="minorHAnsi" w:hAnsiTheme="minorHAnsi"/>
        </w:rPr>
        <w:footnoteReference w:id="26"/>
      </w:r>
      <w:r>
        <w:rPr>
          <w:rFonts w:asciiTheme="minorHAnsi" w:hAnsiTheme="minorHAnsi"/>
        </w:rPr>
        <w:t xml:space="preserve"> </w:t>
      </w:r>
      <w:r w:rsidRPr="00A90F8A">
        <w:rPr>
          <w:rFonts w:asciiTheme="minorHAnsi" w:hAnsiTheme="minorHAnsi"/>
        </w:rPr>
        <w:t xml:space="preserve"> </w:t>
      </w:r>
      <w:r>
        <w:rPr>
          <w:rFonts w:asciiTheme="minorHAnsi" w:hAnsiTheme="minorHAnsi"/>
        </w:rPr>
        <w:t xml:space="preserve">The </w:t>
      </w:r>
      <w:r w:rsidRPr="00A90F8A">
        <w:rPr>
          <w:rStyle w:val="PPVQuoteChar"/>
          <w:rFonts w:asciiTheme="minorHAnsi" w:hAnsiTheme="minorHAnsi"/>
        </w:rPr>
        <w:t xml:space="preserve">Plan Melbourne </w:t>
      </w:r>
      <w:r w:rsidRPr="006236F3">
        <w:rPr>
          <w:i/>
        </w:rPr>
        <w:t xml:space="preserve">Five Year </w:t>
      </w:r>
      <w:r w:rsidRPr="00A90F8A">
        <w:rPr>
          <w:rStyle w:val="PPVQuoteChar"/>
          <w:rFonts w:asciiTheme="minorHAnsi" w:hAnsiTheme="minorHAnsi"/>
        </w:rPr>
        <w:t xml:space="preserve">Implementation </w:t>
      </w:r>
      <w:r>
        <w:rPr>
          <w:rStyle w:val="PPVQuoteChar"/>
          <w:rFonts w:asciiTheme="minorHAnsi" w:hAnsiTheme="minorHAnsi"/>
        </w:rPr>
        <w:t>Plan</w:t>
      </w:r>
      <w:r w:rsidRPr="000A72AB">
        <w:rPr>
          <w:i/>
        </w:rPr>
        <w:t xml:space="preserve"> </w:t>
      </w:r>
      <w:r w:rsidRPr="006236F3">
        <w:rPr>
          <w:i/>
        </w:rPr>
        <w:t>2017–2050</w:t>
      </w:r>
      <w:r>
        <w:rPr>
          <w:rStyle w:val="PPVQuoteChar"/>
          <w:rFonts w:asciiTheme="minorHAnsi" w:hAnsiTheme="minorHAnsi"/>
        </w:rPr>
        <w:t xml:space="preserve"> </w:t>
      </w:r>
      <w:r>
        <w:rPr>
          <w:rFonts w:asciiTheme="minorHAnsi" w:hAnsiTheme="minorHAnsi"/>
        </w:rPr>
        <w:t>references planning for 80,000 residents and 60,000 jobs, which appear to have been adopted from the 2016 Vision.</w:t>
      </w:r>
    </w:p>
    <w:p w:rsidR="00785416" w:rsidRDefault="008F389F" w:rsidP="008F389F">
      <w:pPr>
        <w:pStyle w:val="PPVBody"/>
        <w:rPr>
          <w:rFonts w:asciiTheme="minorHAnsi" w:hAnsiTheme="minorHAnsi"/>
        </w:rPr>
      </w:pPr>
      <w:r>
        <w:rPr>
          <w:rFonts w:asciiTheme="minorHAnsi" w:hAnsiTheme="minorHAnsi"/>
        </w:rPr>
        <w:t>T</w:t>
      </w:r>
      <w:r w:rsidRPr="00A90F8A">
        <w:rPr>
          <w:rFonts w:asciiTheme="minorHAnsi" w:hAnsiTheme="minorHAnsi"/>
        </w:rPr>
        <w:t xml:space="preserve">he </w:t>
      </w:r>
      <w:r w:rsidRPr="00A90F8A">
        <w:rPr>
          <w:rStyle w:val="PPVQuoteChar"/>
          <w:rFonts w:asciiTheme="minorHAnsi" w:hAnsiTheme="minorHAnsi"/>
        </w:rPr>
        <w:t>Fishermans Bend Strategic Framework Plan 2014</w:t>
      </w:r>
      <w:r>
        <w:rPr>
          <w:rStyle w:val="PPVQuoteChar"/>
          <w:rFonts w:asciiTheme="minorHAnsi" w:hAnsiTheme="minorHAnsi"/>
        </w:rPr>
        <w:t>,</w:t>
      </w:r>
      <w:r w:rsidRPr="00EF1927">
        <w:rPr>
          <w:rStyle w:val="PPVQuoteChar"/>
          <w:rFonts w:asciiTheme="minorHAnsi" w:hAnsiTheme="minorHAnsi"/>
          <w:i w:val="0"/>
        </w:rPr>
        <w:t xml:space="preserve"> an Inco</w:t>
      </w:r>
      <w:r>
        <w:rPr>
          <w:rStyle w:val="PPVQuoteChar"/>
          <w:rFonts w:asciiTheme="minorHAnsi" w:hAnsiTheme="minorHAnsi"/>
          <w:i w:val="0"/>
        </w:rPr>
        <w:t>r</w:t>
      </w:r>
      <w:r w:rsidRPr="00EF1927">
        <w:rPr>
          <w:rStyle w:val="PPVQuoteChar"/>
          <w:rFonts w:asciiTheme="minorHAnsi" w:hAnsiTheme="minorHAnsi"/>
          <w:i w:val="0"/>
        </w:rPr>
        <w:t>porated</w:t>
      </w:r>
      <w:r>
        <w:rPr>
          <w:rStyle w:val="PPVQuoteChar"/>
          <w:rFonts w:asciiTheme="minorHAnsi" w:hAnsiTheme="minorHAnsi"/>
          <w:i w:val="0"/>
        </w:rPr>
        <w:t xml:space="preserve"> Document in the Melbourne and Port Phillip Planning Schemes,</w:t>
      </w:r>
      <w:r>
        <w:rPr>
          <w:rStyle w:val="PPVQuoteChar"/>
          <w:rFonts w:asciiTheme="minorHAnsi" w:hAnsiTheme="minorHAnsi"/>
        </w:rPr>
        <w:t xml:space="preserve"> </w:t>
      </w:r>
      <w:r w:rsidRPr="00A90F8A">
        <w:rPr>
          <w:rFonts w:asciiTheme="minorHAnsi" w:hAnsiTheme="minorHAnsi"/>
        </w:rPr>
        <w:t>refers to an anticipated population of 80,000.</w:t>
      </w:r>
    </w:p>
    <w:p w:rsidR="008F389F" w:rsidRDefault="008F389F" w:rsidP="008F389F">
      <w:pPr>
        <w:pStyle w:val="Heading4"/>
      </w:pPr>
      <w:r>
        <w:t>Findings</w:t>
      </w:r>
    </w:p>
    <w:p w:rsidR="008F389F" w:rsidRPr="00A90F8A" w:rsidRDefault="008F389F" w:rsidP="008F389F">
      <w:pPr>
        <w:pStyle w:val="PPVBody"/>
        <w:rPr>
          <w:rFonts w:asciiTheme="minorHAnsi" w:hAnsiTheme="minorHAnsi"/>
        </w:rPr>
      </w:pPr>
      <w:r w:rsidRPr="00A90F8A">
        <w:rPr>
          <w:rFonts w:asciiTheme="minorHAnsi" w:hAnsiTheme="minorHAnsi"/>
        </w:rPr>
        <w:t xml:space="preserve">The Review Panel </w:t>
      </w:r>
      <w:r>
        <w:rPr>
          <w:rFonts w:asciiTheme="minorHAnsi" w:hAnsiTheme="minorHAnsi"/>
        </w:rPr>
        <w:t>finds</w:t>
      </w:r>
      <w:r w:rsidRPr="00A90F8A">
        <w:rPr>
          <w:rFonts w:asciiTheme="minorHAnsi" w:hAnsiTheme="minorHAnsi"/>
        </w:rPr>
        <w:t>:</w:t>
      </w:r>
    </w:p>
    <w:p w:rsidR="008F389F" w:rsidRPr="00A90F8A" w:rsidRDefault="008F389F" w:rsidP="008F389F">
      <w:pPr>
        <w:pStyle w:val="PPVBullet1"/>
      </w:pPr>
      <w:r>
        <w:t>t</w:t>
      </w:r>
      <w:r w:rsidRPr="00A90F8A">
        <w:t xml:space="preserve">he apparent genesis of the </w:t>
      </w:r>
      <w:r>
        <w:t xml:space="preserve">population </w:t>
      </w:r>
      <w:r w:rsidRPr="00A90F8A">
        <w:t xml:space="preserve">target is work undertaken by and for </w:t>
      </w:r>
      <w:r>
        <w:t>Places Victoria in 2012 and 2013</w:t>
      </w:r>
    </w:p>
    <w:p w:rsidR="008F389F" w:rsidRPr="00A90F8A" w:rsidRDefault="008F389F" w:rsidP="008F389F">
      <w:pPr>
        <w:pStyle w:val="PPVBullet1"/>
      </w:pPr>
      <w:r>
        <w:t xml:space="preserve">the </w:t>
      </w:r>
      <w:r w:rsidRPr="00A90F8A">
        <w:t xml:space="preserve">80,000 </w:t>
      </w:r>
      <w:r w:rsidR="0030647E">
        <w:t xml:space="preserve">(by 2050) </w:t>
      </w:r>
      <w:r w:rsidRPr="00A90F8A">
        <w:t xml:space="preserve">population is referred to in the </w:t>
      </w:r>
      <w:r w:rsidRPr="002C4CF9">
        <w:rPr>
          <w:i/>
        </w:rPr>
        <w:t xml:space="preserve">Plan Melbourne </w:t>
      </w:r>
      <w:r>
        <w:rPr>
          <w:i/>
        </w:rPr>
        <w:t xml:space="preserve">Five Year </w:t>
      </w:r>
      <w:r w:rsidRPr="002C4CF9">
        <w:rPr>
          <w:i/>
        </w:rPr>
        <w:t>Implementation Report</w:t>
      </w:r>
      <w:r>
        <w:rPr>
          <w:i/>
        </w:rPr>
        <w:t xml:space="preserve">, </w:t>
      </w:r>
      <w:r w:rsidRPr="00A90F8A">
        <w:t>but that report also refers to 60,000 jobs</w:t>
      </w:r>
    </w:p>
    <w:p w:rsidR="008F389F" w:rsidRPr="00A90F8A" w:rsidRDefault="008F389F" w:rsidP="008F389F">
      <w:pPr>
        <w:pStyle w:val="PPVBullet1"/>
      </w:pPr>
      <w:r>
        <w:t xml:space="preserve">while </w:t>
      </w:r>
      <w:r w:rsidRPr="00A90F8A">
        <w:t xml:space="preserve">policy </w:t>
      </w:r>
      <w:r>
        <w:t xml:space="preserve">including </w:t>
      </w:r>
      <w:r w:rsidRPr="002D1D6D">
        <w:rPr>
          <w:i/>
        </w:rPr>
        <w:t>Plan Melbourne</w:t>
      </w:r>
      <w:r>
        <w:t xml:space="preserve"> and the </w:t>
      </w:r>
      <w:r w:rsidRPr="0037002E">
        <w:rPr>
          <w:rStyle w:val="PPVQuoteChar"/>
          <w:rFonts w:asciiTheme="minorHAnsi" w:hAnsiTheme="minorHAnsi"/>
        </w:rPr>
        <w:t>Fishermans Bend Strategic Framework Plan 2014</w:t>
      </w:r>
      <w:r w:rsidRPr="0069262D">
        <w:rPr>
          <w:rStyle w:val="PPVQuoteChar"/>
          <w:rFonts w:asciiTheme="minorHAnsi" w:hAnsiTheme="minorHAnsi"/>
          <w:i w:val="0"/>
        </w:rPr>
        <w:t xml:space="preserve"> refer to </w:t>
      </w:r>
      <w:r w:rsidRPr="00A90F8A">
        <w:t>a population target of 80,000</w:t>
      </w:r>
      <w:r>
        <w:t>,</w:t>
      </w:r>
      <w:r w:rsidRPr="00A90F8A">
        <w:t xml:space="preserve"> </w:t>
      </w:r>
      <w:r>
        <w:t>t</w:t>
      </w:r>
      <w:r w:rsidRPr="00A90F8A">
        <w:t>here is no evidence that the target has been seriously reconsidered since 2013</w:t>
      </w:r>
      <w:r>
        <w:t xml:space="preserve">, notwithstanding that </w:t>
      </w:r>
      <w:r w:rsidRPr="00A90F8A">
        <w:t xml:space="preserve">development trends in 2012 </w:t>
      </w:r>
      <w:r>
        <w:t xml:space="preserve">were </w:t>
      </w:r>
      <w:r w:rsidRPr="00A90F8A">
        <w:t>far lower than those evident in 2015.</w:t>
      </w:r>
    </w:p>
    <w:p w:rsidR="008F389F" w:rsidRPr="00A90F8A" w:rsidRDefault="008F389F" w:rsidP="008F389F">
      <w:pPr>
        <w:pStyle w:val="Heading2"/>
      </w:pPr>
      <w:bookmarkStart w:id="224" w:name="_Toc519270977"/>
      <w:bookmarkStart w:id="225" w:name="_Toc519710264"/>
      <w:bookmarkStart w:id="226" w:name="_Toc519766824"/>
      <w:r w:rsidRPr="002C797E">
        <w:t>Urban</w:t>
      </w:r>
      <w:r w:rsidRPr="00A90F8A">
        <w:t xml:space="preserve"> form or population as the </w:t>
      </w:r>
      <w:r>
        <w:t>star</w:t>
      </w:r>
      <w:r w:rsidRPr="00A90F8A">
        <w:t>ting point</w:t>
      </w:r>
      <w:bookmarkEnd w:id="224"/>
      <w:bookmarkEnd w:id="225"/>
      <w:bookmarkEnd w:id="226"/>
    </w:p>
    <w:p w:rsidR="008F389F" w:rsidRPr="00A90F8A" w:rsidRDefault="008F389F" w:rsidP="008F389F">
      <w:pPr>
        <w:pStyle w:val="Heading4"/>
      </w:pPr>
      <w:r w:rsidRPr="00A90F8A">
        <w:t>Evidence and submissions</w:t>
      </w:r>
    </w:p>
    <w:p w:rsidR="008F389F" w:rsidRPr="00A90F8A" w:rsidRDefault="008F389F" w:rsidP="008F389F">
      <w:pPr>
        <w:rPr>
          <w:rFonts w:asciiTheme="minorHAnsi" w:hAnsiTheme="minorHAnsi"/>
        </w:rPr>
      </w:pPr>
      <w:r w:rsidRPr="00A90F8A">
        <w:rPr>
          <w:rFonts w:asciiTheme="minorHAnsi" w:hAnsiTheme="minorHAnsi"/>
        </w:rPr>
        <w:t>The Minister submitted that the population target of 80,000</w:t>
      </w:r>
      <w:r>
        <w:rPr>
          <w:rFonts w:asciiTheme="minorHAnsi" w:hAnsiTheme="minorHAnsi"/>
        </w:rPr>
        <w:t xml:space="preserve"> is </w:t>
      </w:r>
      <w:r w:rsidRPr="00A90F8A">
        <w:rPr>
          <w:rFonts w:asciiTheme="minorHAnsi" w:hAnsiTheme="minorHAnsi"/>
        </w:rPr>
        <w:t xml:space="preserve">at the heart of the planning for </w:t>
      </w:r>
      <w:r>
        <w:rPr>
          <w:rFonts w:asciiTheme="minorHAnsi" w:hAnsiTheme="minorHAnsi"/>
        </w:rPr>
        <w:t>Fishermans Bend</w:t>
      </w:r>
      <w:r w:rsidRPr="00A90F8A">
        <w:rPr>
          <w:rFonts w:asciiTheme="minorHAnsi" w:hAnsiTheme="minorHAnsi"/>
        </w:rPr>
        <w:t xml:space="preserve">.  In evidence, Ms Hodyl stated that she had been given the </w:t>
      </w:r>
      <w:r>
        <w:rPr>
          <w:rFonts w:asciiTheme="minorHAnsi" w:hAnsiTheme="minorHAnsi"/>
        </w:rPr>
        <w:t xml:space="preserve">80,000 </w:t>
      </w:r>
      <w:r w:rsidRPr="00A90F8A">
        <w:rPr>
          <w:rFonts w:asciiTheme="minorHAnsi" w:hAnsiTheme="minorHAnsi"/>
        </w:rPr>
        <w:t xml:space="preserve">target as the </w:t>
      </w:r>
      <w:r>
        <w:rPr>
          <w:rFonts w:asciiTheme="minorHAnsi" w:hAnsiTheme="minorHAnsi"/>
        </w:rPr>
        <w:t>star</w:t>
      </w:r>
      <w:r w:rsidRPr="00A90F8A">
        <w:rPr>
          <w:rFonts w:asciiTheme="minorHAnsi" w:hAnsiTheme="minorHAnsi"/>
        </w:rPr>
        <w:t xml:space="preserve">ting point for her urban design work and </w:t>
      </w:r>
      <w:r>
        <w:rPr>
          <w:rFonts w:asciiTheme="minorHAnsi" w:hAnsiTheme="minorHAnsi"/>
        </w:rPr>
        <w:t>subsequent evidence for this Hearing.  I</w:t>
      </w:r>
      <w:r w:rsidR="00007C27">
        <w:rPr>
          <w:rFonts w:asciiTheme="minorHAnsi" w:hAnsiTheme="minorHAnsi"/>
        </w:rPr>
        <w:t>n her view, it</w:t>
      </w:r>
      <w:r>
        <w:rPr>
          <w:rFonts w:asciiTheme="minorHAnsi" w:hAnsiTheme="minorHAnsi"/>
        </w:rPr>
        <w:t xml:space="preserve"> was not open to her to query the 80,000 target.</w:t>
      </w:r>
    </w:p>
    <w:p w:rsidR="008F389F" w:rsidRPr="00A90F8A" w:rsidRDefault="008F389F" w:rsidP="008F389F">
      <w:pPr>
        <w:rPr>
          <w:rFonts w:asciiTheme="minorHAnsi" w:hAnsiTheme="minorHAnsi"/>
        </w:rPr>
      </w:pPr>
      <w:r w:rsidRPr="00A90F8A">
        <w:rPr>
          <w:rFonts w:asciiTheme="minorHAnsi" w:hAnsiTheme="minorHAnsi"/>
        </w:rPr>
        <w:t>Indicative of her approach</w:t>
      </w:r>
      <w:r>
        <w:rPr>
          <w:rFonts w:asciiTheme="minorHAnsi" w:hAnsiTheme="minorHAnsi"/>
        </w:rPr>
        <w:t>,</w:t>
      </w:r>
      <w:r w:rsidRPr="00A90F8A">
        <w:rPr>
          <w:rFonts w:asciiTheme="minorHAnsi" w:hAnsiTheme="minorHAnsi"/>
        </w:rPr>
        <w:t xml:space="preserve"> Ms Hodyl state</w:t>
      </w:r>
      <w:r>
        <w:rPr>
          <w:rFonts w:asciiTheme="minorHAnsi" w:hAnsiTheme="minorHAnsi"/>
        </w:rPr>
        <w:t>d</w:t>
      </w:r>
      <w:r w:rsidRPr="00A90F8A">
        <w:rPr>
          <w:rFonts w:asciiTheme="minorHAnsi" w:hAnsiTheme="minorHAnsi"/>
        </w:rPr>
        <w:t xml:space="preserve"> in the Urban Design Strategy:</w:t>
      </w:r>
    </w:p>
    <w:p w:rsidR="008F389F" w:rsidRPr="00A90F8A" w:rsidRDefault="008F389F" w:rsidP="008F389F">
      <w:pPr>
        <w:pStyle w:val="PPVQuote"/>
        <w:rPr>
          <w:rFonts w:asciiTheme="minorHAnsi" w:hAnsiTheme="minorHAnsi"/>
        </w:rPr>
      </w:pPr>
      <w:r w:rsidRPr="00A90F8A">
        <w:rPr>
          <w:rFonts w:asciiTheme="minorHAnsi" w:hAnsiTheme="minorHAnsi"/>
        </w:rPr>
        <w:t>If the nominated residential population target is to be realised, and population distribution is to be aligned with infrastructure provision, then significant modifications in development patterns are required to reflect this preferred and sustainable level of growth.</w:t>
      </w:r>
      <w:r w:rsidRPr="00820B43">
        <w:rPr>
          <w:rStyle w:val="FootnoteReference"/>
          <w:rFonts w:asciiTheme="minorHAnsi" w:hAnsiTheme="minorHAnsi"/>
          <w:i w:val="0"/>
        </w:rPr>
        <w:footnoteReference w:id="27"/>
      </w:r>
    </w:p>
    <w:p w:rsidR="008F389F" w:rsidRPr="00A90F8A" w:rsidRDefault="008F389F" w:rsidP="008F389F">
      <w:pPr>
        <w:pStyle w:val="PPVBody"/>
        <w:rPr>
          <w:rFonts w:asciiTheme="minorHAnsi" w:hAnsiTheme="minorHAnsi"/>
        </w:rPr>
      </w:pPr>
      <w:r w:rsidRPr="00A90F8A">
        <w:rPr>
          <w:rFonts w:asciiTheme="minorHAnsi" w:hAnsiTheme="minorHAnsi"/>
        </w:rPr>
        <w:t xml:space="preserve">Ms Hodyl explained that the development of the FARs and the allocation of them between </w:t>
      </w:r>
      <w:r>
        <w:rPr>
          <w:rFonts w:asciiTheme="minorHAnsi" w:hAnsiTheme="minorHAnsi"/>
        </w:rPr>
        <w:t>P</w:t>
      </w:r>
      <w:r w:rsidRPr="00A90F8A">
        <w:rPr>
          <w:rFonts w:asciiTheme="minorHAnsi" w:hAnsiTheme="minorHAnsi"/>
        </w:rPr>
        <w:t xml:space="preserve">recincts had been an iterative process to ensure there was a good fit between the population targets, the FARs and the preferred character for each </w:t>
      </w:r>
      <w:r w:rsidR="00EE531A">
        <w:rPr>
          <w:rFonts w:asciiTheme="minorHAnsi" w:hAnsiTheme="minorHAnsi"/>
        </w:rPr>
        <w:t>P</w:t>
      </w:r>
      <w:r w:rsidRPr="00A90F8A">
        <w:rPr>
          <w:rFonts w:asciiTheme="minorHAnsi" w:hAnsiTheme="minorHAnsi"/>
        </w:rPr>
        <w:t>recinct.</w:t>
      </w:r>
    </w:p>
    <w:p w:rsidR="008F389F" w:rsidRDefault="008F389F" w:rsidP="008F389F">
      <w:pPr>
        <w:pStyle w:val="PPVBody"/>
        <w:rPr>
          <w:rFonts w:asciiTheme="minorHAnsi" w:hAnsiTheme="minorHAnsi"/>
        </w:rPr>
      </w:pPr>
      <w:r w:rsidRPr="00A90F8A">
        <w:rPr>
          <w:rFonts w:asciiTheme="minorHAnsi" w:hAnsiTheme="minorHAnsi"/>
        </w:rPr>
        <w:t>The approach taken by Ms Hodyl received broad support from Melbourne</w:t>
      </w:r>
      <w:r>
        <w:rPr>
          <w:rFonts w:asciiTheme="minorHAnsi" w:hAnsiTheme="minorHAnsi"/>
        </w:rPr>
        <w:t>,</w:t>
      </w:r>
      <w:r w:rsidRPr="00A90F8A">
        <w:rPr>
          <w:rFonts w:asciiTheme="minorHAnsi" w:hAnsiTheme="minorHAnsi"/>
        </w:rPr>
        <w:t xml:space="preserve"> but emphasised that it was important that the population target should not be so high as to compromise the desired urban design outcomes.</w:t>
      </w:r>
    </w:p>
    <w:p w:rsidR="007A6A24" w:rsidRPr="00A90F8A" w:rsidRDefault="007A6A24" w:rsidP="007A6A24">
      <w:pPr>
        <w:pStyle w:val="PPVBody"/>
        <w:rPr>
          <w:rFonts w:asciiTheme="minorHAnsi" w:hAnsiTheme="minorHAnsi"/>
        </w:rPr>
      </w:pPr>
      <w:r>
        <w:rPr>
          <w:rFonts w:asciiTheme="minorHAnsi" w:hAnsiTheme="minorHAnsi"/>
        </w:rPr>
        <w:lastRenderedPageBreak/>
        <w:t>Port Phillip</w:t>
      </w:r>
      <w:r w:rsidRPr="00A90F8A">
        <w:rPr>
          <w:rFonts w:asciiTheme="minorHAnsi" w:hAnsiTheme="minorHAnsi"/>
        </w:rPr>
        <w:t xml:space="preserve"> pursued the issue of whether a population target was an appropriate </w:t>
      </w:r>
      <w:r>
        <w:rPr>
          <w:rFonts w:asciiTheme="minorHAnsi" w:hAnsiTheme="minorHAnsi"/>
        </w:rPr>
        <w:t>star</w:t>
      </w:r>
      <w:r w:rsidRPr="00A90F8A">
        <w:rPr>
          <w:rFonts w:asciiTheme="minorHAnsi" w:hAnsiTheme="minorHAnsi"/>
        </w:rPr>
        <w:t>ting point with Mr Sheppard in cross examination</w:t>
      </w:r>
      <w:r>
        <w:rPr>
          <w:rFonts w:asciiTheme="minorHAnsi" w:hAnsiTheme="minorHAnsi"/>
        </w:rPr>
        <w:t>,</w:t>
      </w:r>
      <w:r w:rsidRPr="00A90F8A">
        <w:rPr>
          <w:rFonts w:asciiTheme="minorHAnsi" w:hAnsiTheme="minorHAnsi"/>
        </w:rPr>
        <w:t xml:space="preserve"> but </w:t>
      </w:r>
      <w:r>
        <w:rPr>
          <w:rFonts w:asciiTheme="minorHAnsi" w:hAnsiTheme="minorHAnsi"/>
        </w:rPr>
        <w:t>it</w:t>
      </w:r>
      <w:r w:rsidRPr="00A90F8A">
        <w:rPr>
          <w:rFonts w:asciiTheme="minorHAnsi" w:hAnsiTheme="minorHAnsi"/>
        </w:rPr>
        <w:t xml:space="preserve"> did not take an explicit position on this.</w:t>
      </w:r>
    </w:p>
    <w:p w:rsidR="008F389F" w:rsidRPr="00A90F8A" w:rsidRDefault="008F389F" w:rsidP="008F389F">
      <w:pPr>
        <w:pStyle w:val="PPVBody"/>
        <w:rPr>
          <w:rFonts w:asciiTheme="minorHAnsi" w:hAnsiTheme="minorHAnsi"/>
        </w:rPr>
      </w:pPr>
      <w:r w:rsidRPr="00A90F8A">
        <w:rPr>
          <w:rFonts w:asciiTheme="minorHAnsi" w:hAnsiTheme="minorHAnsi"/>
        </w:rPr>
        <w:t xml:space="preserve">Other submitters and expert witnesses were critical of </w:t>
      </w:r>
      <w:r>
        <w:rPr>
          <w:rFonts w:asciiTheme="minorHAnsi" w:hAnsiTheme="minorHAnsi"/>
        </w:rPr>
        <w:t>star</w:t>
      </w:r>
      <w:r w:rsidRPr="00A90F8A">
        <w:rPr>
          <w:rFonts w:asciiTheme="minorHAnsi" w:hAnsiTheme="minorHAnsi"/>
        </w:rPr>
        <w:t xml:space="preserve">ting the </w:t>
      </w:r>
      <w:r>
        <w:rPr>
          <w:rFonts w:asciiTheme="minorHAnsi" w:hAnsiTheme="minorHAnsi"/>
        </w:rPr>
        <w:t xml:space="preserve">planning </w:t>
      </w:r>
      <w:r w:rsidRPr="00A90F8A">
        <w:rPr>
          <w:rFonts w:asciiTheme="minorHAnsi" w:hAnsiTheme="minorHAnsi"/>
        </w:rPr>
        <w:t>process with a specific population target.</w:t>
      </w:r>
      <w:r>
        <w:rPr>
          <w:rFonts w:asciiTheme="minorHAnsi" w:hAnsiTheme="minorHAnsi"/>
        </w:rPr>
        <w:t xml:space="preserve"> </w:t>
      </w:r>
      <w:r w:rsidRPr="00A90F8A">
        <w:rPr>
          <w:rFonts w:asciiTheme="minorHAnsi" w:hAnsiTheme="minorHAnsi"/>
        </w:rPr>
        <w:t xml:space="preserve"> </w:t>
      </w:r>
      <w:r>
        <w:rPr>
          <w:rFonts w:asciiTheme="minorHAnsi" w:hAnsiTheme="minorHAnsi"/>
        </w:rPr>
        <w:t xml:space="preserve">For instance, </w:t>
      </w:r>
      <w:r w:rsidRPr="00A90F8A">
        <w:rPr>
          <w:rFonts w:asciiTheme="minorHAnsi" w:hAnsiTheme="minorHAnsi"/>
        </w:rPr>
        <w:t>Mr Tweedie submitted:</w:t>
      </w:r>
    </w:p>
    <w:p w:rsidR="008F389F" w:rsidRPr="00A90F8A" w:rsidRDefault="008F389F" w:rsidP="008F389F">
      <w:pPr>
        <w:pStyle w:val="PPVQuote"/>
        <w:rPr>
          <w:rFonts w:asciiTheme="minorHAnsi" w:hAnsiTheme="minorHAnsi"/>
        </w:rPr>
      </w:pPr>
      <w:r w:rsidRPr="00A90F8A">
        <w:rPr>
          <w:rFonts w:asciiTheme="minorHAnsi" w:hAnsiTheme="minorHAnsi"/>
        </w:rPr>
        <w:t>…</w:t>
      </w:r>
      <w:r>
        <w:rPr>
          <w:rFonts w:asciiTheme="minorHAnsi" w:hAnsiTheme="minorHAnsi"/>
        </w:rPr>
        <w:t xml:space="preserve"> </w:t>
      </w:r>
      <w:r w:rsidRPr="00A90F8A">
        <w:rPr>
          <w:rFonts w:asciiTheme="minorHAnsi" w:hAnsiTheme="minorHAnsi"/>
        </w:rPr>
        <w:t xml:space="preserve">the </w:t>
      </w:r>
      <w:r>
        <w:rPr>
          <w:rFonts w:asciiTheme="minorHAnsi" w:hAnsiTheme="minorHAnsi"/>
        </w:rPr>
        <w:t>star</w:t>
      </w:r>
      <w:r w:rsidRPr="00A90F8A">
        <w:rPr>
          <w:rFonts w:asciiTheme="minorHAnsi" w:hAnsiTheme="minorHAnsi"/>
        </w:rPr>
        <w:t>ting point of a population target in the proposed Amendment, established by the Vision and developed into the proposed controls though the Urban Design Strategy</w:t>
      </w:r>
      <w:r>
        <w:rPr>
          <w:rFonts w:asciiTheme="minorHAnsi" w:hAnsiTheme="minorHAnsi"/>
        </w:rPr>
        <w:t>,</w:t>
      </w:r>
      <w:r w:rsidRPr="00A90F8A">
        <w:rPr>
          <w:rFonts w:asciiTheme="minorHAnsi" w:hAnsiTheme="minorHAnsi"/>
        </w:rPr>
        <w:t xml:space="preserve"> is misconceived.</w:t>
      </w:r>
      <w:r w:rsidRPr="00820B43">
        <w:rPr>
          <w:rStyle w:val="FootnoteReference"/>
          <w:rFonts w:asciiTheme="minorHAnsi" w:hAnsiTheme="minorHAnsi"/>
          <w:i w:val="0"/>
        </w:rPr>
        <w:footnoteReference w:id="28"/>
      </w:r>
    </w:p>
    <w:p w:rsidR="00A02B89" w:rsidRPr="00921BF0" w:rsidRDefault="00A02B89" w:rsidP="00A02B89">
      <w:pPr>
        <w:pStyle w:val="PPVBody"/>
        <w:rPr>
          <w:color w:val="000000"/>
        </w:rPr>
      </w:pPr>
      <w:r>
        <w:t>It was a common criticism of</w:t>
      </w:r>
      <w:r w:rsidRPr="006556DA">
        <w:t xml:space="preserve"> opposing landowners that the </w:t>
      </w:r>
      <w:r>
        <w:t>FARs were</w:t>
      </w:r>
      <w:r w:rsidRPr="006556DA">
        <w:t xml:space="preserve"> not derived from an identificat</w:t>
      </w:r>
      <w:r>
        <w:t>ion of preferred character.  It w</w:t>
      </w:r>
      <w:r w:rsidRPr="006556DA">
        <w:t xml:space="preserve">as asserted that </w:t>
      </w:r>
      <w:r>
        <w:t xml:space="preserve">the population target or </w:t>
      </w:r>
      <w:r w:rsidRPr="006556DA">
        <w:t xml:space="preserve">density dictated the urban form of Fishermans Bend and that this is </w:t>
      </w:r>
      <w:r>
        <w:t>“</w:t>
      </w:r>
      <w:r w:rsidRPr="00E56D35">
        <w:rPr>
          <w:i/>
        </w:rPr>
        <w:t>an unforgiveable case of</w:t>
      </w:r>
      <w:r w:rsidRPr="006556DA">
        <w:t xml:space="preserve"> </w:t>
      </w:r>
      <w:r w:rsidRPr="002B4EC8">
        <w:rPr>
          <w:i/>
        </w:rPr>
        <w:t>the tail wagging the dog”</w:t>
      </w:r>
      <w:r>
        <w:t xml:space="preserve">.  </w:t>
      </w:r>
      <w:r w:rsidRPr="00A90F8A">
        <w:rPr>
          <w:rFonts w:asciiTheme="minorHAnsi" w:hAnsiTheme="minorHAnsi"/>
        </w:rPr>
        <w:t xml:space="preserve">In evidence, Mr Sheppard stated that the </w:t>
      </w:r>
      <w:r>
        <w:rPr>
          <w:rFonts w:asciiTheme="minorHAnsi" w:hAnsiTheme="minorHAnsi"/>
        </w:rPr>
        <w:t>star</w:t>
      </w:r>
      <w:r w:rsidRPr="00A90F8A">
        <w:rPr>
          <w:rFonts w:asciiTheme="minorHAnsi" w:hAnsiTheme="minorHAnsi"/>
        </w:rPr>
        <w:t>ting point should be the desired scale of development and built form</w:t>
      </w:r>
      <w:r>
        <w:rPr>
          <w:rFonts w:asciiTheme="minorHAnsi" w:hAnsiTheme="minorHAnsi"/>
        </w:rPr>
        <w:t>,</w:t>
      </w:r>
      <w:r w:rsidRPr="00A90F8A">
        <w:rPr>
          <w:rFonts w:asciiTheme="minorHAnsi" w:hAnsiTheme="minorHAnsi"/>
        </w:rPr>
        <w:t xml:space="preserve"> and that this </w:t>
      </w:r>
      <w:r>
        <w:rPr>
          <w:rFonts w:asciiTheme="minorHAnsi" w:hAnsiTheme="minorHAnsi"/>
        </w:rPr>
        <w:t>sh</w:t>
      </w:r>
      <w:r w:rsidRPr="00A90F8A">
        <w:rPr>
          <w:rFonts w:asciiTheme="minorHAnsi" w:hAnsiTheme="minorHAnsi"/>
        </w:rPr>
        <w:t>ould generate a population outcome</w:t>
      </w:r>
      <w:r>
        <w:rPr>
          <w:rFonts w:asciiTheme="minorHAnsi" w:hAnsiTheme="minorHAnsi"/>
        </w:rPr>
        <w:t xml:space="preserve"> through an iterative process.  He </w:t>
      </w:r>
      <w:r>
        <w:t>stated</w:t>
      </w:r>
      <w:r>
        <w:rPr>
          <w:color w:val="000000"/>
        </w:rPr>
        <w:t>:</w:t>
      </w:r>
    </w:p>
    <w:p w:rsidR="00A02B89" w:rsidRDefault="00A02B89" w:rsidP="00A02B89">
      <w:pPr>
        <w:pStyle w:val="PPVQuote"/>
      </w:pPr>
      <w:r w:rsidRPr="00921BF0">
        <w:t xml:space="preserve">The proposed FAR and height controls need to be reviewed to ensure the contribution of the renewal area to Melbourne’s growth is optimised. </w:t>
      </w:r>
      <w:r>
        <w:t xml:space="preserve"> </w:t>
      </w:r>
      <w:r w:rsidRPr="00921BF0">
        <w:t xml:space="preserve">In my view, the process for determining the appropriate scale of development should </w:t>
      </w:r>
      <w:r>
        <w:t>star</w:t>
      </w:r>
      <w:r w:rsidRPr="00921BF0">
        <w:t xml:space="preserve">t by designing a desired built form character for each area that balances amenity outcomes and provision for growth, with estimates of the resulting floor area used to inform infrastructure planning. </w:t>
      </w:r>
      <w:r>
        <w:t xml:space="preserve"> </w:t>
      </w:r>
      <w:r w:rsidRPr="00921BF0">
        <w:t>The reverse process that has been adopted is a case of the tail wagging the dog, which has resulted in wastefully conservative densities in places.</w:t>
      </w:r>
      <w:r w:rsidRPr="00441E49">
        <w:rPr>
          <w:rStyle w:val="FootnoteReference"/>
          <w:i w:val="0"/>
        </w:rPr>
        <w:footnoteReference w:id="29"/>
      </w:r>
    </w:p>
    <w:p w:rsidR="00A02B89" w:rsidRDefault="00A02B89" w:rsidP="00A02B89">
      <w:pPr>
        <w:pStyle w:val="PPVBody"/>
      </w:pPr>
      <w:r>
        <w:rPr>
          <w:iCs/>
        </w:rPr>
        <w:t xml:space="preserve">Part of Mr Sheppard’s criticism was that </w:t>
      </w:r>
      <w:r w:rsidRPr="0031609B">
        <w:rPr>
          <w:iCs/>
        </w:rPr>
        <w:t xml:space="preserve">substantial </w:t>
      </w:r>
      <w:r w:rsidRPr="0031609B">
        <w:t>differences in density or character are not necessary to ensure a distinctive sense of place in each neighbourhood.</w:t>
      </w:r>
    </w:p>
    <w:p w:rsidR="00A02B89" w:rsidRDefault="00A02B89" w:rsidP="00A02B89">
      <w:pPr>
        <w:pStyle w:val="PPVBody"/>
      </w:pPr>
      <w:r>
        <w:t>The Minister submitted that t</w:t>
      </w:r>
      <w:r w:rsidRPr="006556DA">
        <w:t>he principal difficulty for the landowners in m</w:t>
      </w:r>
      <w:r w:rsidRPr="00DE343C">
        <w:t>aking the submission that den</w:t>
      </w:r>
      <w:r w:rsidRPr="006556DA">
        <w:t xml:space="preserve">sity </w:t>
      </w:r>
      <w:r>
        <w:t xml:space="preserve">had </w:t>
      </w:r>
      <w:r w:rsidRPr="006556DA">
        <w:t>dictated the urban form of Fishermans Bend</w:t>
      </w:r>
      <w:r>
        <w:t>, rather than preferred built form or character outcomes,</w:t>
      </w:r>
      <w:r w:rsidRPr="006556DA">
        <w:t xml:space="preserve"> is that their own witnesses either</w:t>
      </w:r>
      <w:r>
        <w:t>:</w:t>
      </w:r>
    </w:p>
    <w:p w:rsidR="00A02B89" w:rsidRDefault="00A02B89" w:rsidP="00A02B89">
      <w:pPr>
        <w:pStyle w:val="PPVQuote"/>
      </w:pPr>
      <w:r>
        <w:t xml:space="preserve">… </w:t>
      </w:r>
      <w:r w:rsidRPr="006556DA">
        <w:t xml:space="preserve">did not refer to the preferred character for the various </w:t>
      </w:r>
      <w:r>
        <w:t>subprecinct</w:t>
      </w:r>
      <w:r w:rsidRPr="006556DA">
        <w:t xml:space="preserve">s they considered, suggesting an ignorance of the work which informed the </w:t>
      </w:r>
      <w:r>
        <w:t>subprecinct</w:t>
      </w:r>
      <w:r w:rsidRPr="006556DA">
        <w:t xml:space="preserve"> c</w:t>
      </w:r>
      <w:r>
        <w:t>haracter and associated heights … [or]</w:t>
      </w:r>
    </w:p>
    <w:p w:rsidR="00785416" w:rsidRDefault="00A02B89" w:rsidP="00A02B89">
      <w:pPr>
        <w:pStyle w:val="PPVQuote"/>
      </w:pPr>
      <w:r>
        <w:t xml:space="preserve">… </w:t>
      </w:r>
      <w:r w:rsidRPr="006556DA">
        <w:t>the witnesses referred to that work and made no adverse comment about it, inviting the inference that the witnesses supported the character and heights, o</w:t>
      </w:r>
      <w:r>
        <w:t>r at least did not oppose them.</w:t>
      </w:r>
      <w:r w:rsidR="005912AF">
        <w:rPr>
          <w:rStyle w:val="FootnoteReference"/>
        </w:rPr>
        <w:footnoteReference w:id="30"/>
      </w:r>
    </w:p>
    <w:p w:rsidR="00A02B89" w:rsidRPr="00A90F8A" w:rsidRDefault="00A02B89" w:rsidP="00A02B89">
      <w:pPr>
        <w:pStyle w:val="PPVBody"/>
        <w:rPr>
          <w:rFonts w:asciiTheme="minorHAnsi" w:hAnsiTheme="minorHAnsi"/>
        </w:rPr>
      </w:pPr>
      <w:r w:rsidRPr="00A90F8A">
        <w:rPr>
          <w:rFonts w:asciiTheme="minorHAnsi" w:hAnsiTheme="minorHAnsi"/>
        </w:rPr>
        <w:t>Mr Shimmin took a slightly different tack and</w:t>
      </w:r>
      <w:r>
        <w:rPr>
          <w:rFonts w:asciiTheme="minorHAnsi" w:hAnsiTheme="minorHAnsi"/>
        </w:rPr>
        <w:t>,</w:t>
      </w:r>
      <w:r w:rsidRPr="00A90F8A">
        <w:rPr>
          <w:rFonts w:asciiTheme="minorHAnsi" w:hAnsiTheme="minorHAnsi"/>
        </w:rPr>
        <w:t xml:space="preserve"> in criticising the use of the population target as the basis of planning</w:t>
      </w:r>
      <w:r>
        <w:rPr>
          <w:rFonts w:asciiTheme="minorHAnsi" w:hAnsiTheme="minorHAnsi"/>
        </w:rPr>
        <w:t>,</w:t>
      </w:r>
      <w:r w:rsidRPr="00A90F8A">
        <w:rPr>
          <w:rFonts w:asciiTheme="minorHAnsi" w:hAnsiTheme="minorHAnsi"/>
        </w:rPr>
        <w:t xml:space="preserve"> stated that the result was that infrastructure provision ceases to be a driver of development but rather had become a constraint.</w:t>
      </w:r>
    </w:p>
    <w:p w:rsidR="008F389F" w:rsidRPr="00A90F8A" w:rsidRDefault="008F389F" w:rsidP="008F389F">
      <w:pPr>
        <w:pStyle w:val="Heading4"/>
      </w:pPr>
      <w:r w:rsidRPr="00A90F8A">
        <w:lastRenderedPageBreak/>
        <w:t>Discussion</w:t>
      </w:r>
    </w:p>
    <w:p w:rsidR="00CB3638" w:rsidRDefault="00CB3638" w:rsidP="00CB3638">
      <w:pPr>
        <w:pStyle w:val="PPVBody"/>
        <w:rPr>
          <w:rFonts w:asciiTheme="minorHAnsi" w:hAnsiTheme="minorHAnsi"/>
        </w:rPr>
      </w:pPr>
      <w:r w:rsidRPr="00CB3638">
        <w:rPr>
          <w:rFonts w:asciiTheme="minorHAnsi" w:hAnsiTheme="minorHAnsi"/>
        </w:rPr>
        <w:t>The Review Panel notes that different professionals may legitimately argue different starting points for this process.  Using a truly iterative approach should result in similar outcomes regardless of the starting point.</w:t>
      </w:r>
    </w:p>
    <w:p w:rsidR="00785416" w:rsidRDefault="008F389F" w:rsidP="008F389F">
      <w:pPr>
        <w:pStyle w:val="PPVBody"/>
        <w:rPr>
          <w:rFonts w:asciiTheme="minorHAnsi" w:hAnsiTheme="minorHAnsi"/>
        </w:rPr>
      </w:pPr>
      <w:r w:rsidRPr="00A90F8A">
        <w:rPr>
          <w:rFonts w:asciiTheme="minorHAnsi" w:hAnsiTheme="minorHAnsi"/>
        </w:rPr>
        <w:t xml:space="preserve">The Review Panel accepts that both a population target and a desired urban form outcome are legitimate </w:t>
      </w:r>
      <w:r>
        <w:rPr>
          <w:rFonts w:asciiTheme="minorHAnsi" w:hAnsiTheme="minorHAnsi"/>
        </w:rPr>
        <w:t>star</w:t>
      </w:r>
      <w:r w:rsidRPr="00A90F8A">
        <w:rPr>
          <w:rFonts w:asciiTheme="minorHAnsi" w:hAnsiTheme="minorHAnsi"/>
        </w:rPr>
        <w:t xml:space="preserve">ting points for </w:t>
      </w:r>
      <w:r>
        <w:rPr>
          <w:rFonts w:asciiTheme="minorHAnsi" w:hAnsiTheme="minorHAnsi"/>
        </w:rPr>
        <w:t>planning for urban renewal.  However,</w:t>
      </w:r>
      <w:r w:rsidRPr="00A90F8A">
        <w:rPr>
          <w:rFonts w:asciiTheme="minorHAnsi" w:hAnsiTheme="minorHAnsi"/>
        </w:rPr>
        <w:t xml:space="preserve"> each should be considered and adjusted </w:t>
      </w:r>
      <w:r>
        <w:rPr>
          <w:rFonts w:asciiTheme="minorHAnsi" w:hAnsiTheme="minorHAnsi"/>
        </w:rPr>
        <w:t>through</w:t>
      </w:r>
      <w:r w:rsidRPr="00A90F8A">
        <w:rPr>
          <w:rFonts w:asciiTheme="minorHAnsi" w:hAnsiTheme="minorHAnsi"/>
        </w:rPr>
        <w:t xml:space="preserve"> an iterative analysis</w:t>
      </w:r>
      <w:r w:rsidR="00007C27">
        <w:rPr>
          <w:rFonts w:asciiTheme="minorHAnsi" w:hAnsiTheme="minorHAnsi"/>
        </w:rPr>
        <w:t xml:space="preserve"> to ensure a high level of rigour and veracity</w:t>
      </w:r>
      <w:r w:rsidRPr="00A90F8A">
        <w:rPr>
          <w:rFonts w:asciiTheme="minorHAnsi" w:hAnsiTheme="minorHAnsi"/>
        </w:rPr>
        <w:t>.</w:t>
      </w:r>
      <w:r>
        <w:rPr>
          <w:rFonts w:asciiTheme="minorHAnsi" w:hAnsiTheme="minorHAnsi"/>
        </w:rPr>
        <w:t xml:space="preserve"> </w:t>
      </w:r>
      <w:r w:rsidRPr="00A90F8A">
        <w:rPr>
          <w:rFonts w:asciiTheme="minorHAnsi" w:hAnsiTheme="minorHAnsi"/>
        </w:rPr>
        <w:t xml:space="preserve"> </w:t>
      </w:r>
      <w:r>
        <w:rPr>
          <w:rFonts w:asciiTheme="minorHAnsi" w:hAnsiTheme="minorHAnsi"/>
        </w:rPr>
        <w:t>I</w:t>
      </w:r>
      <w:r w:rsidRPr="00A90F8A">
        <w:rPr>
          <w:rFonts w:asciiTheme="minorHAnsi" w:hAnsiTheme="minorHAnsi"/>
        </w:rPr>
        <w:t xml:space="preserve">n Ms Hodyl’s </w:t>
      </w:r>
      <w:r>
        <w:rPr>
          <w:rFonts w:asciiTheme="minorHAnsi" w:hAnsiTheme="minorHAnsi"/>
        </w:rPr>
        <w:t>analysis,</w:t>
      </w:r>
      <w:r w:rsidRPr="00A90F8A">
        <w:rPr>
          <w:rFonts w:asciiTheme="minorHAnsi" w:hAnsiTheme="minorHAnsi"/>
        </w:rPr>
        <w:t xml:space="preserve"> the 80,000 population target was a fixed point</w:t>
      </w:r>
      <w:r>
        <w:rPr>
          <w:rFonts w:asciiTheme="minorHAnsi" w:hAnsiTheme="minorHAnsi"/>
        </w:rPr>
        <w:t>.  In other words, the process was not truly iterative.</w:t>
      </w:r>
    </w:p>
    <w:p w:rsidR="008F389F" w:rsidRPr="00A90F8A" w:rsidRDefault="008F389F" w:rsidP="008F389F">
      <w:pPr>
        <w:pStyle w:val="Heading4"/>
      </w:pPr>
      <w:r>
        <w:t>Findings</w:t>
      </w:r>
    </w:p>
    <w:p w:rsidR="008F389F" w:rsidRPr="00A90F8A" w:rsidRDefault="008F389F" w:rsidP="008F389F">
      <w:pPr>
        <w:pStyle w:val="PPVBody"/>
        <w:rPr>
          <w:rFonts w:asciiTheme="minorHAnsi" w:hAnsiTheme="minorHAnsi"/>
        </w:rPr>
      </w:pPr>
      <w:r w:rsidRPr="00A90F8A">
        <w:rPr>
          <w:rFonts w:asciiTheme="minorHAnsi" w:hAnsiTheme="minorHAnsi"/>
        </w:rPr>
        <w:t xml:space="preserve">The Review Panel </w:t>
      </w:r>
      <w:r>
        <w:rPr>
          <w:rFonts w:asciiTheme="minorHAnsi" w:hAnsiTheme="minorHAnsi"/>
        </w:rPr>
        <w:t>finds:</w:t>
      </w:r>
    </w:p>
    <w:p w:rsidR="00785416" w:rsidRDefault="008F389F" w:rsidP="008F389F">
      <w:pPr>
        <w:pStyle w:val="PPVBullet1"/>
      </w:pPr>
      <w:r>
        <w:t>t</w:t>
      </w:r>
      <w:r w:rsidRPr="00A90F8A">
        <w:t xml:space="preserve">here needs to be an iterative process to ensure an appropriate balance between the future population, the desired and appropriate built form and the infrastructure that is </w:t>
      </w:r>
      <w:r>
        <w:t>needed to support the development of Fishermans Bend</w:t>
      </w:r>
    </w:p>
    <w:p w:rsidR="008F389F" w:rsidRPr="00A90F8A" w:rsidRDefault="007A6A24" w:rsidP="008F389F">
      <w:pPr>
        <w:pStyle w:val="PPVBullet1"/>
      </w:pPr>
      <w:r>
        <w:t>either</w:t>
      </w:r>
      <w:r w:rsidR="008F389F" w:rsidRPr="00A90F8A">
        <w:t xml:space="preserve"> a population target </w:t>
      </w:r>
      <w:r>
        <w:t xml:space="preserve">or a </w:t>
      </w:r>
      <w:r w:rsidR="008F389F" w:rsidRPr="00A90F8A">
        <w:t xml:space="preserve">desired built form outcome would </w:t>
      </w:r>
      <w:r>
        <w:t>be</w:t>
      </w:r>
      <w:r w:rsidR="008F389F" w:rsidRPr="00A90F8A">
        <w:t xml:space="preserve"> equally legitimate </w:t>
      </w:r>
      <w:r w:rsidR="008F389F">
        <w:t>star</w:t>
      </w:r>
      <w:r w:rsidR="008F389F" w:rsidRPr="00A90F8A">
        <w:t>ting point</w:t>
      </w:r>
      <w:r>
        <w:t>s</w:t>
      </w:r>
      <w:r w:rsidR="008F389F" w:rsidRPr="00A90F8A">
        <w:t>.</w:t>
      </w:r>
    </w:p>
    <w:p w:rsidR="008F389F" w:rsidRPr="00A90F8A" w:rsidRDefault="008F389F" w:rsidP="008F389F">
      <w:pPr>
        <w:pStyle w:val="Heading2"/>
      </w:pPr>
      <w:bookmarkStart w:id="227" w:name="_Toc519270978"/>
      <w:bookmarkStart w:id="228" w:name="_Toc519710265"/>
      <w:bookmarkStart w:id="229" w:name="_Toc519766825"/>
      <w:r w:rsidRPr="002C797E">
        <w:t>Residential</w:t>
      </w:r>
      <w:r w:rsidRPr="00A90F8A">
        <w:t xml:space="preserve"> densit</w:t>
      </w:r>
      <w:r>
        <w:t>ies</w:t>
      </w:r>
      <w:bookmarkEnd w:id="227"/>
      <w:bookmarkEnd w:id="228"/>
      <w:bookmarkEnd w:id="229"/>
    </w:p>
    <w:p w:rsidR="00785416" w:rsidRDefault="008F389F" w:rsidP="008F389F">
      <w:pPr>
        <w:pStyle w:val="PPVBody"/>
        <w:rPr>
          <w:rFonts w:asciiTheme="minorHAnsi" w:hAnsiTheme="minorHAnsi"/>
        </w:rPr>
      </w:pPr>
      <w:r w:rsidRPr="00A90F8A">
        <w:rPr>
          <w:rFonts w:asciiTheme="minorHAnsi" w:hAnsiTheme="minorHAnsi"/>
        </w:rPr>
        <w:t>Some submitters sought to advance the argument that the population densities proposed are too low and that Fishermans Bend can sustain higher densities and hence a higher population than proposed.  It is this issue which is addressed here.</w:t>
      </w:r>
      <w:r>
        <w:rPr>
          <w:rFonts w:asciiTheme="minorHAnsi" w:hAnsiTheme="minorHAnsi"/>
        </w:rPr>
        <w:t xml:space="preserve">  The relationship between density controls and built form outcomes is addressed in Chapter 7</w:t>
      </w:r>
      <w:r w:rsidRPr="00A90F8A">
        <w:rPr>
          <w:rFonts w:asciiTheme="minorHAnsi" w:hAnsiTheme="minorHAnsi"/>
        </w:rPr>
        <w:t>.</w:t>
      </w:r>
    </w:p>
    <w:p w:rsidR="008F389F" w:rsidRPr="00A90F8A" w:rsidRDefault="008F389F" w:rsidP="008F389F">
      <w:pPr>
        <w:pStyle w:val="Heading4"/>
      </w:pPr>
      <w:r w:rsidRPr="00A90F8A">
        <w:t>Evidence and submissions</w:t>
      </w:r>
    </w:p>
    <w:p w:rsidR="008F389F" w:rsidRDefault="008F389F" w:rsidP="008F389F">
      <w:pPr>
        <w:rPr>
          <w:rFonts w:asciiTheme="minorHAnsi" w:hAnsiTheme="minorHAnsi"/>
        </w:rPr>
      </w:pPr>
      <w:r w:rsidRPr="00A90F8A">
        <w:rPr>
          <w:rFonts w:asciiTheme="minorHAnsi" w:hAnsiTheme="minorHAnsi"/>
        </w:rPr>
        <w:t xml:space="preserve">In </w:t>
      </w:r>
      <w:r>
        <w:rPr>
          <w:rFonts w:asciiTheme="minorHAnsi" w:hAnsiTheme="minorHAnsi"/>
        </w:rPr>
        <w:t xml:space="preserve">both the </w:t>
      </w:r>
      <w:r w:rsidRPr="001D7672">
        <w:rPr>
          <w:rFonts w:asciiTheme="minorHAnsi" w:hAnsiTheme="minorHAnsi"/>
          <w:i/>
        </w:rPr>
        <w:t>Urban Design Strategy</w:t>
      </w:r>
      <w:r>
        <w:rPr>
          <w:rFonts w:asciiTheme="minorHAnsi" w:hAnsiTheme="minorHAnsi"/>
        </w:rPr>
        <w:t xml:space="preserve"> and </w:t>
      </w:r>
      <w:r w:rsidRPr="00A90F8A">
        <w:rPr>
          <w:rFonts w:asciiTheme="minorHAnsi" w:hAnsiTheme="minorHAnsi"/>
        </w:rPr>
        <w:t>evidence, Ms Hodyl included a chart</w:t>
      </w:r>
      <w:r w:rsidR="000E0848">
        <w:rPr>
          <w:rStyle w:val="FootnoteReference"/>
          <w:rFonts w:asciiTheme="minorHAnsi" w:hAnsiTheme="minorHAnsi"/>
        </w:rPr>
        <w:footnoteReference w:id="31"/>
      </w:r>
      <w:r w:rsidR="000E0848">
        <w:rPr>
          <w:rFonts w:asciiTheme="minorHAnsi" w:hAnsiTheme="minorHAnsi"/>
        </w:rPr>
        <w:t xml:space="preserve"> </w:t>
      </w:r>
      <w:r w:rsidRPr="00A90F8A">
        <w:rPr>
          <w:rFonts w:asciiTheme="minorHAnsi" w:hAnsiTheme="minorHAnsi"/>
        </w:rPr>
        <w:t>which compared the proposed population density of 323 persons per hectare in Fishermans Bend with selected inner metropolitan and international examples.</w:t>
      </w:r>
      <w:r w:rsidRPr="00820B43">
        <w:rPr>
          <w:rStyle w:val="FootnoteReference"/>
          <w:rFonts w:asciiTheme="minorHAnsi" w:hAnsiTheme="minorHAnsi"/>
        </w:rPr>
        <w:footnoteReference w:id="32"/>
      </w:r>
    </w:p>
    <w:p w:rsidR="00785416" w:rsidRDefault="008F389F" w:rsidP="008F389F">
      <w:pPr>
        <w:rPr>
          <w:rFonts w:asciiTheme="minorHAnsi" w:hAnsiTheme="minorHAnsi"/>
        </w:rPr>
      </w:pPr>
      <w:r w:rsidRPr="00A90F8A">
        <w:rPr>
          <w:rFonts w:asciiTheme="minorHAnsi" w:hAnsiTheme="minorHAnsi"/>
        </w:rPr>
        <w:t xml:space="preserve">Ms Hodyl was subject to detailed cross examination on these </w:t>
      </w:r>
      <w:r>
        <w:rPr>
          <w:rFonts w:asciiTheme="minorHAnsi" w:hAnsiTheme="minorHAnsi"/>
        </w:rPr>
        <w:t xml:space="preserve">comparisons.  </w:t>
      </w:r>
      <w:r w:rsidRPr="00A90F8A">
        <w:rPr>
          <w:rFonts w:asciiTheme="minorHAnsi" w:hAnsiTheme="minorHAnsi"/>
        </w:rPr>
        <w:t>Mr Tweedie pursu</w:t>
      </w:r>
      <w:r>
        <w:rPr>
          <w:rFonts w:asciiTheme="minorHAnsi" w:hAnsiTheme="minorHAnsi"/>
        </w:rPr>
        <w:t>ed</w:t>
      </w:r>
      <w:r w:rsidRPr="00A90F8A">
        <w:rPr>
          <w:rFonts w:asciiTheme="minorHAnsi" w:hAnsiTheme="minorHAnsi"/>
        </w:rPr>
        <w:t xml:space="preserve"> a number of themes, including whether some of the international examples cited</w:t>
      </w:r>
      <w:r>
        <w:rPr>
          <w:rFonts w:asciiTheme="minorHAnsi" w:hAnsiTheme="minorHAnsi"/>
        </w:rPr>
        <w:t xml:space="preserve"> were </w:t>
      </w:r>
      <w:r w:rsidRPr="00A90F8A">
        <w:rPr>
          <w:rFonts w:asciiTheme="minorHAnsi" w:hAnsiTheme="minorHAnsi"/>
        </w:rPr>
        <w:t>appropriate and useful comparisons</w:t>
      </w:r>
      <w:r>
        <w:rPr>
          <w:rFonts w:asciiTheme="minorHAnsi" w:hAnsiTheme="minorHAnsi"/>
        </w:rPr>
        <w:t xml:space="preserve">, </w:t>
      </w:r>
      <w:r w:rsidRPr="00A90F8A">
        <w:rPr>
          <w:rFonts w:asciiTheme="minorHAnsi" w:hAnsiTheme="minorHAnsi"/>
        </w:rPr>
        <w:t>the size of each comparator</w:t>
      </w:r>
      <w:r>
        <w:rPr>
          <w:rFonts w:asciiTheme="minorHAnsi" w:hAnsiTheme="minorHAnsi"/>
        </w:rPr>
        <w:t xml:space="preserve"> area, its history and</w:t>
      </w:r>
      <w:r w:rsidRPr="00A90F8A">
        <w:rPr>
          <w:rFonts w:asciiTheme="minorHAnsi" w:hAnsiTheme="minorHAnsi"/>
        </w:rPr>
        <w:t xml:space="preserve"> whether the</w:t>
      </w:r>
      <w:r>
        <w:rPr>
          <w:rFonts w:asciiTheme="minorHAnsi" w:hAnsiTheme="minorHAnsi"/>
        </w:rPr>
        <w:t xml:space="preserve"> comparisons used </w:t>
      </w:r>
      <w:r w:rsidRPr="00A90F8A">
        <w:rPr>
          <w:rFonts w:asciiTheme="minorHAnsi" w:hAnsiTheme="minorHAnsi"/>
        </w:rPr>
        <w:t>were urban renewal areas.  Mr Tweedie asked how many examples could be given in the international context which were outside the broad range of 300</w:t>
      </w:r>
      <w:r w:rsidR="00A80B82">
        <w:rPr>
          <w:rFonts w:asciiTheme="minorHAnsi" w:hAnsiTheme="minorHAnsi"/>
        </w:rPr>
        <w:t>–</w:t>
      </w:r>
      <w:r w:rsidRPr="00A90F8A">
        <w:rPr>
          <w:rFonts w:asciiTheme="minorHAnsi" w:hAnsiTheme="minorHAnsi"/>
        </w:rPr>
        <w:t>353 dwelling per hectare on which her chart focus</w:t>
      </w:r>
      <w:r>
        <w:rPr>
          <w:rFonts w:asciiTheme="minorHAnsi" w:hAnsiTheme="minorHAnsi"/>
        </w:rPr>
        <w:t>ed</w:t>
      </w:r>
      <w:r w:rsidRPr="00A90F8A">
        <w:rPr>
          <w:rFonts w:asciiTheme="minorHAnsi" w:hAnsiTheme="minorHAnsi"/>
        </w:rPr>
        <w:t xml:space="preserve">.  Mr Tweedie put to </w:t>
      </w:r>
      <w:r>
        <w:rPr>
          <w:rFonts w:asciiTheme="minorHAnsi" w:hAnsiTheme="minorHAnsi"/>
        </w:rPr>
        <w:t>Ms Hodyl that her own F</w:t>
      </w:r>
      <w:r w:rsidRPr="00A90F8A">
        <w:rPr>
          <w:rFonts w:asciiTheme="minorHAnsi" w:hAnsiTheme="minorHAnsi"/>
        </w:rPr>
        <w:t>igure 4 indicated that there were precincts in Melbourne, Sydney and Brisbane where population densities exceeded 400 person per hectare.</w:t>
      </w:r>
    </w:p>
    <w:p w:rsidR="00B40278" w:rsidRDefault="008F389F" w:rsidP="008F389F">
      <w:pPr>
        <w:rPr>
          <w:rFonts w:asciiTheme="minorHAnsi" w:hAnsiTheme="minorHAnsi"/>
        </w:rPr>
      </w:pPr>
      <w:r w:rsidRPr="00A90F8A">
        <w:rPr>
          <w:rFonts w:asciiTheme="minorHAnsi" w:hAnsiTheme="minorHAnsi"/>
        </w:rPr>
        <w:t xml:space="preserve">In evidence, Mr Sheppard provided a useful chart comparing planned population and employment densities in a number of inner Melbourne </w:t>
      </w:r>
      <w:r w:rsidRPr="00C25FB9">
        <w:rPr>
          <w:rFonts w:asciiTheme="minorHAnsi" w:hAnsiTheme="minorHAnsi"/>
        </w:rPr>
        <w:t>precincts.</w:t>
      </w:r>
      <w:r w:rsidRPr="00820B43">
        <w:rPr>
          <w:rStyle w:val="FootnoteReference"/>
          <w:rFonts w:asciiTheme="minorHAnsi" w:hAnsiTheme="minorHAnsi"/>
        </w:rPr>
        <w:footnoteReference w:id="33"/>
      </w:r>
      <w:r>
        <w:rPr>
          <w:rFonts w:asciiTheme="minorHAnsi" w:hAnsiTheme="minorHAnsi"/>
        </w:rPr>
        <w:t xml:space="preserve">  He concluded that the densities proposed in Fishermans Bend </w:t>
      </w:r>
      <w:r w:rsidRPr="00A90F8A">
        <w:rPr>
          <w:rFonts w:asciiTheme="minorHAnsi" w:hAnsiTheme="minorHAnsi"/>
        </w:rPr>
        <w:t>“</w:t>
      </w:r>
      <w:r w:rsidRPr="00A90F8A">
        <w:rPr>
          <w:rStyle w:val="PPVQuoteChar"/>
          <w:rFonts w:asciiTheme="minorHAnsi" w:hAnsiTheme="minorHAnsi"/>
        </w:rPr>
        <w:t xml:space="preserve">leaves a potential shortfall of approximately </w:t>
      </w:r>
      <w:r w:rsidRPr="00A90F8A">
        <w:rPr>
          <w:rStyle w:val="PPVQuoteChar"/>
          <w:rFonts w:asciiTheme="minorHAnsi" w:hAnsiTheme="minorHAnsi"/>
        </w:rPr>
        <w:lastRenderedPageBreak/>
        <w:t>120,000 dwellings to be provided in Fishermans Bend and other incremental opportunities within the Inner Metro region</w:t>
      </w:r>
      <w:r w:rsidR="00A90D8B">
        <w:rPr>
          <w:rStyle w:val="PPVQuoteChar"/>
          <w:rFonts w:asciiTheme="minorHAnsi" w:hAnsiTheme="minorHAnsi"/>
        </w:rPr>
        <w:t>”.</w:t>
      </w:r>
    </w:p>
    <w:p w:rsidR="00785416" w:rsidRDefault="008F389F" w:rsidP="008F389F">
      <w:pPr>
        <w:rPr>
          <w:rFonts w:asciiTheme="minorHAnsi" w:hAnsiTheme="minorHAnsi"/>
        </w:rPr>
      </w:pPr>
      <w:r w:rsidRPr="00A90F8A">
        <w:rPr>
          <w:rFonts w:asciiTheme="minorHAnsi" w:hAnsiTheme="minorHAnsi"/>
        </w:rPr>
        <w:t>Under c</w:t>
      </w:r>
      <w:r>
        <w:rPr>
          <w:rFonts w:asciiTheme="minorHAnsi" w:hAnsiTheme="minorHAnsi"/>
        </w:rPr>
        <w:t xml:space="preserve">ross examination Mr Montebello </w:t>
      </w:r>
      <w:r w:rsidRPr="00A90F8A">
        <w:rPr>
          <w:rFonts w:asciiTheme="minorHAnsi" w:hAnsiTheme="minorHAnsi"/>
        </w:rPr>
        <w:t>took Mr Sheppard through recent growth trends in both Yarra and Port Phillip and suggested to him that if trends continued, those municipalities would be making a significant contribution to accommodating growth</w:t>
      </w:r>
      <w:r>
        <w:rPr>
          <w:rFonts w:asciiTheme="minorHAnsi" w:hAnsiTheme="minorHAnsi"/>
        </w:rPr>
        <w:t xml:space="preserve"> without the need to increase density in Fishermans Bend</w:t>
      </w:r>
      <w:r w:rsidRPr="00A90F8A">
        <w:rPr>
          <w:rFonts w:asciiTheme="minorHAnsi" w:hAnsiTheme="minorHAnsi"/>
        </w:rPr>
        <w:t xml:space="preserve">. </w:t>
      </w:r>
      <w:r>
        <w:rPr>
          <w:rFonts w:asciiTheme="minorHAnsi" w:hAnsiTheme="minorHAnsi"/>
        </w:rPr>
        <w:t xml:space="preserve"> </w:t>
      </w:r>
      <w:r w:rsidRPr="00A90F8A">
        <w:rPr>
          <w:rFonts w:asciiTheme="minorHAnsi" w:hAnsiTheme="minorHAnsi"/>
        </w:rPr>
        <w:t>Mr Sheppard stated that he had acknowledged in his evidence that there would be a contribution to growth by “</w:t>
      </w:r>
      <w:r w:rsidRPr="00A90F8A">
        <w:rPr>
          <w:rStyle w:val="PPVQuoteChar"/>
          <w:rFonts w:asciiTheme="minorHAnsi" w:hAnsiTheme="minorHAnsi"/>
        </w:rPr>
        <w:t>other incremental opportunities</w:t>
      </w:r>
      <w:r w:rsidRPr="00A90F8A">
        <w:rPr>
          <w:rFonts w:asciiTheme="minorHAnsi" w:hAnsiTheme="minorHAnsi"/>
        </w:rPr>
        <w:t>”</w:t>
      </w:r>
      <w:r>
        <w:rPr>
          <w:rFonts w:asciiTheme="minorHAnsi" w:hAnsiTheme="minorHAnsi"/>
        </w:rPr>
        <w:t>.</w:t>
      </w:r>
    </w:p>
    <w:p w:rsidR="008F389F" w:rsidRDefault="008F389F" w:rsidP="008F389F">
      <w:pPr>
        <w:rPr>
          <w:rFonts w:asciiTheme="minorHAnsi" w:hAnsiTheme="minorHAnsi"/>
        </w:rPr>
      </w:pPr>
      <w:r>
        <w:rPr>
          <w:rFonts w:asciiTheme="minorHAnsi" w:hAnsiTheme="minorHAnsi"/>
        </w:rPr>
        <w:t xml:space="preserve">Melbourne </w:t>
      </w:r>
      <w:r w:rsidRPr="00A90F8A">
        <w:rPr>
          <w:rFonts w:asciiTheme="minorHAnsi" w:hAnsiTheme="minorHAnsi"/>
        </w:rPr>
        <w:t>submitted that an overall population density of 323 dwelling per hectare is appropriate.</w:t>
      </w:r>
    </w:p>
    <w:p w:rsidR="008F389F" w:rsidRPr="00A90F8A" w:rsidRDefault="008F389F" w:rsidP="008F389F">
      <w:pPr>
        <w:pStyle w:val="Heading4"/>
      </w:pPr>
      <w:r w:rsidRPr="00A90F8A">
        <w:t>Discussion</w:t>
      </w:r>
    </w:p>
    <w:p w:rsidR="00785416" w:rsidRDefault="008F389F" w:rsidP="008F389F">
      <w:pPr>
        <w:pStyle w:val="PPVBody"/>
        <w:rPr>
          <w:rFonts w:asciiTheme="minorHAnsi" w:hAnsiTheme="minorHAnsi"/>
        </w:rPr>
      </w:pPr>
      <w:r>
        <w:rPr>
          <w:rFonts w:asciiTheme="minorHAnsi" w:hAnsiTheme="minorHAnsi"/>
        </w:rPr>
        <w:t>The Review Panel</w:t>
      </w:r>
      <w:r w:rsidRPr="00A90F8A">
        <w:rPr>
          <w:rFonts w:asciiTheme="minorHAnsi" w:hAnsiTheme="minorHAnsi"/>
        </w:rPr>
        <w:t xml:space="preserve"> acknowledges that the targets for accommodating growth set out in </w:t>
      </w:r>
      <w:r w:rsidRPr="006236F3">
        <w:rPr>
          <w:rFonts w:asciiTheme="minorHAnsi" w:hAnsiTheme="minorHAnsi"/>
          <w:i/>
        </w:rPr>
        <w:t>Plan Melbourne</w:t>
      </w:r>
      <w:r w:rsidRPr="00A90F8A">
        <w:rPr>
          <w:rFonts w:asciiTheme="minorHAnsi" w:hAnsiTheme="minorHAnsi"/>
        </w:rPr>
        <w:t xml:space="preserve"> for the </w:t>
      </w:r>
      <w:r>
        <w:rPr>
          <w:rFonts w:asciiTheme="minorHAnsi" w:hAnsiTheme="minorHAnsi"/>
        </w:rPr>
        <w:t>c</w:t>
      </w:r>
      <w:r w:rsidRPr="00A90F8A">
        <w:rPr>
          <w:rFonts w:asciiTheme="minorHAnsi" w:hAnsiTheme="minorHAnsi"/>
        </w:rPr>
        <w:t xml:space="preserve">entral </w:t>
      </w:r>
      <w:r>
        <w:rPr>
          <w:rFonts w:asciiTheme="minorHAnsi" w:hAnsiTheme="minorHAnsi"/>
        </w:rPr>
        <w:t xml:space="preserve">area </w:t>
      </w:r>
      <w:r w:rsidRPr="00A90F8A">
        <w:rPr>
          <w:rFonts w:asciiTheme="minorHAnsi" w:hAnsiTheme="minorHAnsi"/>
        </w:rPr>
        <w:t xml:space="preserve">are significant, and that population densities </w:t>
      </w:r>
      <w:r>
        <w:rPr>
          <w:rFonts w:asciiTheme="minorHAnsi" w:hAnsiTheme="minorHAnsi"/>
        </w:rPr>
        <w:t xml:space="preserve">are likely </w:t>
      </w:r>
      <w:r w:rsidRPr="00A90F8A">
        <w:rPr>
          <w:rFonts w:asciiTheme="minorHAnsi" w:hAnsiTheme="minorHAnsi"/>
        </w:rPr>
        <w:t>to increase</w:t>
      </w:r>
      <w:r w:rsidR="00007C27">
        <w:rPr>
          <w:rFonts w:asciiTheme="minorHAnsi" w:hAnsiTheme="minorHAnsi"/>
        </w:rPr>
        <w:t>, based on recent trends</w:t>
      </w:r>
      <w:r w:rsidRPr="00A90F8A">
        <w:rPr>
          <w:rFonts w:asciiTheme="minorHAnsi" w:hAnsiTheme="minorHAnsi"/>
        </w:rPr>
        <w:t xml:space="preserve">. </w:t>
      </w:r>
      <w:r>
        <w:rPr>
          <w:rFonts w:asciiTheme="minorHAnsi" w:hAnsiTheme="minorHAnsi"/>
        </w:rPr>
        <w:t xml:space="preserve"> </w:t>
      </w:r>
      <w:r w:rsidRPr="00A90F8A">
        <w:rPr>
          <w:rFonts w:asciiTheme="minorHAnsi" w:hAnsiTheme="minorHAnsi"/>
        </w:rPr>
        <w:t>Mr Sheppard</w:t>
      </w:r>
      <w:r>
        <w:rPr>
          <w:rFonts w:asciiTheme="minorHAnsi" w:hAnsiTheme="minorHAnsi"/>
        </w:rPr>
        <w:t>’s data</w:t>
      </w:r>
      <w:r w:rsidRPr="00A90F8A">
        <w:rPr>
          <w:rFonts w:asciiTheme="minorHAnsi" w:hAnsiTheme="minorHAnsi"/>
        </w:rPr>
        <w:t xml:space="preserve"> indicate</w:t>
      </w:r>
      <w:r>
        <w:rPr>
          <w:rFonts w:asciiTheme="minorHAnsi" w:hAnsiTheme="minorHAnsi"/>
        </w:rPr>
        <w:t>d</w:t>
      </w:r>
      <w:r w:rsidRPr="00A90F8A">
        <w:rPr>
          <w:rFonts w:asciiTheme="minorHAnsi" w:hAnsiTheme="minorHAnsi"/>
        </w:rPr>
        <w:t xml:space="preserve"> that the proposed population densities in Fishermans Bend are not disproportionally out of scale with other inner precincts for which prospective population density targets are available. </w:t>
      </w:r>
      <w:r>
        <w:rPr>
          <w:rFonts w:asciiTheme="minorHAnsi" w:hAnsiTheme="minorHAnsi"/>
        </w:rPr>
        <w:t xml:space="preserve"> </w:t>
      </w:r>
      <w:r w:rsidRPr="00A90F8A">
        <w:rPr>
          <w:rFonts w:asciiTheme="minorHAnsi" w:hAnsiTheme="minorHAnsi"/>
        </w:rPr>
        <w:t>However</w:t>
      </w:r>
      <w:r>
        <w:rPr>
          <w:rFonts w:asciiTheme="minorHAnsi" w:hAnsiTheme="minorHAnsi"/>
        </w:rPr>
        <w:t>,</w:t>
      </w:r>
      <w:r w:rsidRPr="00A90F8A">
        <w:rPr>
          <w:rFonts w:asciiTheme="minorHAnsi" w:hAnsiTheme="minorHAnsi"/>
        </w:rPr>
        <w:t xml:space="preserve"> </w:t>
      </w:r>
      <w:r>
        <w:rPr>
          <w:rFonts w:asciiTheme="minorHAnsi" w:hAnsiTheme="minorHAnsi"/>
        </w:rPr>
        <w:t xml:space="preserve">population </w:t>
      </w:r>
      <w:r w:rsidRPr="00A90F8A">
        <w:rPr>
          <w:rFonts w:asciiTheme="minorHAnsi" w:hAnsiTheme="minorHAnsi"/>
        </w:rPr>
        <w:t xml:space="preserve">density slightly higher than proposed </w:t>
      </w:r>
      <w:r>
        <w:rPr>
          <w:rFonts w:asciiTheme="minorHAnsi" w:hAnsiTheme="minorHAnsi"/>
        </w:rPr>
        <w:t xml:space="preserve">would </w:t>
      </w:r>
      <w:r w:rsidRPr="00A90F8A">
        <w:rPr>
          <w:rFonts w:asciiTheme="minorHAnsi" w:hAnsiTheme="minorHAnsi"/>
        </w:rPr>
        <w:t>no</w:t>
      </w:r>
      <w:r>
        <w:rPr>
          <w:rFonts w:asciiTheme="minorHAnsi" w:hAnsiTheme="minorHAnsi"/>
        </w:rPr>
        <w:t>t necessarily be out of scale either</w:t>
      </w:r>
      <w:r w:rsidRPr="00A90F8A">
        <w:rPr>
          <w:rFonts w:asciiTheme="minorHAnsi" w:hAnsiTheme="minorHAnsi"/>
        </w:rPr>
        <w:t>.</w:t>
      </w:r>
    </w:p>
    <w:p w:rsidR="008F389F" w:rsidRDefault="008F389F" w:rsidP="008F389F">
      <w:pPr>
        <w:pStyle w:val="Heading4"/>
      </w:pPr>
      <w:r>
        <w:t>Findings</w:t>
      </w:r>
    </w:p>
    <w:p w:rsidR="008F389F" w:rsidRPr="00A90F8A" w:rsidRDefault="008F389F" w:rsidP="008F389F">
      <w:pPr>
        <w:pStyle w:val="PPVBody"/>
        <w:rPr>
          <w:rFonts w:asciiTheme="minorHAnsi" w:hAnsiTheme="minorHAnsi"/>
        </w:rPr>
      </w:pPr>
      <w:r w:rsidRPr="00A90F8A">
        <w:rPr>
          <w:rFonts w:asciiTheme="minorHAnsi" w:hAnsiTheme="minorHAnsi"/>
        </w:rPr>
        <w:t xml:space="preserve">The Review Panel </w:t>
      </w:r>
      <w:r>
        <w:rPr>
          <w:rFonts w:asciiTheme="minorHAnsi" w:hAnsiTheme="minorHAnsi"/>
        </w:rPr>
        <w:t>finds</w:t>
      </w:r>
      <w:r w:rsidRPr="00A90F8A">
        <w:rPr>
          <w:rFonts w:asciiTheme="minorHAnsi" w:hAnsiTheme="minorHAnsi"/>
        </w:rPr>
        <w:t>:</w:t>
      </w:r>
    </w:p>
    <w:p w:rsidR="008F389F" w:rsidRPr="00A90F8A" w:rsidRDefault="008F389F" w:rsidP="008F389F">
      <w:pPr>
        <w:pStyle w:val="PPVBullet1"/>
      </w:pPr>
      <w:r>
        <w:t xml:space="preserve">population </w:t>
      </w:r>
      <w:r w:rsidRPr="00A90F8A">
        <w:t>density is a legitimate input into the determination of the future population</w:t>
      </w:r>
      <w:r w:rsidR="00007C27">
        <w:t xml:space="preserve"> figure</w:t>
      </w:r>
    </w:p>
    <w:p w:rsidR="008F389F" w:rsidRPr="00A90F8A" w:rsidRDefault="008F389F" w:rsidP="008F389F">
      <w:pPr>
        <w:pStyle w:val="PPVBullet1"/>
      </w:pPr>
      <w:r>
        <w:t xml:space="preserve">while the population densities proposed are not out of proportion to other central area growth precincts, a moderate increase in density </w:t>
      </w:r>
      <w:r>
        <w:rPr>
          <w:rFonts w:asciiTheme="minorHAnsi" w:hAnsiTheme="minorHAnsi"/>
        </w:rPr>
        <w:t xml:space="preserve">would </w:t>
      </w:r>
      <w:r w:rsidRPr="00A90F8A">
        <w:rPr>
          <w:rFonts w:asciiTheme="minorHAnsi" w:hAnsiTheme="minorHAnsi"/>
        </w:rPr>
        <w:t>no</w:t>
      </w:r>
      <w:r>
        <w:rPr>
          <w:rFonts w:asciiTheme="minorHAnsi" w:hAnsiTheme="minorHAnsi"/>
        </w:rPr>
        <w:t>t necessarily be out of scale either</w:t>
      </w:r>
      <w:r>
        <w:t>.</w:t>
      </w:r>
    </w:p>
    <w:p w:rsidR="008F389F" w:rsidRPr="00A90F8A" w:rsidRDefault="008F389F" w:rsidP="008F389F">
      <w:pPr>
        <w:pStyle w:val="Heading2"/>
      </w:pPr>
      <w:bookmarkStart w:id="230" w:name="_Toc519270979"/>
      <w:bookmarkStart w:id="231" w:name="_Toc519710266"/>
      <w:bookmarkStart w:id="232" w:name="_Toc519766826"/>
      <w:r w:rsidRPr="002C797E">
        <w:t>Appropriateness</w:t>
      </w:r>
      <w:r w:rsidRPr="00A90F8A">
        <w:t xml:space="preserve"> of the proposed</w:t>
      </w:r>
      <w:r>
        <w:t xml:space="preserve"> population</w:t>
      </w:r>
      <w:r w:rsidRPr="00A90F8A">
        <w:t xml:space="preserve"> target</w:t>
      </w:r>
      <w:bookmarkEnd w:id="230"/>
      <w:bookmarkEnd w:id="231"/>
      <w:bookmarkEnd w:id="232"/>
    </w:p>
    <w:p w:rsidR="008F389F" w:rsidRPr="00A90F8A" w:rsidRDefault="008F389F" w:rsidP="008F389F">
      <w:pPr>
        <w:pStyle w:val="Heading4"/>
      </w:pPr>
      <w:r w:rsidRPr="00A90F8A">
        <w:t>Evidence and submissions</w:t>
      </w:r>
    </w:p>
    <w:p w:rsidR="008F389F" w:rsidRPr="00A90F8A" w:rsidRDefault="008F389F" w:rsidP="008F389F">
      <w:pPr>
        <w:pStyle w:val="PPVBody"/>
        <w:rPr>
          <w:rFonts w:asciiTheme="minorHAnsi" w:hAnsiTheme="minorHAnsi"/>
        </w:rPr>
      </w:pPr>
      <w:r>
        <w:rPr>
          <w:rFonts w:asciiTheme="minorHAnsi" w:hAnsiTheme="minorHAnsi"/>
        </w:rPr>
        <w:t>Melbourne</w:t>
      </w:r>
      <w:r w:rsidRPr="00A90F8A">
        <w:rPr>
          <w:rFonts w:asciiTheme="minorHAnsi" w:hAnsiTheme="minorHAnsi"/>
        </w:rPr>
        <w:t xml:space="preserve"> supported the population target of 80,000.</w:t>
      </w:r>
      <w:r>
        <w:rPr>
          <w:rFonts w:asciiTheme="minorHAnsi" w:hAnsiTheme="minorHAnsi"/>
        </w:rPr>
        <w:t xml:space="preserve">  </w:t>
      </w:r>
      <w:r w:rsidRPr="00A90F8A">
        <w:rPr>
          <w:rFonts w:asciiTheme="minorHAnsi" w:hAnsiTheme="minorHAnsi"/>
        </w:rPr>
        <w:t>Port Phillip did not explicitly adopt the 80,000 target</w:t>
      </w:r>
      <w:r>
        <w:rPr>
          <w:rFonts w:asciiTheme="minorHAnsi" w:hAnsiTheme="minorHAnsi"/>
        </w:rPr>
        <w:t>,</w:t>
      </w:r>
      <w:r w:rsidRPr="00A90F8A">
        <w:rPr>
          <w:rFonts w:asciiTheme="minorHAnsi" w:hAnsiTheme="minorHAnsi"/>
        </w:rPr>
        <w:t xml:space="preserve"> but note</w:t>
      </w:r>
      <w:r>
        <w:rPr>
          <w:rFonts w:asciiTheme="minorHAnsi" w:hAnsiTheme="minorHAnsi"/>
        </w:rPr>
        <w:t>d</w:t>
      </w:r>
      <w:r w:rsidRPr="00A90F8A">
        <w:rPr>
          <w:rFonts w:asciiTheme="minorHAnsi" w:hAnsiTheme="minorHAnsi"/>
        </w:rPr>
        <w:t xml:space="preserve"> that it is in included in the Vision</w:t>
      </w:r>
      <w:r>
        <w:rPr>
          <w:rFonts w:asciiTheme="minorHAnsi" w:hAnsiTheme="minorHAnsi"/>
        </w:rPr>
        <w:t>.  Port Phillip contended that the population target could be an order of magnitude and need not be exact, but a target is needed as the basis of infrastructure planning.  It submitted that if the population under the originally proposed FAU scheme eventuated, 11 more community hubs and 27.65 more hectares of open space would be needed.  Mesh Consultants calculated the construction cost of one recreation hub as up to $66 million.</w:t>
      </w:r>
    </w:p>
    <w:p w:rsidR="008F389F" w:rsidRPr="00A90F8A" w:rsidRDefault="008F389F" w:rsidP="008F389F">
      <w:pPr>
        <w:pStyle w:val="PPVBody"/>
        <w:rPr>
          <w:rFonts w:asciiTheme="minorHAnsi" w:hAnsiTheme="minorHAnsi"/>
        </w:rPr>
      </w:pPr>
      <w:r w:rsidRPr="00A90F8A">
        <w:rPr>
          <w:rFonts w:asciiTheme="minorHAnsi" w:hAnsiTheme="minorHAnsi"/>
        </w:rPr>
        <w:t>Mr Tweedie submitted:</w:t>
      </w:r>
    </w:p>
    <w:p w:rsidR="008F389F" w:rsidRPr="00A90F8A" w:rsidRDefault="008F389F" w:rsidP="008F389F">
      <w:pPr>
        <w:pStyle w:val="PPVQuoteBullet1"/>
        <w:tabs>
          <w:tab w:val="num" w:pos="644"/>
        </w:tabs>
        <w:rPr>
          <w:rFonts w:asciiTheme="minorHAnsi" w:hAnsiTheme="minorHAnsi"/>
        </w:rPr>
      </w:pPr>
      <w:r w:rsidRPr="00A90F8A">
        <w:rPr>
          <w:rFonts w:asciiTheme="minorHAnsi" w:hAnsiTheme="minorHAnsi"/>
        </w:rPr>
        <w:t xml:space="preserve">it is not necessary to adopt or adhere to </w:t>
      </w:r>
      <w:r w:rsidRPr="00A90F8A">
        <w:rPr>
          <w:rFonts w:asciiTheme="minorHAnsi" w:hAnsiTheme="minorHAnsi" w:cs="Helvetica-Bold"/>
          <w:b/>
          <w:bCs/>
        </w:rPr>
        <w:t xml:space="preserve">any </w:t>
      </w:r>
      <w:r w:rsidRPr="00A90F8A">
        <w:rPr>
          <w:rFonts w:asciiTheme="minorHAnsi" w:hAnsiTheme="minorHAnsi"/>
        </w:rPr>
        <w:t>population target as the basis upon which to prepare a set of planning controls for Fishermans Bend (and, in particular, built form controls) other than as an indicative figure to assist with planning the necessary infrastructure</w:t>
      </w:r>
    </w:p>
    <w:p w:rsidR="008F389F" w:rsidRPr="00A90F8A" w:rsidRDefault="008F389F" w:rsidP="008F389F">
      <w:pPr>
        <w:pStyle w:val="PPVQuoteBullet1"/>
        <w:tabs>
          <w:tab w:val="num" w:pos="644"/>
        </w:tabs>
        <w:rPr>
          <w:rFonts w:asciiTheme="minorHAnsi" w:hAnsiTheme="minorHAnsi"/>
        </w:rPr>
      </w:pPr>
      <w:r w:rsidRPr="00A90F8A">
        <w:rPr>
          <w:rFonts w:asciiTheme="minorHAnsi" w:hAnsiTheme="minorHAnsi"/>
        </w:rPr>
        <w:t>even if this were not the case, the 80,000 figure is simply the wrong figure.</w:t>
      </w:r>
      <w:r>
        <w:rPr>
          <w:rFonts w:asciiTheme="minorHAnsi" w:hAnsiTheme="minorHAnsi"/>
        </w:rPr>
        <w:t xml:space="preserve"> </w:t>
      </w:r>
      <w:r w:rsidRPr="00A90F8A">
        <w:rPr>
          <w:rFonts w:asciiTheme="minorHAnsi" w:hAnsiTheme="minorHAnsi"/>
        </w:rPr>
        <w:t xml:space="preserve"> It represents a gross under-estimate of the potential for Fishermans Bend to </w:t>
      </w:r>
      <w:r w:rsidRPr="00A90F8A">
        <w:rPr>
          <w:rFonts w:asciiTheme="minorHAnsi" w:hAnsiTheme="minorHAnsi"/>
        </w:rPr>
        <w:lastRenderedPageBreak/>
        <w:t>accommodate Victoria’s future population growth, and a lost opportunity that will adversely impact upon the whole community of Victoria.</w:t>
      </w:r>
      <w:r w:rsidRPr="00820B43">
        <w:rPr>
          <w:rStyle w:val="FootnoteReference"/>
          <w:rFonts w:asciiTheme="minorHAnsi" w:hAnsiTheme="minorHAnsi"/>
          <w:i w:val="0"/>
        </w:rPr>
        <w:footnoteReference w:id="34"/>
      </w:r>
    </w:p>
    <w:p w:rsidR="008F389F" w:rsidRPr="00A90F8A" w:rsidRDefault="008F389F" w:rsidP="008F389F">
      <w:pPr>
        <w:pStyle w:val="PPVBody"/>
        <w:rPr>
          <w:rFonts w:asciiTheme="minorHAnsi" w:hAnsiTheme="minorHAnsi"/>
        </w:rPr>
      </w:pPr>
      <w:r w:rsidRPr="00A90F8A">
        <w:rPr>
          <w:rFonts w:asciiTheme="minorHAnsi" w:hAnsiTheme="minorHAnsi"/>
        </w:rPr>
        <w:t>Mr Wren examined the evidence of the Minister’s experts in transport and open space and concluded “</w:t>
      </w:r>
      <w:r w:rsidRPr="00A90F8A">
        <w:rPr>
          <w:rStyle w:val="PPVQuoteChar"/>
          <w:rFonts w:asciiTheme="minorHAnsi" w:hAnsiTheme="minorHAnsi"/>
        </w:rPr>
        <w:t>there is no substance to the concerns raised about density and infrastructure and accordingly those arguments should be dismissed</w:t>
      </w:r>
      <w:r w:rsidRPr="00A90F8A">
        <w:rPr>
          <w:rFonts w:asciiTheme="minorHAnsi" w:hAnsiTheme="minorHAnsi"/>
        </w:rPr>
        <w:t>”.</w:t>
      </w:r>
      <w:r w:rsidRPr="00820B43">
        <w:rPr>
          <w:rStyle w:val="FootnoteReference"/>
          <w:rFonts w:asciiTheme="minorHAnsi" w:hAnsiTheme="minorHAnsi"/>
        </w:rPr>
        <w:footnoteReference w:id="35"/>
      </w:r>
      <w:r w:rsidR="007A6A24">
        <w:rPr>
          <w:rFonts w:asciiTheme="minorHAnsi" w:hAnsiTheme="minorHAnsi"/>
        </w:rPr>
        <w:t xml:space="preserve">  In response to cross examination by Mr Canavan,</w:t>
      </w:r>
      <w:r>
        <w:rPr>
          <w:rFonts w:asciiTheme="minorHAnsi" w:hAnsiTheme="minorHAnsi"/>
        </w:rPr>
        <w:t xml:space="preserve"> </w:t>
      </w:r>
      <w:r w:rsidRPr="00A90F8A">
        <w:rPr>
          <w:rFonts w:asciiTheme="minorHAnsi" w:hAnsiTheme="minorHAnsi"/>
        </w:rPr>
        <w:t xml:space="preserve">Ms Hodyl </w:t>
      </w:r>
      <w:r w:rsidR="007A6A24">
        <w:rPr>
          <w:rFonts w:asciiTheme="minorHAnsi" w:hAnsiTheme="minorHAnsi"/>
        </w:rPr>
        <w:t xml:space="preserve">acknowledged that in an ideal world, </w:t>
      </w:r>
      <w:r>
        <w:rPr>
          <w:rFonts w:asciiTheme="minorHAnsi" w:hAnsiTheme="minorHAnsi"/>
        </w:rPr>
        <w:t xml:space="preserve">infrastructure should be provided </w:t>
      </w:r>
      <w:r w:rsidRPr="00A90F8A">
        <w:rPr>
          <w:rFonts w:asciiTheme="minorHAnsi" w:hAnsiTheme="minorHAnsi"/>
        </w:rPr>
        <w:t xml:space="preserve">if land is available in the right location (such as Fishermans Bend). </w:t>
      </w:r>
      <w:r w:rsidR="007A6A24">
        <w:rPr>
          <w:rFonts w:asciiTheme="minorHAnsi" w:hAnsiTheme="minorHAnsi"/>
        </w:rPr>
        <w:t xml:space="preserve"> </w:t>
      </w:r>
      <w:r>
        <w:rPr>
          <w:rFonts w:asciiTheme="minorHAnsi" w:hAnsiTheme="minorHAnsi"/>
        </w:rPr>
        <w:t>She further acknowledged that providing inf</w:t>
      </w:r>
      <w:r w:rsidRPr="00A90F8A">
        <w:rPr>
          <w:rFonts w:asciiTheme="minorHAnsi" w:hAnsiTheme="minorHAnsi"/>
        </w:rPr>
        <w:t>r</w:t>
      </w:r>
      <w:r>
        <w:rPr>
          <w:rFonts w:asciiTheme="minorHAnsi" w:hAnsiTheme="minorHAnsi"/>
        </w:rPr>
        <w:t xml:space="preserve">astructure in Lorimer and </w:t>
      </w:r>
      <w:r w:rsidRPr="00A90F8A">
        <w:rPr>
          <w:rFonts w:asciiTheme="minorHAnsi" w:hAnsiTheme="minorHAnsi"/>
        </w:rPr>
        <w:t xml:space="preserve">Montague is easier than in the other two </w:t>
      </w:r>
      <w:r w:rsidR="00827876">
        <w:rPr>
          <w:rFonts w:asciiTheme="minorHAnsi" w:hAnsiTheme="minorHAnsi"/>
        </w:rPr>
        <w:t>P</w:t>
      </w:r>
      <w:r w:rsidRPr="00A90F8A">
        <w:rPr>
          <w:rFonts w:asciiTheme="minorHAnsi" w:hAnsiTheme="minorHAnsi"/>
        </w:rPr>
        <w:t>recincts.</w:t>
      </w:r>
    </w:p>
    <w:p w:rsidR="008F389F" w:rsidRPr="00A90F8A" w:rsidRDefault="008F389F" w:rsidP="008F389F">
      <w:pPr>
        <w:pStyle w:val="PPVBody"/>
      </w:pPr>
      <w:r w:rsidRPr="0014005B">
        <w:t xml:space="preserve">A number of submitters who argued that the population target of 80,000 was too low argued that a population figure that optimised the use of infrastructure </w:t>
      </w:r>
      <w:r w:rsidRPr="00A90F8A">
        <w:t xml:space="preserve">was in the best interests of Melbourne as a whole.  </w:t>
      </w:r>
      <w:r>
        <w:t>Despite this,</w:t>
      </w:r>
      <w:r w:rsidRPr="00A90F8A">
        <w:t xml:space="preserve"> no submitter nominated </w:t>
      </w:r>
      <w:r>
        <w:t xml:space="preserve">or offered </w:t>
      </w:r>
      <w:r w:rsidRPr="00A90F8A">
        <w:t>an appropriate alternative population target.</w:t>
      </w:r>
    </w:p>
    <w:p w:rsidR="008F389F" w:rsidRPr="00A90F8A" w:rsidRDefault="008F389F" w:rsidP="008F389F">
      <w:pPr>
        <w:pStyle w:val="PPVBody"/>
        <w:rPr>
          <w:rFonts w:asciiTheme="minorHAnsi" w:hAnsiTheme="minorHAnsi"/>
        </w:rPr>
      </w:pPr>
      <w:r w:rsidRPr="00A90F8A">
        <w:rPr>
          <w:rFonts w:asciiTheme="minorHAnsi" w:hAnsiTheme="minorHAnsi"/>
        </w:rPr>
        <w:t xml:space="preserve">Mr Wren pursued the notion of </w:t>
      </w:r>
      <w:r>
        <w:rPr>
          <w:rFonts w:asciiTheme="minorHAnsi" w:hAnsiTheme="minorHAnsi"/>
        </w:rPr>
        <w:t xml:space="preserve">optimising </w:t>
      </w:r>
      <w:r w:rsidRPr="00A90F8A">
        <w:rPr>
          <w:rFonts w:asciiTheme="minorHAnsi" w:hAnsiTheme="minorHAnsi"/>
        </w:rPr>
        <w:t>the area</w:t>
      </w:r>
      <w:r>
        <w:rPr>
          <w:rFonts w:asciiTheme="minorHAnsi" w:hAnsiTheme="minorHAnsi"/>
        </w:rPr>
        <w:t>’s infrastructure</w:t>
      </w:r>
      <w:r w:rsidRPr="00D35E5E">
        <w:rPr>
          <w:rFonts w:asciiTheme="minorHAnsi" w:hAnsiTheme="minorHAnsi"/>
        </w:rPr>
        <w:t xml:space="preserve"> </w:t>
      </w:r>
      <w:r>
        <w:rPr>
          <w:rFonts w:asciiTheme="minorHAnsi" w:hAnsiTheme="minorHAnsi"/>
        </w:rPr>
        <w:t>i</w:t>
      </w:r>
      <w:r w:rsidRPr="00A90F8A">
        <w:rPr>
          <w:rFonts w:asciiTheme="minorHAnsi" w:hAnsiTheme="minorHAnsi"/>
        </w:rPr>
        <w:t>n cross examination of Ms Hodyl</w:t>
      </w:r>
      <w:r>
        <w:rPr>
          <w:rFonts w:asciiTheme="minorHAnsi" w:hAnsiTheme="minorHAnsi"/>
        </w:rPr>
        <w:t xml:space="preserve">.  </w:t>
      </w:r>
      <w:r w:rsidRPr="00A90F8A">
        <w:rPr>
          <w:rFonts w:asciiTheme="minorHAnsi" w:hAnsiTheme="minorHAnsi"/>
        </w:rPr>
        <w:t>Ms Hodyl conceded that higher population density in Fishermans Bend should be tested on this basis.</w:t>
      </w:r>
    </w:p>
    <w:p w:rsidR="008F389F" w:rsidRDefault="008F389F" w:rsidP="008F389F">
      <w:pPr>
        <w:pStyle w:val="PPVBody"/>
        <w:rPr>
          <w:rFonts w:asciiTheme="minorHAnsi" w:hAnsiTheme="minorHAnsi"/>
        </w:rPr>
      </w:pPr>
      <w:r w:rsidRPr="00A90F8A">
        <w:rPr>
          <w:rFonts w:asciiTheme="minorHAnsi" w:hAnsiTheme="minorHAnsi"/>
        </w:rPr>
        <w:t xml:space="preserve">In </w:t>
      </w:r>
      <w:r>
        <w:rPr>
          <w:rFonts w:asciiTheme="minorHAnsi" w:hAnsiTheme="minorHAnsi"/>
        </w:rPr>
        <w:t>response</w:t>
      </w:r>
      <w:r w:rsidRPr="00A90F8A">
        <w:rPr>
          <w:rFonts w:asciiTheme="minorHAnsi" w:hAnsiTheme="minorHAnsi"/>
        </w:rPr>
        <w:t xml:space="preserve"> to a question from the Review Panel, Mr Kiriakidis acknowledged that the planned transport infrastructure could probably provide for a population of 100,000 but he was unprepared to say how much more than this without further analysis.</w:t>
      </w:r>
    </w:p>
    <w:p w:rsidR="008F389F" w:rsidRPr="00A90F8A" w:rsidRDefault="008F389F" w:rsidP="008F389F">
      <w:pPr>
        <w:pStyle w:val="PPVBody"/>
        <w:rPr>
          <w:rFonts w:asciiTheme="minorHAnsi" w:hAnsiTheme="minorHAnsi"/>
        </w:rPr>
      </w:pPr>
      <w:r w:rsidRPr="00A90F8A">
        <w:rPr>
          <w:rFonts w:asciiTheme="minorHAnsi" w:hAnsiTheme="minorHAnsi"/>
        </w:rPr>
        <w:t>Ms Thompson</w:t>
      </w:r>
      <w:r>
        <w:rPr>
          <w:rFonts w:asciiTheme="minorHAnsi" w:hAnsiTheme="minorHAnsi"/>
        </w:rPr>
        <w:t xml:space="preserve">’s open space evidence indicated that there are no generally accepted provision ratios </w:t>
      </w:r>
      <w:r w:rsidRPr="00A90F8A">
        <w:rPr>
          <w:rFonts w:asciiTheme="minorHAnsi" w:hAnsiTheme="minorHAnsi"/>
        </w:rPr>
        <w:t xml:space="preserve">for an area such as Fishermans Bend.  </w:t>
      </w:r>
      <w:r>
        <w:rPr>
          <w:rFonts w:asciiTheme="minorHAnsi" w:hAnsiTheme="minorHAnsi"/>
        </w:rPr>
        <w:t xml:space="preserve">Her criteria for provision (discussed </w:t>
      </w:r>
      <w:r w:rsidRPr="001E5DCF">
        <w:rPr>
          <w:rFonts w:asciiTheme="minorHAnsi" w:hAnsiTheme="minorHAnsi"/>
        </w:rPr>
        <w:t>in Chapter 9</w:t>
      </w:r>
      <w:r>
        <w:rPr>
          <w:rFonts w:asciiTheme="minorHAnsi" w:hAnsiTheme="minorHAnsi"/>
        </w:rPr>
        <w:t>)</w:t>
      </w:r>
      <w:r w:rsidRPr="001E5DCF">
        <w:rPr>
          <w:rFonts w:asciiTheme="minorHAnsi" w:hAnsiTheme="minorHAnsi"/>
        </w:rPr>
        <w:t xml:space="preserve"> </w:t>
      </w:r>
      <w:r>
        <w:rPr>
          <w:rFonts w:asciiTheme="minorHAnsi" w:hAnsiTheme="minorHAnsi"/>
        </w:rPr>
        <w:t>focus</w:t>
      </w:r>
      <w:r w:rsidR="00007C27">
        <w:rPr>
          <w:rFonts w:asciiTheme="minorHAnsi" w:hAnsiTheme="minorHAnsi"/>
        </w:rPr>
        <w:t>ed</w:t>
      </w:r>
      <w:r>
        <w:rPr>
          <w:rFonts w:asciiTheme="minorHAnsi" w:hAnsiTheme="minorHAnsi"/>
        </w:rPr>
        <w:t xml:space="preserve"> on easy and safe travel distance, diversity </w:t>
      </w:r>
      <w:r w:rsidR="00007C27">
        <w:rPr>
          <w:rFonts w:asciiTheme="minorHAnsi" w:hAnsiTheme="minorHAnsi"/>
        </w:rPr>
        <w:t>and adequacy</w:t>
      </w:r>
      <w:r>
        <w:rPr>
          <w:rFonts w:asciiTheme="minorHAnsi" w:hAnsiTheme="minorHAnsi"/>
        </w:rPr>
        <w:t xml:space="preserve"> of open space, rather than tying it directly to population.</w:t>
      </w:r>
    </w:p>
    <w:p w:rsidR="008F389F" w:rsidRDefault="008F389F" w:rsidP="008F389F">
      <w:pPr>
        <w:pStyle w:val="PPVBody"/>
        <w:rPr>
          <w:rFonts w:asciiTheme="minorHAnsi" w:hAnsiTheme="minorHAnsi"/>
        </w:rPr>
      </w:pPr>
      <w:r w:rsidRPr="00A90F8A">
        <w:rPr>
          <w:rFonts w:asciiTheme="minorHAnsi" w:hAnsiTheme="minorHAnsi"/>
        </w:rPr>
        <w:t xml:space="preserve">Mr Shimmin </w:t>
      </w:r>
      <w:r>
        <w:rPr>
          <w:rFonts w:asciiTheme="minorHAnsi" w:hAnsiTheme="minorHAnsi"/>
        </w:rPr>
        <w:t xml:space="preserve">sought to show that the forecasts of population based on both </w:t>
      </w:r>
      <w:r w:rsidRPr="008C0394">
        <w:rPr>
          <w:rFonts w:asciiTheme="minorHAnsi" w:hAnsiTheme="minorHAnsi"/>
          <w:i/>
        </w:rPr>
        <w:t>Victoria in Future</w:t>
      </w:r>
      <w:r>
        <w:rPr>
          <w:rFonts w:asciiTheme="minorHAnsi" w:hAnsiTheme="minorHAnsi"/>
        </w:rPr>
        <w:t xml:space="preserve"> and his own firm’s forecasts result in a shortfall in housing provision which he </w:t>
      </w:r>
      <w:r w:rsidR="00272392">
        <w:rPr>
          <w:rFonts w:asciiTheme="minorHAnsi" w:hAnsiTheme="minorHAnsi"/>
        </w:rPr>
        <w:t xml:space="preserve">considered </w:t>
      </w:r>
      <w:r>
        <w:rPr>
          <w:rFonts w:asciiTheme="minorHAnsi" w:hAnsiTheme="minorHAnsi"/>
        </w:rPr>
        <w:t>should be accommodated by increased housing provision in Fishermans Bend.  Mr Sheppard’s evidence on dwelling density made the same point.  The Minister refuted these arguments through SIN 3 (D151) and its attachments prepared by DELWP demographers.</w:t>
      </w:r>
    </w:p>
    <w:p w:rsidR="008F389F" w:rsidRDefault="008F389F" w:rsidP="008F389F">
      <w:pPr>
        <w:pStyle w:val="PPVBody"/>
        <w:rPr>
          <w:rFonts w:asciiTheme="minorHAnsi" w:hAnsiTheme="minorHAnsi"/>
        </w:rPr>
      </w:pPr>
      <w:r>
        <w:rPr>
          <w:rFonts w:asciiTheme="minorHAnsi" w:hAnsiTheme="minorHAnsi"/>
        </w:rPr>
        <w:t xml:space="preserve">Mr Shimmin acknowledged the difficulty of both short and long-term population forecasting, indicating that </w:t>
      </w:r>
      <w:r w:rsidRPr="00A90F8A">
        <w:rPr>
          <w:rFonts w:asciiTheme="minorHAnsi" w:hAnsiTheme="minorHAnsi"/>
        </w:rPr>
        <w:t>net migration is a key driver of population growth</w:t>
      </w:r>
      <w:r>
        <w:rPr>
          <w:rFonts w:asciiTheme="minorHAnsi" w:hAnsiTheme="minorHAnsi"/>
        </w:rPr>
        <w:t xml:space="preserve"> which</w:t>
      </w:r>
      <w:r w:rsidRPr="00A90F8A">
        <w:rPr>
          <w:rFonts w:asciiTheme="minorHAnsi" w:hAnsiTheme="minorHAnsi"/>
        </w:rPr>
        <w:t xml:space="preserve"> is difficult to predict </w:t>
      </w:r>
      <w:r>
        <w:rPr>
          <w:rFonts w:asciiTheme="minorHAnsi" w:hAnsiTheme="minorHAnsi"/>
        </w:rPr>
        <w:t>due to significant shifts in policy over time.</w:t>
      </w:r>
    </w:p>
    <w:p w:rsidR="008F389F" w:rsidRPr="00A90F8A" w:rsidRDefault="008F389F" w:rsidP="008F389F">
      <w:pPr>
        <w:pStyle w:val="PPVBody"/>
        <w:rPr>
          <w:rFonts w:asciiTheme="minorHAnsi" w:hAnsiTheme="minorHAnsi"/>
        </w:rPr>
      </w:pPr>
      <w:r>
        <w:rPr>
          <w:rFonts w:asciiTheme="minorHAnsi" w:hAnsiTheme="minorHAnsi"/>
        </w:rPr>
        <w:t>In closing, Mr Tweedie reiterated that the proposed controls and a target population of 80,000 are inconsistent with one another.</w:t>
      </w:r>
    </w:p>
    <w:p w:rsidR="008F389F" w:rsidRPr="00A90F8A" w:rsidRDefault="008F389F" w:rsidP="008F389F">
      <w:pPr>
        <w:pStyle w:val="Heading4"/>
      </w:pPr>
      <w:r w:rsidRPr="00A90F8A">
        <w:t>Discussion</w:t>
      </w:r>
    </w:p>
    <w:p w:rsidR="00785416" w:rsidRDefault="008F389F" w:rsidP="008F389F">
      <w:pPr>
        <w:pStyle w:val="PPVBody"/>
        <w:rPr>
          <w:rFonts w:asciiTheme="minorHAnsi" w:hAnsiTheme="minorHAnsi"/>
        </w:rPr>
      </w:pPr>
      <w:r w:rsidRPr="00A90F8A">
        <w:rPr>
          <w:rFonts w:asciiTheme="minorHAnsi" w:hAnsiTheme="minorHAnsi"/>
        </w:rPr>
        <w:t xml:space="preserve">The Review Panel agrees with the Minister’s comment in closing that the issue of the appropriate population targets became a larger issue than it should have been. </w:t>
      </w:r>
      <w:r>
        <w:rPr>
          <w:rFonts w:asciiTheme="minorHAnsi" w:hAnsiTheme="minorHAnsi"/>
        </w:rPr>
        <w:t xml:space="preserve"> It is highly likely that </w:t>
      </w:r>
      <w:r w:rsidRPr="00A90F8A">
        <w:rPr>
          <w:rFonts w:asciiTheme="minorHAnsi" w:hAnsiTheme="minorHAnsi"/>
        </w:rPr>
        <w:t xml:space="preserve">the proposed controls </w:t>
      </w:r>
      <w:r>
        <w:rPr>
          <w:rFonts w:asciiTheme="minorHAnsi" w:hAnsiTheme="minorHAnsi"/>
        </w:rPr>
        <w:t>will lead to the 80,000 target being exceeded,</w:t>
      </w:r>
      <w:r w:rsidRPr="00A90F8A">
        <w:rPr>
          <w:rFonts w:asciiTheme="minorHAnsi" w:hAnsiTheme="minorHAnsi"/>
        </w:rPr>
        <w:t xml:space="preserve"> p</w:t>
      </w:r>
      <w:r>
        <w:rPr>
          <w:rFonts w:asciiTheme="minorHAnsi" w:hAnsiTheme="minorHAnsi"/>
        </w:rPr>
        <w:t xml:space="preserve">robably </w:t>
      </w:r>
      <w:r w:rsidRPr="00A90F8A">
        <w:rPr>
          <w:rFonts w:asciiTheme="minorHAnsi" w:hAnsiTheme="minorHAnsi"/>
        </w:rPr>
        <w:t>by a significant amount.</w:t>
      </w:r>
    </w:p>
    <w:p w:rsidR="008F389F" w:rsidRPr="00A90F8A" w:rsidRDefault="008F389F" w:rsidP="008F389F">
      <w:pPr>
        <w:pStyle w:val="PPVBody"/>
        <w:rPr>
          <w:rFonts w:asciiTheme="minorHAnsi" w:hAnsiTheme="minorHAnsi"/>
        </w:rPr>
      </w:pPr>
      <w:r w:rsidRPr="00A90F8A">
        <w:rPr>
          <w:rFonts w:asciiTheme="minorHAnsi" w:hAnsiTheme="minorHAnsi"/>
        </w:rPr>
        <w:lastRenderedPageBreak/>
        <w:t xml:space="preserve">The Review Panel agrees in part with Mr Tweedie that it is not necessary to plan for a </w:t>
      </w:r>
      <w:r w:rsidR="00272392">
        <w:rPr>
          <w:rFonts w:asciiTheme="minorHAnsi" w:hAnsiTheme="minorHAnsi"/>
        </w:rPr>
        <w:t xml:space="preserve">precisely fixed </w:t>
      </w:r>
      <w:r w:rsidRPr="00A90F8A">
        <w:rPr>
          <w:rFonts w:asciiTheme="minorHAnsi" w:hAnsiTheme="minorHAnsi"/>
        </w:rPr>
        <w:t xml:space="preserve">population target. </w:t>
      </w:r>
      <w:r>
        <w:rPr>
          <w:rFonts w:asciiTheme="minorHAnsi" w:hAnsiTheme="minorHAnsi"/>
        </w:rPr>
        <w:t xml:space="preserve"> </w:t>
      </w:r>
      <w:r w:rsidR="00272392">
        <w:rPr>
          <w:rFonts w:asciiTheme="minorHAnsi" w:hAnsiTheme="minorHAnsi"/>
        </w:rPr>
        <w:t>At the same time, i</w:t>
      </w:r>
      <w:r w:rsidRPr="00A90F8A">
        <w:rPr>
          <w:rFonts w:asciiTheme="minorHAnsi" w:hAnsiTheme="minorHAnsi"/>
        </w:rPr>
        <w:t>t does not agree that planning can proceed without any target.</w:t>
      </w:r>
      <w:r>
        <w:rPr>
          <w:rFonts w:asciiTheme="minorHAnsi" w:hAnsiTheme="minorHAnsi"/>
        </w:rPr>
        <w:t xml:space="preserve">  While t</w:t>
      </w:r>
      <w:r w:rsidRPr="00A90F8A">
        <w:rPr>
          <w:rFonts w:asciiTheme="minorHAnsi" w:hAnsiTheme="minorHAnsi"/>
        </w:rPr>
        <w:t>he target population and the date by which it will be achieved are somewhat artificial constructs</w:t>
      </w:r>
      <w:r w:rsidR="00272392">
        <w:rPr>
          <w:rFonts w:asciiTheme="minorHAnsi" w:hAnsiTheme="minorHAnsi"/>
        </w:rPr>
        <w:t xml:space="preserve"> projected on best estimates</w:t>
      </w:r>
      <w:r>
        <w:rPr>
          <w:rFonts w:asciiTheme="minorHAnsi" w:hAnsiTheme="minorHAnsi"/>
        </w:rPr>
        <w:t>, they</w:t>
      </w:r>
      <w:r w:rsidRPr="00A90F8A">
        <w:rPr>
          <w:rFonts w:asciiTheme="minorHAnsi" w:hAnsiTheme="minorHAnsi"/>
        </w:rPr>
        <w:t xml:space="preserve"> constitute an important framework around which planning, including the required supporting infrastructure, can proceed.</w:t>
      </w:r>
    </w:p>
    <w:p w:rsidR="00785416" w:rsidRDefault="008F389F" w:rsidP="008F389F">
      <w:pPr>
        <w:pStyle w:val="PPVBody"/>
        <w:rPr>
          <w:rFonts w:asciiTheme="minorHAnsi" w:hAnsiTheme="minorHAnsi"/>
        </w:rPr>
      </w:pPr>
      <w:r w:rsidRPr="00A90F8A">
        <w:rPr>
          <w:rFonts w:asciiTheme="minorHAnsi" w:hAnsiTheme="minorHAnsi"/>
        </w:rPr>
        <w:t xml:space="preserve">It is </w:t>
      </w:r>
      <w:r>
        <w:rPr>
          <w:rFonts w:asciiTheme="minorHAnsi" w:hAnsiTheme="minorHAnsi"/>
        </w:rPr>
        <w:t xml:space="preserve">very difficult </w:t>
      </w:r>
      <w:r w:rsidRPr="00A90F8A">
        <w:rPr>
          <w:rFonts w:asciiTheme="minorHAnsi" w:hAnsiTheme="minorHAnsi"/>
        </w:rPr>
        <w:t>to predict the key drivers of population growth in Fishermans Bend beyond 2050, nor is it possible to predict how other changes including technological change will impact the ability to service that population with appropriate infrastructure.  Th</w:t>
      </w:r>
      <w:r w:rsidR="00272392">
        <w:rPr>
          <w:rFonts w:asciiTheme="minorHAnsi" w:hAnsiTheme="minorHAnsi"/>
        </w:rPr>
        <w:t>at</w:t>
      </w:r>
      <w:r w:rsidRPr="00A90F8A">
        <w:rPr>
          <w:rFonts w:asciiTheme="minorHAnsi" w:hAnsiTheme="minorHAnsi"/>
        </w:rPr>
        <w:t xml:space="preserve"> said, </w:t>
      </w:r>
      <w:r>
        <w:rPr>
          <w:rFonts w:asciiTheme="minorHAnsi" w:hAnsiTheme="minorHAnsi"/>
        </w:rPr>
        <w:t xml:space="preserve">current </w:t>
      </w:r>
      <w:r w:rsidRPr="00A90F8A">
        <w:rPr>
          <w:rFonts w:asciiTheme="minorHAnsi" w:hAnsiTheme="minorHAnsi"/>
        </w:rPr>
        <w:t xml:space="preserve">planning needs to </w:t>
      </w:r>
      <w:r>
        <w:rPr>
          <w:rFonts w:asciiTheme="minorHAnsi" w:hAnsiTheme="minorHAnsi"/>
        </w:rPr>
        <w:t>allow for Fishermans Bend’s likely growth beyond 2050.  T</w:t>
      </w:r>
      <w:r w:rsidRPr="00A90F8A">
        <w:rPr>
          <w:rFonts w:asciiTheme="minorHAnsi" w:hAnsiTheme="minorHAnsi"/>
        </w:rPr>
        <w:t>he question arises about what this means for population targets and infrastructure planning now.</w:t>
      </w:r>
    </w:p>
    <w:p w:rsidR="008F389F" w:rsidRDefault="008F389F" w:rsidP="008F389F">
      <w:pPr>
        <w:pStyle w:val="PPVBody"/>
        <w:rPr>
          <w:rFonts w:asciiTheme="minorHAnsi" w:hAnsiTheme="minorHAnsi"/>
        </w:rPr>
      </w:pPr>
      <w:r>
        <w:rPr>
          <w:rFonts w:asciiTheme="minorHAnsi" w:hAnsiTheme="minorHAnsi"/>
        </w:rPr>
        <w:t xml:space="preserve">In considering whether 80,000 is an appropriate target as the base for the next phase of planning, the Review Panel has taken into account the preferred character of Fishermans Bend, the </w:t>
      </w:r>
      <w:r w:rsidR="00272392">
        <w:rPr>
          <w:rFonts w:asciiTheme="minorHAnsi" w:hAnsiTheme="minorHAnsi"/>
        </w:rPr>
        <w:t>capacity for</w:t>
      </w:r>
      <w:r>
        <w:rPr>
          <w:rFonts w:asciiTheme="minorHAnsi" w:hAnsiTheme="minorHAnsi"/>
        </w:rPr>
        <w:t xml:space="preserve"> flexibility in infrastructure planning, the opportunity for reviewing any target it proposes and the population levels implied in the Minister’s proposed controls.</w:t>
      </w:r>
    </w:p>
    <w:p w:rsidR="008F389F" w:rsidRDefault="008F389F" w:rsidP="008F389F">
      <w:pPr>
        <w:pStyle w:val="PPVBody"/>
        <w:rPr>
          <w:rFonts w:asciiTheme="minorHAnsi" w:hAnsiTheme="minorHAnsi"/>
        </w:rPr>
      </w:pPr>
      <w:r>
        <w:rPr>
          <w:rFonts w:asciiTheme="minorHAnsi" w:hAnsiTheme="minorHAnsi"/>
        </w:rPr>
        <w:t>Some infrastructure, such as trams and trains, are able to be upgraded to provide increased service without significant further land provision</w:t>
      </w:r>
      <w:r w:rsidR="00573583">
        <w:rPr>
          <w:rFonts w:asciiTheme="minorHAnsi" w:hAnsiTheme="minorHAnsi"/>
        </w:rPr>
        <w:t xml:space="preserve"> (for example by adding higher frequency services onto the existing lines)</w:t>
      </w:r>
      <w:r>
        <w:rPr>
          <w:rFonts w:asciiTheme="minorHAnsi" w:hAnsiTheme="minorHAnsi"/>
        </w:rPr>
        <w:t>.  This is not necessarily the case for other forms of infrastructure, such as schools, community hubs and open space which may require further land provision to account for population growth.  It is prudent, then, to consider provision for a population exceeding 80,000.  While regard can be given to advances in technology and community attitudes helping to alleviate potential future problems with infrastructure provision, such as vertical schools or durable surfaces increasing open space usage, it would be unwise to rely on such vagaries to fix notions of future infrastructure requirements in the present.</w:t>
      </w:r>
    </w:p>
    <w:p w:rsidR="00785416" w:rsidRDefault="008F389F" w:rsidP="008F389F">
      <w:pPr>
        <w:pStyle w:val="PPVBody"/>
        <w:rPr>
          <w:rFonts w:asciiTheme="minorHAnsi" w:hAnsiTheme="minorHAnsi"/>
        </w:rPr>
      </w:pPr>
      <w:r>
        <w:rPr>
          <w:rFonts w:asciiTheme="minorHAnsi" w:hAnsiTheme="minorHAnsi"/>
        </w:rPr>
        <w:t>The Review Panel is of the view that the 80,000 target is inappropriately low.  The exhibited controls potentially facilitate a population almost double that proposed</w:t>
      </w:r>
      <w:r w:rsidR="00272392">
        <w:rPr>
          <w:rFonts w:asciiTheme="minorHAnsi" w:hAnsiTheme="minorHAnsi"/>
        </w:rPr>
        <w:t xml:space="preserve"> if the full FAR and FAU was taken up</w:t>
      </w:r>
      <w:r>
        <w:rPr>
          <w:rFonts w:asciiTheme="minorHAnsi" w:hAnsiTheme="minorHAnsi"/>
        </w:rPr>
        <w:t>.  Having said that, the Review Panel considers a population target of almost double to be too high</w:t>
      </w:r>
      <w:r w:rsidR="00272392">
        <w:rPr>
          <w:rFonts w:asciiTheme="minorHAnsi" w:hAnsiTheme="minorHAnsi"/>
        </w:rPr>
        <w:t xml:space="preserve"> to be sustainable</w:t>
      </w:r>
      <w:r>
        <w:rPr>
          <w:rFonts w:asciiTheme="minorHAnsi" w:hAnsiTheme="minorHAnsi"/>
        </w:rPr>
        <w:t xml:space="preserve">, at least in the </w:t>
      </w:r>
      <w:r w:rsidR="00B40278">
        <w:rPr>
          <w:rFonts w:asciiTheme="minorHAnsi" w:hAnsiTheme="minorHAnsi"/>
        </w:rPr>
        <w:t>short term</w:t>
      </w:r>
      <w:r>
        <w:rPr>
          <w:rFonts w:asciiTheme="minorHAnsi" w:hAnsiTheme="minorHAnsi"/>
        </w:rPr>
        <w:t>, as it is likely to require significant reworking of much of the infrastructure planning undertaken to date.</w:t>
      </w:r>
    </w:p>
    <w:p w:rsidR="00785416" w:rsidRDefault="008F389F" w:rsidP="008F389F">
      <w:pPr>
        <w:pStyle w:val="PPVBody"/>
        <w:rPr>
          <w:rFonts w:asciiTheme="minorHAnsi" w:hAnsiTheme="minorHAnsi"/>
        </w:rPr>
      </w:pPr>
      <w:r>
        <w:rPr>
          <w:rFonts w:asciiTheme="minorHAnsi" w:hAnsiTheme="minorHAnsi"/>
        </w:rPr>
        <w:t>Based on its assessment of the various competing influences and constraints,</w:t>
      </w:r>
      <w:r w:rsidDel="008F0142">
        <w:rPr>
          <w:rFonts w:asciiTheme="minorHAnsi" w:hAnsiTheme="minorHAnsi"/>
        </w:rPr>
        <w:t xml:space="preserve"> </w:t>
      </w:r>
      <w:r>
        <w:rPr>
          <w:rFonts w:asciiTheme="minorHAnsi" w:hAnsiTheme="minorHAnsi"/>
        </w:rPr>
        <w:t xml:space="preserve">the Review Panel recommends that planning proceed on the basis of a population in the </w:t>
      </w:r>
      <w:r w:rsidR="007A6A24">
        <w:rPr>
          <w:rFonts w:asciiTheme="minorHAnsi" w:hAnsiTheme="minorHAnsi"/>
        </w:rPr>
        <w:t xml:space="preserve">target </w:t>
      </w:r>
      <w:r>
        <w:rPr>
          <w:rFonts w:asciiTheme="minorHAnsi" w:hAnsiTheme="minorHAnsi"/>
        </w:rPr>
        <w:t xml:space="preserve">range of 80,000 to 120,000.  </w:t>
      </w:r>
      <w:r w:rsidR="002563B6">
        <w:rPr>
          <w:rFonts w:asciiTheme="minorHAnsi" w:hAnsiTheme="minorHAnsi"/>
        </w:rPr>
        <w:t>The upper level in this range is based on a judg</w:t>
      </w:r>
      <w:r w:rsidR="00A90D8B">
        <w:rPr>
          <w:rFonts w:asciiTheme="minorHAnsi" w:hAnsiTheme="minorHAnsi"/>
        </w:rPr>
        <w:t>ement</w:t>
      </w:r>
      <w:r w:rsidR="002563B6">
        <w:rPr>
          <w:rFonts w:asciiTheme="minorHAnsi" w:hAnsiTheme="minorHAnsi"/>
        </w:rPr>
        <w:t xml:space="preserve"> by the Review Panel rather than on any modelling, which the Review Panel does not have the data and resources to undertake.  </w:t>
      </w:r>
      <w:r>
        <w:rPr>
          <w:rFonts w:asciiTheme="minorHAnsi" w:hAnsiTheme="minorHAnsi"/>
        </w:rPr>
        <w:t>In Chapter 7.7 the Review Panel recommends density controls consistent with this range.</w:t>
      </w:r>
    </w:p>
    <w:p w:rsidR="00785416" w:rsidRDefault="00CE5AB8" w:rsidP="008F389F">
      <w:pPr>
        <w:rPr>
          <w:rFonts w:asciiTheme="minorHAnsi" w:hAnsiTheme="minorHAnsi"/>
        </w:rPr>
      </w:pPr>
      <w:r>
        <w:rPr>
          <w:rFonts w:asciiTheme="minorHAnsi" w:hAnsiTheme="minorHAnsi"/>
        </w:rPr>
        <w:t xml:space="preserve">The reason why the Review Panel recommends a population in this range, rather than a higher range, is </w:t>
      </w:r>
      <w:r w:rsidR="008F389F">
        <w:rPr>
          <w:rFonts w:asciiTheme="minorHAnsi" w:hAnsiTheme="minorHAnsi"/>
        </w:rPr>
        <w:t xml:space="preserve">that the </w:t>
      </w:r>
      <w:r w:rsidR="008F389F" w:rsidRPr="00A90F8A">
        <w:rPr>
          <w:rFonts w:asciiTheme="minorHAnsi" w:hAnsiTheme="minorHAnsi"/>
        </w:rPr>
        <w:t>majority of the infrastructure planning to date and conclusions drawn from it will stand</w:t>
      </w:r>
      <w:r w:rsidR="008F389F">
        <w:rPr>
          <w:rFonts w:asciiTheme="minorHAnsi" w:hAnsiTheme="minorHAnsi"/>
        </w:rPr>
        <w:t>.  Planning for a population of up to 120,000 will not fundamentally compromise the major infrastructure decisions to be made in the next few years.</w:t>
      </w:r>
    </w:p>
    <w:p w:rsidR="00785416" w:rsidRDefault="008F389F" w:rsidP="00272392">
      <w:pPr>
        <w:rPr>
          <w:rFonts w:asciiTheme="minorHAnsi" w:hAnsiTheme="minorHAnsi"/>
        </w:rPr>
      </w:pPr>
      <w:r w:rsidRPr="00CE5AB8">
        <w:rPr>
          <w:rFonts w:asciiTheme="minorHAnsi" w:hAnsiTheme="minorHAnsi"/>
        </w:rPr>
        <w:t xml:space="preserve">The Review Panel believes that at this stage </w:t>
      </w:r>
      <w:r w:rsidR="00272392" w:rsidRPr="00CE5AB8">
        <w:rPr>
          <w:rFonts w:asciiTheme="minorHAnsi" w:hAnsiTheme="minorHAnsi"/>
        </w:rPr>
        <w:t xml:space="preserve">an even </w:t>
      </w:r>
      <w:r w:rsidRPr="00CE5AB8">
        <w:rPr>
          <w:rFonts w:asciiTheme="minorHAnsi" w:hAnsiTheme="minorHAnsi"/>
        </w:rPr>
        <w:t xml:space="preserve">higher </w:t>
      </w:r>
      <w:r w:rsidR="00272392" w:rsidRPr="00CE5AB8">
        <w:rPr>
          <w:rFonts w:asciiTheme="minorHAnsi" w:hAnsiTheme="minorHAnsi"/>
        </w:rPr>
        <w:t xml:space="preserve">population </w:t>
      </w:r>
      <w:r w:rsidRPr="00CE5AB8">
        <w:rPr>
          <w:rFonts w:asciiTheme="minorHAnsi" w:hAnsiTheme="minorHAnsi"/>
        </w:rPr>
        <w:t xml:space="preserve">target involves too many risks, without undertaking significant extra work, particularly in relation to </w:t>
      </w:r>
      <w:r w:rsidRPr="00CE5AB8">
        <w:rPr>
          <w:rFonts w:asciiTheme="minorHAnsi" w:hAnsiTheme="minorHAnsi"/>
        </w:rPr>
        <w:lastRenderedPageBreak/>
        <w:t xml:space="preserve">infrastructure planning.  </w:t>
      </w:r>
      <w:r w:rsidR="00CE5AB8">
        <w:rPr>
          <w:rFonts w:asciiTheme="minorHAnsi" w:hAnsiTheme="minorHAnsi"/>
        </w:rPr>
        <w:t>The Review Panel does not consider it appropriate to delay progressing the Amendment in order to undertake this work</w:t>
      </w:r>
      <w:r w:rsidR="00272392" w:rsidRPr="00CE5AB8">
        <w:rPr>
          <w:rFonts w:asciiTheme="minorHAnsi" w:hAnsiTheme="minorHAnsi"/>
        </w:rPr>
        <w:t>.</w:t>
      </w:r>
    </w:p>
    <w:p w:rsidR="00785416" w:rsidRDefault="008F389F" w:rsidP="008F389F">
      <w:r>
        <w:t xml:space="preserve">The Review Panel considers that a review of the planning for Fishermans Bend should be undertaken within the next </w:t>
      </w:r>
      <w:r w:rsidR="00CE5AB8">
        <w:t xml:space="preserve">five </w:t>
      </w:r>
      <w:r>
        <w:t xml:space="preserve">years.  Such a review </w:t>
      </w:r>
      <w:r w:rsidR="00272392">
        <w:t xml:space="preserve">would represent </w:t>
      </w:r>
      <w:r>
        <w:t>both good planning and good public policy.  The review should include infrastructure planning and capacity analysis, population targets or projections, and implications of an increased population for built form and preferred character outcomes.</w:t>
      </w:r>
    </w:p>
    <w:p w:rsidR="00785416" w:rsidRDefault="00BF166F" w:rsidP="00CE5AB8">
      <w:pPr>
        <w:rPr>
          <w:rFonts w:asciiTheme="minorHAnsi" w:hAnsiTheme="minorHAnsi"/>
        </w:rPr>
      </w:pPr>
      <w:r>
        <w:rPr>
          <w:rFonts w:asciiTheme="minorHAnsi" w:hAnsiTheme="minorHAnsi"/>
        </w:rPr>
        <w:t>the Review Panel notes that</w:t>
      </w:r>
      <w:r w:rsidR="00CE5AB8">
        <w:rPr>
          <w:rFonts w:asciiTheme="minorHAnsi" w:hAnsiTheme="minorHAnsi"/>
        </w:rPr>
        <w:t xml:space="preserve"> several submitters and experts, including the MAC and Mr </w:t>
      </w:r>
      <w:r w:rsidR="00CE5AB8" w:rsidRPr="00404C7B">
        <w:rPr>
          <w:rFonts w:asciiTheme="minorHAnsi" w:hAnsiTheme="minorHAnsi"/>
        </w:rPr>
        <w:t>Milner</w:t>
      </w:r>
      <w:r w:rsidR="00CE5AB8">
        <w:rPr>
          <w:rFonts w:asciiTheme="minorHAnsi" w:hAnsiTheme="minorHAnsi"/>
        </w:rPr>
        <w:t xml:space="preserve">, criticised the </w:t>
      </w:r>
      <w:r>
        <w:rPr>
          <w:rFonts w:asciiTheme="minorHAnsi" w:hAnsiTheme="minorHAnsi"/>
        </w:rPr>
        <w:t xml:space="preserve">draft </w:t>
      </w:r>
      <w:r w:rsidR="00CE5AB8">
        <w:rPr>
          <w:rFonts w:asciiTheme="minorHAnsi" w:hAnsiTheme="minorHAnsi"/>
        </w:rPr>
        <w:t>Amendment being put forward without key parts of the package (in particular, infrastructure and funding plans an</w:t>
      </w:r>
      <w:r w:rsidR="00346B0A">
        <w:rPr>
          <w:rFonts w:asciiTheme="minorHAnsi" w:hAnsiTheme="minorHAnsi"/>
        </w:rPr>
        <w:t>d an ICP or DCP</w:t>
      </w:r>
      <w:r w:rsidR="00CE5AB8">
        <w:rPr>
          <w:rFonts w:asciiTheme="minorHAnsi" w:hAnsiTheme="minorHAnsi"/>
        </w:rPr>
        <w:t xml:space="preserve">).  While the Review Panel agrees that it would have been preferable for the </w:t>
      </w:r>
      <w:r>
        <w:rPr>
          <w:rFonts w:asciiTheme="minorHAnsi" w:hAnsiTheme="minorHAnsi"/>
        </w:rPr>
        <w:t xml:space="preserve">draft </w:t>
      </w:r>
      <w:r w:rsidR="00CE5AB8">
        <w:rPr>
          <w:rFonts w:asciiTheme="minorHAnsi" w:hAnsiTheme="minorHAnsi"/>
        </w:rPr>
        <w:t xml:space="preserve">Amendment to </w:t>
      </w:r>
      <w:r>
        <w:rPr>
          <w:rFonts w:asciiTheme="minorHAnsi" w:hAnsiTheme="minorHAnsi"/>
        </w:rPr>
        <w:t xml:space="preserve">have </w:t>
      </w:r>
      <w:r w:rsidR="00CE5AB8">
        <w:rPr>
          <w:rFonts w:asciiTheme="minorHAnsi" w:hAnsiTheme="minorHAnsi"/>
        </w:rPr>
        <w:t>be</w:t>
      </w:r>
      <w:r>
        <w:rPr>
          <w:rFonts w:asciiTheme="minorHAnsi" w:hAnsiTheme="minorHAnsi"/>
        </w:rPr>
        <w:t>en</w:t>
      </w:r>
      <w:r w:rsidR="00CE5AB8">
        <w:rPr>
          <w:rFonts w:asciiTheme="minorHAnsi" w:hAnsiTheme="minorHAnsi"/>
        </w:rPr>
        <w:t xml:space="preserve"> presented as a more complete package, it does not consider that the </w:t>
      </w:r>
      <w:r>
        <w:rPr>
          <w:rFonts w:asciiTheme="minorHAnsi" w:hAnsiTheme="minorHAnsi"/>
        </w:rPr>
        <w:t xml:space="preserve">draft </w:t>
      </w:r>
      <w:r w:rsidR="00CE5AB8">
        <w:rPr>
          <w:rFonts w:asciiTheme="minorHAnsi" w:hAnsiTheme="minorHAnsi"/>
        </w:rPr>
        <w:t>Amendment should necessarily be delayed while this work is being completed</w:t>
      </w:r>
      <w:r>
        <w:rPr>
          <w:rFonts w:asciiTheme="minorHAnsi" w:hAnsiTheme="minorHAnsi"/>
        </w:rPr>
        <w:t>,</w:t>
      </w:r>
      <w:r w:rsidR="00AA230F">
        <w:rPr>
          <w:rFonts w:asciiTheme="minorHAnsi" w:hAnsiTheme="minorHAnsi"/>
        </w:rPr>
        <w:t xml:space="preserve"> </w:t>
      </w:r>
      <w:r>
        <w:rPr>
          <w:rFonts w:asciiTheme="minorHAnsi" w:hAnsiTheme="minorHAnsi"/>
        </w:rPr>
        <w:t xml:space="preserve">unless the </w:t>
      </w:r>
      <w:r w:rsidR="00AA230F">
        <w:rPr>
          <w:rFonts w:asciiTheme="minorHAnsi" w:hAnsiTheme="minorHAnsi"/>
        </w:rPr>
        <w:t>M</w:t>
      </w:r>
      <w:r>
        <w:rPr>
          <w:rFonts w:asciiTheme="minorHAnsi" w:hAnsiTheme="minorHAnsi"/>
        </w:rPr>
        <w:t>inister considers otherwise</w:t>
      </w:r>
      <w:r w:rsidR="00CE5AB8">
        <w:rPr>
          <w:rFonts w:asciiTheme="minorHAnsi" w:hAnsiTheme="minorHAnsi"/>
        </w:rPr>
        <w:t>.</w:t>
      </w:r>
    </w:p>
    <w:p w:rsidR="008F389F" w:rsidRDefault="008F389F" w:rsidP="008F389F">
      <w:pPr>
        <w:pStyle w:val="Heading4"/>
      </w:pPr>
      <w:r>
        <w:t>Findings</w:t>
      </w:r>
    </w:p>
    <w:p w:rsidR="008F389F" w:rsidRPr="008D748E" w:rsidRDefault="008F389F" w:rsidP="008F389F">
      <w:pPr>
        <w:pStyle w:val="PPVBody"/>
      </w:pPr>
      <w:r>
        <w:t>The Review Panel finds:</w:t>
      </w:r>
    </w:p>
    <w:p w:rsidR="00785416" w:rsidRDefault="008F389F" w:rsidP="008F389F">
      <w:pPr>
        <w:pStyle w:val="PPVBullet1"/>
      </w:pPr>
      <w:r>
        <w:t>under the proposed controls, t</w:t>
      </w:r>
      <w:r w:rsidRPr="00A90F8A">
        <w:t xml:space="preserve">he population of </w:t>
      </w:r>
      <w:r>
        <w:t>Fishermans Bend</w:t>
      </w:r>
      <w:r w:rsidRPr="00A90F8A">
        <w:t xml:space="preserve"> will reach 80,000 and is highly likely to exceed that figure at some time in the f</w:t>
      </w:r>
      <w:r>
        <w:t>uture</w:t>
      </w:r>
    </w:p>
    <w:p w:rsidR="008F389F" w:rsidRPr="001E5DCF" w:rsidRDefault="008F389F" w:rsidP="008F389F">
      <w:pPr>
        <w:pStyle w:val="PPVBullet1"/>
      </w:pPr>
      <w:r w:rsidRPr="00A90F8A">
        <w:t xml:space="preserve">a </w:t>
      </w:r>
      <w:r w:rsidRPr="001E5DCF">
        <w:t>set target of 80,000 is too simplistic and restrictive</w:t>
      </w:r>
    </w:p>
    <w:p w:rsidR="008F389F" w:rsidRPr="001E5DCF" w:rsidRDefault="008F389F" w:rsidP="008F389F">
      <w:pPr>
        <w:pStyle w:val="PPVBullet1"/>
      </w:pPr>
      <w:r w:rsidRPr="001E5DCF">
        <w:t xml:space="preserve">the proposed controls and </w:t>
      </w:r>
      <w:r>
        <w:t>P</w:t>
      </w:r>
      <w:r w:rsidRPr="001E5DCF">
        <w:t xml:space="preserve">recinct and infrastructure planning </w:t>
      </w:r>
      <w:r>
        <w:t xml:space="preserve">for the next 10 years </w:t>
      </w:r>
      <w:r w:rsidRPr="001E5DCF">
        <w:t>should proceed on the basis of a target population in the range 80,000 to 1</w:t>
      </w:r>
      <w:r>
        <w:t>20,000</w:t>
      </w:r>
      <w:r w:rsidRPr="001E5DCF">
        <w:t xml:space="preserve"> </w:t>
      </w:r>
      <w:r>
        <w:t>by</w:t>
      </w:r>
      <w:r w:rsidRPr="001E5DCF">
        <w:t xml:space="preserve"> 2050</w:t>
      </w:r>
    </w:p>
    <w:p w:rsidR="008F389F" w:rsidRDefault="008F389F" w:rsidP="008F389F">
      <w:pPr>
        <w:pStyle w:val="PPVBullet1"/>
      </w:pPr>
      <w:r>
        <w:t>k</w:t>
      </w:r>
      <w:r w:rsidRPr="00A90F8A">
        <w:t xml:space="preserve">ey population and </w:t>
      </w:r>
      <w:r w:rsidR="002563B6">
        <w:t xml:space="preserve">employment drivers </w:t>
      </w:r>
      <w:r w:rsidRPr="00A90F8A">
        <w:t>should be revie</w:t>
      </w:r>
      <w:r>
        <w:t>wed by 202</w:t>
      </w:r>
      <w:r w:rsidR="00272392">
        <w:t>5</w:t>
      </w:r>
      <w:r>
        <w:t>, taking into account</w:t>
      </w:r>
      <w:r w:rsidRPr="00A90F8A">
        <w:t xml:space="preserve"> changed population drivers, infrastructure provided or committed to at the review date, changes in technology, </w:t>
      </w:r>
      <w:r>
        <w:t>or</w:t>
      </w:r>
      <w:r w:rsidRPr="00A90F8A">
        <w:t xml:space="preserve"> any other key planning parameters</w:t>
      </w:r>
      <w:r>
        <w:t>.</w:t>
      </w:r>
    </w:p>
    <w:p w:rsidR="008F389F" w:rsidRPr="00A90F8A" w:rsidRDefault="008F389F" w:rsidP="008F389F">
      <w:pPr>
        <w:pStyle w:val="Heading2"/>
      </w:pPr>
      <w:bookmarkStart w:id="233" w:name="_Toc519270980"/>
      <w:bookmarkStart w:id="234" w:name="_Toc519710267"/>
      <w:bookmarkStart w:id="235" w:name="_Toc519766827"/>
      <w:r w:rsidRPr="002C797E">
        <w:t>Appropriateness</w:t>
      </w:r>
      <w:r w:rsidRPr="00A90F8A">
        <w:t xml:space="preserve"> of the proposed</w:t>
      </w:r>
      <w:r w:rsidRPr="002C797E">
        <w:t xml:space="preserve"> </w:t>
      </w:r>
      <w:r>
        <w:t>j</w:t>
      </w:r>
      <w:r w:rsidRPr="002C797E">
        <w:t>obs</w:t>
      </w:r>
      <w:r w:rsidRPr="00A90F8A">
        <w:t xml:space="preserve"> target</w:t>
      </w:r>
      <w:bookmarkEnd w:id="233"/>
      <w:bookmarkEnd w:id="234"/>
      <w:bookmarkEnd w:id="235"/>
    </w:p>
    <w:p w:rsidR="008F389F" w:rsidRPr="00A90F8A" w:rsidRDefault="008F389F" w:rsidP="008F389F">
      <w:pPr>
        <w:pStyle w:val="Heading4"/>
      </w:pPr>
      <w:r w:rsidRPr="00A90F8A">
        <w:t>Evidence and submissions</w:t>
      </w:r>
    </w:p>
    <w:p w:rsidR="008F389F" w:rsidRPr="00A90F8A" w:rsidRDefault="008F389F" w:rsidP="008F389F">
      <w:pPr>
        <w:rPr>
          <w:rFonts w:asciiTheme="minorHAnsi" w:hAnsiTheme="minorHAnsi"/>
        </w:rPr>
      </w:pPr>
      <w:r>
        <w:rPr>
          <w:rFonts w:asciiTheme="minorHAnsi" w:hAnsiTheme="minorHAnsi"/>
        </w:rPr>
        <w:t>The</w:t>
      </w:r>
      <w:r w:rsidRPr="00A90F8A">
        <w:rPr>
          <w:rFonts w:asciiTheme="minorHAnsi" w:hAnsiTheme="minorHAnsi"/>
        </w:rPr>
        <w:t xml:space="preserve"> Minister submitted:</w:t>
      </w:r>
    </w:p>
    <w:p w:rsidR="008F389F" w:rsidRDefault="008F389F" w:rsidP="008F389F">
      <w:pPr>
        <w:pStyle w:val="PPVQuote"/>
        <w:rPr>
          <w:rFonts w:asciiTheme="minorHAnsi" w:hAnsiTheme="minorHAnsi" w:cs="Times New Roman"/>
        </w:rPr>
      </w:pPr>
      <w:r w:rsidRPr="00A90F8A">
        <w:rPr>
          <w:rFonts w:asciiTheme="minorHAnsi" w:hAnsiTheme="minorHAnsi"/>
        </w:rPr>
        <w:t xml:space="preserve">The provision of 40,000 jobs in the CCZ precincts of Fishermans Bend is an essential element of the draft Framework which seeks to leverage Fishermans Bend’s strategic location in proximity to the CBD, Webb Dock </w:t>
      </w:r>
      <w:r w:rsidRPr="00A90F8A">
        <w:rPr>
          <w:rFonts w:asciiTheme="minorHAnsi" w:hAnsiTheme="minorHAnsi" w:cs="Times New Roman"/>
        </w:rPr>
        <w:t>and other major employment areas.</w:t>
      </w:r>
      <w:r w:rsidRPr="00820B43">
        <w:rPr>
          <w:rStyle w:val="FootnoteReference"/>
          <w:rFonts w:asciiTheme="minorHAnsi" w:hAnsiTheme="minorHAnsi" w:cs="Times New Roman"/>
          <w:i w:val="0"/>
        </w:rPr>
        <w:footnoteReference w:id="36"/>
      </w:r>
    </w:p>
    <w:p w:rsidR="008F389F" w:rsidRPr="00A90F8A" w:rsidRDefault="008F389F" w:rsidP="008F389F">
      <w:pPr>
        <w:rPr>
          <w:rFonts w:asciiTheme="minorHAnsi" w:hAnsiTheme="minorHAnsi"/>
        </w:rPr>
      </w:pPr>
      <w:r w:rsidRPr="00A90F8A">
        <w:rPr>
          <w:rFonts w:asciiTheme="minorHAnsi" w:hAnsiTheme="minorHAnsi"/>
        </w:rPr>
        <w:t>The</w:t>
      </w:r>
      <w:r>
        <w:rPr>
          <w:rFonts w:asciiTheme="minorHAnsi" w:hAnsiTheme="minorHAnsi"/>
        </w:rPr>
        <w:t xml:space="preserve">se </w:t>
      </w:r>
      <w:r w:rsidRPr="00A90F8A">
        <w:rPr>
          <w:rFonts w:asciiTheme="minorHAnsi" w:hAnsiTheme="minorHAnsi"/>
        </w:rPr>
        <w:t>are c</w:t>
      </w:r>
      <w:r w:rsidR="00A56825">
        <w:rPr>
          <w:rFonts w:asciiTheme="minorHAnsi" w:hAnsiTheme="minorHAnsi"/>
        </w:rPr>
        <w:t>omplemented by a further 40,000</w:t>
      </w:r>
      <w:r>
        <w:rPr>
          <w:rFonts w:asciiTheme="minorHAnsi" w:hAnsiTheme="minorHAnsi"/>
        </w:rPr>
        <w:t xml:space="preserve"> jobs </w:t>
      </w:r>
      <w:r w:rsidRPr="00A90F8A">
        <w:rPr>
          <w:rFonts w:asciiTheme="minorHAnsi" w:hAnsiTheme="minorHAnsi"/>
        </w:rPr>
        <w:t>proposed for the Employment Precinct.</w:t>
      </w:r>
    </w:p>
    <w:p w:rsidR="008F389F" w:rsidRPr="00A90F8A" w:rsidRDefault="008F389F" w:rsidP="008F389F">
      <w:pPr>
        <w:rPr>
          <w:rFonts w:asciiTheme="minorHAnsi" w:hAnsiTheme="minorHAnsi"/>
        </w:rPr>
      </w:pPr>
      <w:r w:rsidRPr="00A90F8A">
        <w:rPr>
          <w:rFonts w:asciiTheme="minorHAnsi" w:hAnsiTheme="minorHAnsi"/>
        </w:rPr>
        <w:t>The Minister’s submission was supported by evidence from Mr Szafraniec wh</w:t>
      </w:r>
      <w:r w:rsidR="00272392">
        <w:rPr>
          <w:rFonts w:asciiTheme="minorHAnsi" w:hAnsiTheme="minorHAnsi"/>
        </w:rPr>
        <w:t>o</w:t>
      </w:r>
      <w:r w:rsidRPr="00A90F8A">
        <w:rPr>
          <w:rFonts w:asciiTheme="minorHAnsi" w:hAnsiTheme="minorHAnsi"/>
        </w:rPr>
        <w:t xml:space="preserve"> drew on the </w:t>
      </w:r>
      <w:r w:rsidRPr="00B067C6">
        <w:rPr>
          <w:rFonts w:asciiTheme="minorHAnsi" w:hAnsiTheme="minorHAnsi"/>
          <w:i/>
        </w:rPr>
        <w:t>Fishermans Bend Economic and Employment Study, 2016</w:t>
      </w:r>
      <w:r w:rsidRPr="00A90F8A">
        <w:rPr>
          <w:rFonts w:asciiTheme="minorHAnsi" w:hAnsiTheme="minorHAnsi"/>
        </w:rPr>
        <w:t xml:space="preserve"> of which he was the princip</w:t>
      </w:r>
      <w:r>
        <w:rPr>
          <w:rFonts w:asciiTheme="minorHAnsi" w:hAnsiTheme="minorHAnsi"/>
        </w:rPr>
        <w:t>al</w:t>
      </w:r>
      <w:r w:rsidRPr="00A90F8A">
        <w:rPr>
          <w:rFonts w:asciiTheme="minorHAnsi" w:hAnsiTheme="minorHAnsi"/>
        </w:rPr>
        <w:t xml:space="preserve"> author.  </w:t>
      </w:r>
      <w:r w:rsidR="002563B6" w:rsidRPr="00A90F8A">
        <w:rPr>
          <w:rFonts w:asciiTheme="minorHAnsi" w:hAnsiTheme="minorHAnsi"/>
        </w:rPr>
        <w:t xml:space="preserve">That report identified 30,000 jobs currently in the broader Fishermans Bend precinct </w:t>
      </w:r>
      <w:r w:rsidR="002563B6">
        <w:rPr>
          <w:rFonts w:asciiTheme="minorHAnsi" w:hAnsiTheme="minorHAnsi"/>
        </w:rPr>
        <w:t xml:space="preserve">(16,000 of which are in the four CCZ precincts), </w:t>
      </w:r>
      <w:r w:rsidR="002563B6" w:rsidRPr="00A90F8A">
        <w:rPr>
          <w:rFonts w:asciiTheme="minorHAnsi" w:hAnsiTheme="minorHAnsi"/>
        </w:rPr>
        <w:t xml:space="preserve">and forecast 60,000 jobs at 2050, with 20,000 </w:t>
      </w:r>
      <w:r w:rsidR="002563B6">
        <w:rPr>
          <w:rFonts w:asciiTheme="minorHAnsi" w:hAnsiTheme="minorHAnsi"/>
        </w:rPr>
        <w:t xml:space="preserve">of those </w:t>
      </w:r>
      <w:r w:rsidR="002563B6" w:rsidRPr="00A90F8A">
        <w:rPr>
          <w:rFonts w:asciiTheme="minorHAnsi" w:hAnsiTheme="minorHAnsi"/>
        </w:rPr>
        <w:t xml:space="preserve">in the Employment Precinct.  </w:t>
      </w:r>
      <w:r w:rsidRPr="00A90F8A">
        <w:rPr>
          <w:rFonts w:asciiTheme="minorHAnsi" w:hAnsiTheme="minorHAnsi"/>
        </w:rPr>
        <w:t xml:space="preserve">The </w:t>
      </w:r>
      <w:r w:rsidR="00FC563B">
        <w:rPr>
          <w:rFonts w:asciiTheme="minorHAnsi" w:hAnsiTheme="minorHAnsi"/>
        </w:rPr>
        <w:t xml:space="preserve">draft </w:t>
      </w:r>
      <w:r w:rsidRPr="00A90F8A">
        <w:rPr>
          <w:rFonts w:asciiTheme="minorHAnsi" w:hAnsiTheme="minorHAnsi"/>
        </w:rPr>
        <w:t xml:space="preserve">Framework increases that </w:t>
      </w:r>
      <w:r w:rsidRPr="00A90F8A">
        <w:rPr>
          <w:rFonts w:asciiTheme="minorHAnsi" w:hAnsiTheme="minorHAnsi"/>
        </w:rPr>
        <w:lastRenderedPageBreak/>
        <w:t xml:space="preserve">number to 40,000, with 80,000 overall, based </w:t>
      </w:r>
      <w:r>
        <w:rPr>
          <w:rFonts w:asciiTheme="minorHAnsi" w:hAnsiTheme="minorHAnsi"/>
        </w:rPr>
        <w:t xml:space="preserve">partly </w:t>
      </w:r>
      <w:r w:rsidRPr="00A90F8A">
        <w:rPr>
          <w:rFonts w:asciiTheme="minorHAnsi" w:hAnsiTheme="minorHAnsi"/>
        </w:rPr>
        <w:t>on the subsequent decision by the University of Melbourne to relocate its Engineering faculty to</w:t>
      </w:r>
      <w:r>
        <w:rPr>
          <w:rFonts w:asciiTheme="minorHAnsi" w:hAnsiTheme="minorHAnsi"/>
        </w:rPr>
        <w:t xml:space="preserve"> </w:t>
      </w:r>
      <w:r w:rsidRPr="00A90F8A">
        <w:rPr>
          <w:rFonts w:asciiTheme="minorHAnsi" w:hAnsiTheme="minorHAnsi"/>
        </w:rPr>
        <w:t>the Employment Precinct.</w:t>
      </w:r>
    </w:p>
    <w:p w:rsidR="008F389F" w:rsidRPr="00A90F8A" w:rsidRDefault="008F389F" w:rsidP="008F389F">
      <w:pPr>
        <w:rPr>
          <w:rFonts w:asciiTheme="minorHAnsi" w:hAnsiTheme="minorHAnsi"/>
        </w:rPr>
      </w:pPr>
      <w:r w:rsidRPr="00A90F8A">
        <w:rPr>
          <w:rFonts w:asciiTheme="minorHAnsi" w:hAnsiTheme="minorHAnsi"/>
        </w:rPr>
        <w:t>In his analysis, Mr Szafraniec examined the prospects for job growth in Fishermans Bend in the context of expected job growth in metropolitan Melbourne and in the context of the CBD and other central a</w:t>
      </w:r>
      <w:r>
        <w:rPr>
          <w:rFonts w:asciiTheme="minorHAnsi" w:hAnsiTheme="minorHAnsi"/>
        </w:rPr>
        <w:t xml:space="preserve">rea employment precincts.  He </w:t>
      </w:r>
      <w:r w:rsidRPr="00A90F8A">
        <w:rPr>
          <w:rFonts w:asciiTheme="minorHAnsi" w:hAnsiTheme="minorHAnsi"/>
        </w:rPr>
        <w:t>concluded:</w:t>
      </w:r>
    </w:p>
    <w:p w:rsidR="008F389F" w:rsidRPr="00A90F8A" w:rsidRDefault="008F389F" w:rsidP="008F389F">
      <w:pPr>
        <w:pStyle w:val="PPVQuote"/>
        <w:rPr>
          <w:rFonts w:asciiTheme="minorHAnsi" w:hAnsiTheme="minorHAnsi"/>
        </w:rPr>
      </w:pPr>
      <w:r w:rsidRPr="00A90F8A">
        <w:rPr>
          <w:rFonts w:asciiTheme="minorHAnsi" w:hAnsiTheme="minorHAnsi"/>
        </w:rPr>
        <w:t>…</w:t>
      </w:r>
      <w:r>
        <w:rPr>
          <w:rFonts w:asciiTheme="minorHAnsi" w:hAnsiTheme="minorHAnsi"/>
        </w:rPr>
        <w:t xml:space="preserve"> </w:t>
      </w:r>
      <w:r w:rsidRPr="00A90F8A">
        <w:rPr>
          <w:rFonts w:asciiTheme="minorHAnsi" w:hAnsiTheme="minorHAnsi"/>
        </w:rPr>
        <w:t>a target of 80,000 jobs at Fishermans Bend (with 40,000 within the four CCZ precincts) based on strong policy and investment, in my opinion, is reasonable and consistent with employment growth forecasts in competing precincts.</w:t>
      </w:r>
      <w:r w:rsidRPr="00820B43">
        <w:rPr>
          <w:rStyle w:val="FootnoteReference"/>
          <w:rFonts w:asciiTheme="minorHAnsi" w:hAnsiTheme="minorHAnsi"/>
          <w:i w:val="0"/>
        </w:rPr>
        <w:footnoteReference w:id="37"/>
      </w:r>
    </w:p>
    <w:p w:rsidR="008F389F" w:rsidRPr="00A90F8A" w:rsidRDefault="008F389F" w:rsidP="008F389F">
      <w:pPr>
        <w:rPr>
          <w:rFonts w:asciiTheme="minorHAnsi" w:hAnsiTheme="minorHAnsi"/>
        </w:rPr>
      </w:pPr>
      <w:r>
        <w:rPr>
          <w:rFonts w:asciiTheme="minorHAnsi" w:hAnsiTheme="minorHAnsi"/>
        </w:rPr>
        <w:t xml:space="preserve">In </w:t>
      </w:r>
      <w:r w:rsidRPr="00A90F8A">
        <w:rPr>
          <w:rFonts w:asciiTheme="minorHAnsi" w:hAnsiTheme="minorHAnsi"/>
        </w:rPr>
        <w:t xml:space="preserve">cross examination he indicated that </w:t>
      </w:r>
      <w:r>
        <w:rPr>
          <w:rFonts w:asciiTheme="minorHAnsi" w:hAnsiTheme="minorHAnsi"/>
        </w:rPr>
        <w:t xml:space="preserve">achieving the targets </w:t>
      </w:r>
      <w:r w:rsidRPr="00A90F8A">
        <w:rPr>
          <w:rFonts w:asciiTheme="minorHAnsi" w:hAnsiTheme="minorHAnsi"/>
        </w:rPr>
        <w:t xml:space="preserve">was </w:t>
      </w:r>
      <w:r>
        <w:rPr>
          <w:rFonts w:asciiTheme="minorHAnsi" w:hAnsiTheme="minorHAnsi"/>
        </w:rPr>
        <w:t xml:space="preserve">to some extent </w:t>
      </w:r>
      <w:r w:rsidRPr="00A90F8A">
        <w:rPr>
          <w:rFonts w:asciiTheme="minorHAnsi" w:hAnsiTheme="minorHAnsi"/>
        </w:rPr>
        <w:t>dependent on the appropriate development of the former GMH site.</w:t>
      </w:r>
    </w:p>
    <w:p w:rsidR="008F389F" w:rsidRDefault="008F389F" w:rsidP="008F389F">
      <w:pPr>
        <w:rPr>
          <w:rFonts w:asciiTheme="minorHAnsi" w:hAnsiTheme="minorHAnsi"/>
        </w:rPr>
      </w:pPr>
      <w:r w:rsidRPr="00A90F8A">
        <w:rPr>
          <w:rFonts w:asciiTheme="minorHAnsi" w:hAnsiTheme="minorHAnsi"/>
        </w:rPr>
        <w:t xml:space="preserve">Mr Szafraniec undertook a detailed analysis of the floorspace required to accommodate jobs across a broad range of industry sectors and concluded that an average </w:t>
      </w:r>
      <w:r>
        <w:rPr>
          <w:rFonts w:asciiTheme="minorHAnsi" w:hAnsiTheme="minorHAnsi"/>
        </w:rPr>
        <w:t xml:space="preserve">provision </w:t>
      </w:r>
      <w:r w:rsidRPr="00A90F8A">
        <w:rPr>
          <w:rFonts w:asciiTheme="minorHAnsi" w:hAnsiTheme="minorHAnsi"/>
        </w:rPr>
        <w:t>of 31 square metres of floor space per job is required.  He conclude</w:t>
      </w:r>
      <w:r>
        <w:rPr>
          <w:rFonts w:asciiTheme="minorHAnsi" w:hAnsiTheme="minorHAnsi"/>
        </w:rPr>
        <w:t>d</w:t>
      </w:r>
      <w:r w:rsidRPr="00A90F8A">
        <w:rPr>
          <w:rFonts w:asciiTheme="minorHAnsi" w:hAnsiTheme="minorHAnsi"/>
        </w:rPr>
        <w:t xml:space="preserve"> that the controls proposed in </w:t>
      </w:r>
      <w:r>
        <w:rPr>
          <w:rFonts w:asciiTheme="minorHAnsi" w:hAnsiTheme="minorHAnsi"/>
        </w:rPr>
        <w:t xml:space="preserve">draft </w:t>
      </w:r>
      <w:r w:rsidRPr="00A90F8A">
        <w:rPr>
          <w:rFonts w:asciiTheme="minorHAnsi" w:hAnsiTheme="minorHAnsi"/>
        </w:rPr>
        <w:t>Amendment are adequate to facilitate this</w:t>
      </w:r>
      <w:r>
        <w:rPr>
          <w:rFonts w:asciiTheme="minorHAnsi" w:hAnsiTheme="minorHAnsi"/>
        </w:rPr>
        <w:t>.</w:t>
      </w:r>
    </w:p>
    <w:p w:rsidR="00785416" w:rsidRDefault="008F389F" w:rsidP="008F389F">
      <w:pPr>
        <w:rPr>
          <w:rFonts w:asciiTheme="minorHAnsi" w:hAnsiTheme="minorHAnsi"/>
        </w:rPr>
      </w:pPr>
      <w:r w:rsidRPr="00A90F8A">
        <w:rPr>
          <w:rFonts w:asciiTheme="minorHAnsi" w:hAnsiTheme="minorHAnsi"/>
        </w:rPr>
        <w:t>Under cross examination by Mr Montebello, Mr Szafraniec stated that if the provision of infrastructure is delayed, reaching job targets would also be delayed</w:t>
      </w:r>
      <w:r>
        <w:rPr>
          <w:rFonts w:asciiTheme="minorHAnsi" w:hAnsiTheme="minorHAnsi"/>
        </w:rPr>
        <w:t>.</w:t>
      </w:r>
      <w:r w:rsidRPr="00A90F8A">
        <w:rPr>
          <w:rFonts w:asciiTheme="minorHAnsi" w:hAnsiTheme="minorHAnsi"/>
        </w:rPr>
        <w:t xml:space="preserve">  </w:t>
      </w:r>
      <w:r>
        <w:rPr>
          <w:rFonts w:asciiTheme="minorHAnsi" w:hAnsiTheme="minorHAnsi"/>
        </w:rPr>
        <w:t xml:space="preserve">He assumed tram provision </w:t>
      </w:r>
      <w:r w:rsidRPr="001E5DCF">
        <w:rPr>
          <w:rFonts w:asciiTheme="minorHAnsi" w:hAnsiTheme="minorHAnsi"/>
          <w:i/>
        </w:rPr>
        <w:t>“soon”</w:t>
      </w:r>
      <w:r>
        <w:rPr>
          <w:rFonts w:asciiTheme="minorHAnsi" w:hAnsiTheme="minorHAnsi"/>
        </w:rPr>
        <w:t xml:space="preserve"> and the train closer to 2050.  </w:t>
      </w:r>
      <w:r w:rsidRPr="00A90F8A">
        <w:rPr>
          <w:rFonts w:asciiTheme="minorHAnsi" w:hAnsiTheme="minorHAnsi"/>
        </w:rPr>
        <w:t>Mr Szafraniec did not see the potential for residential development to “</w:t>
      </w:r>
      <w:r w:rsidRPr="00DC426F">
        <w:rPr>
          <w:rFonts w:asciiTheme="minorHAnsi" w:hAnsiTheme="minorHAnsi"/>
          <w:i/>
        </w:rPr>
        <w:t>crowd out</w:t>
      </w:r>
      <w:r w:rsidRPr="00A90F8A">
        <w:rPr>
          <w:rFonts w:asciiTheme="minorHAnsi" w:hAnsiTheme="minorHAnsi"/>
        </w:rPr>
        <w:t>” commercial floor space as an issue which would change his view on the ability to achieve job targets.</w:t>
      </w:r>
    </w:p>
    <w:p w:rsidR="008F389F" w:rsidRDefault="008F389F" w:rsidP="008F389F">
      <w:pPr>
        <w:rPr>
          <w:rFonts w:asciiTheme="minorHAnsi" w:hAnsiTheme="minorHAnsi"/>
        </w:rPr>
      </w:pPr>
      <w:r w:rsidRPr="00A90F8A">
        <w:rPr>
          <w:rFonts w:asciiTheme="minorHAnsi" w:hAnsiTheme="minorHAnsi"/>
        </w:rPr>
        <w:t xml:space="preserve">In answer to </w:t>
      </w:r>
      <w:r w:rsidR="00573583">
        <w:rPr>
          <w:rFonts w:asciiTheme="minorHAnsi" w:hAnsiTheme="minorHAnsi"/>
        </w:rPr>
        <w:t>Counsel assisting</w:t>
      </w:r>
      <w:r w:rsidRPr="00A90F8A">
        <w:rPr>
          <w:rFonts w:asciiTheme="minorHAnsi" w:hAnsiTheme="minorHAnsi"/>
        </w:rPr>
        <w:t xml:space="preserve">, Mr Szafraniec stated that the controls as proposed appear to be reasonable in terms of sending the appropriate signal to the market but that </w:t>
      </w:r>
      <w:r w:rsidR="00573583">
        <w:rPr>
          <w:rFonts w:asciiTheme="minorHAnsi" w:hAnsiTheme="minorHAnsi"/>
        </w:rPr>
        <w:t>the controls</w:t>
      </w:r>
      <w:r w:rsidR="00573583" w:rsidRPr="00A90F8A">
        <w:rPr>
          <w:rFonts w:asciiTheme="minorHAnsi" w:hAnsiTheme="minorHAnsi"/>
        </w:rPr>
        <w:t xml:space="preserve"> </w:t>
      </w:r>
      <w:r w:rsidRPr="00A90F8A">
        <w:rPr>
          <w:rFonts w:asciiTheme="minorHAnsi" w:hAnsiTheme="minorHAnsi"/>
        </w:rPr>
        <w:t>would need to be monitored.</w:t>
      </w:r>
      <w:r w:rsidR="00BF166F">
        <w:rPr>
          <w:rFonts w:asciiTheme="minorHAnsi" w:hAnsiTheme="minorHAnsi"/>
        </w:rPr>
        <w:t xml:space="preserve"> </w:t>
      </w:r>
      <w:r w:rsidRPr="00CD491F">
        <w:rPr>
          <w:rFonts w:asciiTheme="minorHAnsi" w:hAnsiTheme="minorHAnsi"/>
        </w:rPr>
        <w:t xml:space="preserve"> </w:t>
      </w:r>
      <w:r w:rsidRPr="00A90F8A">
        <w:rPr>
          <w:rFonts w:asciiTheme="minorHAnsi" w:hAnsiTheme="minorHAnsi"/>
        </w:rPr>
        <w:t xml:space="preserve">He </w:t>
      </w:r>
      <w:r>
        <w:rPr>
          <w:rFonts w:asciiTheme="minorHAnsi" w:hAnsiTheme="minorHAnsi"/>
        </w:rPr>
        <w:t xml:space="preserve">also </w:t>
      </w:r>
      <w:r w:rsidRPr="00A90F8A">
        <w:rPr>
          <w:rFonts w:asciiTheme="minorHAnsi" w:hAnsiTheme="minorHAnsi"/>
        </w:rPr>
        <w:t>emphasised the need to carefully manage the transition for existing businesses.</w:t>
      </w:r>
    </w:p>
    <w:p w:rsidR="008F389F" w:rsidRPr="00A90F8A" w:rsidRDefault="008F389F" w:rsidP="008F389F">
      <w:pPr>
        <w:rPr>
          <w:rFonts w:asciiTheme="minorHAnsi" w:hAnsiTheme="minorHAnsi"/>
        </w:rPr>
      </w:pPr>
      <w:r>
        <w:rPr>
          <w:rFonts w:asciiTheme="minorHAnsi" w:hAnsiTheme="minorHAnsi"/>
        </w:rPr>
        <w:t>Melbourne</w:t>
      </w:r>
      <w:r w:rsidRPr="00A90F8A">
        <w:rPr>
          <w:rFonts w:asciiTheme="minorHAnsi" w:hAnsiTheme="minorHAnsi"/>
        </w:rPr>
        <w:t xml:space="preserve"> submitted that it support</w:t>
      </w:r>
      <w:r>
        <w:rPr>
          <w:rFonts w:asciiTheme="minorHAnsi" w:hAnsiTheme="minorHAnsi"/>
        </w:rPr>
        <w:t xml:space="preserve">ed </w:t>
      </w:r>
      <w:r w:rsidRPr="00A90F8A">
        <w:rPr>
          <w:rFonts w:asciiTheme="minorHAnsi" w:hAnsiTheme="minorHAnsi"/>
        </w:rPr>
        <w:t>the 80,000 jobs target</w:t>
      </w:r>
      <w:r>
        <w:rPr>
          <w:rFonts w:asciiTheme="minorHAnsi" w:hAnsiTheme="minorHAnsi"/>
        </w:rPr>
        <w:t>,</w:t>
      </w:r>
      <w:r w:rsidRPr="00A90F8A">
        <w:rPr>
          <w:rFonts w:asciiTheme="minorHAnsi" w:hAnsiTheme="minorHAnsi"/>
        </w:rPr>
        <w:t xml:space="preserve"> but submit</w:t>
      </w:r>
      <w:r>
        <w:rPr>
          <w:rFonts w:asciiTheme="minorHAnsi" w:hAnsiTheme="minorHAnsi"/>
        </w:rPr>
        <w:t>ted</w:t>
      </w:r>
      <w:r w:rsidRPr="00A90F8A">
        <w:rPr>
          <w:rFonts w:asciiTheme="minorHAnsi" w:hAnsiTheme="minorHAnsi"/>
        </w:rPr>
        <w:t xml:space="preserve"> that there is a significant risk that the target won’t be reached because of a discretionary </w:t>
      </w:r>
      <w:r w:rsidR="00312E12">
        <w:rPr>
          <w:rFonts w:asciiTheme="minorHAnsi" w:hAnsiTheme="minorHAnsi"/>
        </w:rPr>
        <w:t xml:space="preserve">commercial </w:t>
      </w:r>
      <w:r w:rsidRPr="00A90F8A">
        <w:rPr>
          <w:rFonts w:asciiTheme="minorHAnsi" w:hAnsiTheme="minorHAnsi"/>
        </w:rPr>
        <w:t xml:space="preserve">FAR.  It </w:t>
      </w:r>
      <w:r>
        <w:rPr>
          <w:rFonts w:asciiTheme="minorHAnsi" w:hAnsiTheme="minorHAnsi"/>
        </w:rPr>
        <w:t>added</w:t>
      </w:r>
      <w:r w:rsidRPr="00A90F8A">
        <w:rPr>
          <w:rFonts w:asciiTheme="minorHAnsi" w:hAnsiTheme="minorHAnsi"/>
        </w:rPr>
        <w:t xml:space="preserve"> that its position </w:t>
      </w:r>
      <w:r>
        <w:rPr>
          <w:rFonts w:asciiTheme="minorHAnsi" w:hAnsiTheme="minorHAnsi"/>
        </w:rPr>
        <w:t>was</w:t>
      </w:r>
      <w:r w:rsidRPr="00A90F8A">
        <w:rPr>
          <w:rFonts w:asciiTheme="minorHAnsi" w:hAnsiTheme="minorHAnsi"/>
        </w:rPr>
        <w:t xml:space="preserve"> supported by the expert evidence of both Ms Hodyl and Mr Milner.</w:t>
      </w:r>
      <w:r>
        <w:rPr>
          <w:rFonts w:asciiTheme="minorHAnsi" w:hAnsiTheme="minorHAnsi"/>
        </w:rPr>
        <w:t xml:space="preserve">  </w:t>
      </w:r>
      <w:r w:rsidRPr="00A90F8A">
        <w:rPr>
          <w:rFonts w:asciiTheme="minorHAnsi" w:hAnsiTheme="minorHAnsi"/>
        </w:rPr>
        <w:t>Ms Hodyl argued for the minimum non-dwelling floor area to be mandatory stating:</w:t>
      </w:r>
    </w:p>
    <w:p w:rsidR="008F389F" w:rsidRPr="00A90F8A" w:rsidRDefault="008F389F" w:rsidP="008F389F">
      <w:pPr>
        <w:pStyle w:val="PPVQuote"/>
        <w:rPr>
          <w:rFonts w:asciiTheme="minorHAnsi" w:hAnsiTheme="minorHAnsi"/>
        </w:rPr>
      </w:pPr>
      <w:r w:rsidRPr="00A90F8A">
        <w:rPr>
          <w:rFonts w:asciiTheme="minorHAnsi" w:hAnsiTheme="minorHAnsi"/>
        </w:rPr>
        <w:t>I agree with Submission 153 (City of Port Phillip) that considering the current pressure to deliver residential uses, it is unlikely that the inclusion of this policy as it is currently drafted will be sufficient to deliver commercial floor area to support economic growth.</w:t>
      </w:r>
      <w:r w:rsidRPr="00820B43">
        <w:rPr>
          <w:rStyle w:val="FootnoteReference"/>
          <w:rFonts w:asciiTheme="minorHAnsi" w:hAnsiTheme="minorHAnsi"/>
          <w:i w:val="0"/>
        </w:rPr>
        <w:footnoteReference w:id="38"/>
      </w:r>
    </w:p>
    <w:p w:rsidR="008F389F" w:rsidRPr="00A90F8A" w:rsidRDefault="008F389F" w:rsidP="008F389F">
      <w:pPr>
        <w:rPr>
          <w:rFonts w:asciiTheme="minorHAnsi" w:hAnsiTheme="minorHAnsi"/>
        </w:rPr>
      </w:pPr>
      <w:r w:rsidRPr="00A90F8A">
        <w:rPr>
          <w:rFonts w:asciiTheme="minorHAnsi" w:hAnsiTheme="minorHAnsi"/>
        </w:rPr>
        <w:t xml:space="preserve">Mr Milner </w:t>
      </w:r>
      <w:r>
        <w:rPr>
          <w:rFonts w:asciiTheme="minorHAnsi" w:hAnsiTheme="minorHAnsi"/>
        </w:rPr>
        <w:t>supported “</w:t>
      </w:r>
      <w:r w:rsidRPr="0082631F">
        <w:rPr>
          <w:rFonts w:asciiTheme="minorHAnsi" w:hAnsiTheme="minorHAnsi"/>
          <w:i/>
        </w:rPr>
        <w:t>a stronger assurance that land will be set aside for predominantly employment outcomes”</w:t>
      </w:r>
      <w:r w:rsidRPr="00A90F8A">
        <w:rPr>
          <w:rFonts w:asciiTheme="minorHAnsi" w:hAnsiTheme="minorHAnsi"/>
        </w:rPr>
        <w:t>.</w:t>
      </w:r>
      <w:r w:rsidRPr="00820B43">
        <w:rPr>
          <w:rStyle w:val="FootnoteReference"/>
          <w:rFonts w:asciiTheme="minorHAnsi" w:hAnsiTheme="minorHAnsi"/>
        </w:rPr>
        <w:footnoteReference w:id="39"/>
      </w:r>
    </w:p>
    <w:p w:rsidR="008F389F" w:rsidRPr="00A90F8A" w:rsidRDefault="008F389F" w:rsidP="008F389F">
      <w:pPr>
        <w:pStyle w:val="PPVBody"/>
        <w:rPr>
          <w:rFonts w:asciiTheme="minorHAnsi" w:hAnsiTheme="minorHAnsi"/>
        </w:rPr>
      </w:pPr>
      <w:r w:rsidRPr="00A90F8A">
        <w:rPr>
          <w:rFonts w:asciiTheme="minorHAnsi" w:hAnsiTheme="minorHAnsi"/>
        </w:rPr>
        <w:t xml:space="preserve">In its initial written submission, Port Phillip expressed its concern about the job targets being met </w:t>
      </w:r>
      <w:r>
        <w:rPr>
          <w:rFonts w:asciiTheme="minorHAnsi" w:hAnsiTheme="minorHAnsi"/>
        </w:rPr>
        <w:t xml:space="preserve">because of the trend in current residential approvals and the competition from better serviced areas such as </w:t>
      </w:r>
      <w:r w:rsidRPr="00A90F8A">
        <w:rPr>
          <w:rFonts w:asciiTheme="minorHAnsi" w:hAnsiTheme="minorHAnsi"/>
        </w:rPr>
        <w:t xml:space="preserve">Docklands </w:t>
      </w:r>
      <w:r>
        <w:rPr>
          <w:rFonts w:asciiTheme="minorHAnsi" w:hAnsiTheme="minorHAnsi"/>
        </w:rPr>
        <w:t xml:space="preserve">and </w:t>
      </w:r>
      <w:r w:rsidRPr="00A90F8A">
        <w:rPr>
          <w:rFonts w:asciiTheme="minorHAnsi" w:hAnsiTheme="minorHAnsi"/>
        </w:rPr>
        <w:t>Arden Macaulay.</w:t>
      </w:r>
      <w:r w:rsidRPr="00820B43">
        <w:rPr>
          <w:rStyle w:val="FootnoteReference"/>
          <w:rFonts w:asciiTheme="minorHAnsi" w:hAnsiTheme="minorHAnsi"/>
        </w:rPr>
        <w:footnoteReference w:id="40"/>
      </w:r>
    </w:p>
    <w:p w:rsidR="008F389F" w:rsidRPr="00A90F8A" w:rsidRDefault="008F389F" w:rsidP="008F389F">
      <w:pPr>
        <w:pStyle w:val="PPVBody"/>
        <w:rPr>
          <w:rFonts w:asciiTheme="minorHAnsi" w:hAnsiTheme="minorHAnsi"/>
        </w:rPr>
      </w:pPr>
      <w:r>
        <w:t xml:space="preserve">In closing, the Minister submitted that there are already in excess of 16,000 jobs located in Fishermans Bend and that existing employment levels in Montague and Wirraway already </w:t>
      </w:r>
      <w:r>
        <w:lastRenderedPageBreak/>
        <w:t>exceed their jobs targets.</w:t>
      </w:r>
      <w:r w:rsidRPr="00CD491F">
        <w:rPr>
          <w:rFonts w:asciiTheme="minorHAnsi" w:hAnsiTheme="minorHAnsi"/>
        </w:rPr>
        <w:t xml:space="preserve"> </w:t>
      </w:r>
      <w:r>
        <w:rPr>
          <w:rFonts w:asciiTheme="minorHAnsi" w:hAnsiTheme="minorHAnsi"/>
        </w:rPr>
        <w:t xml:space="preserve"> </w:t>
      </w:r>
      <w:r w:rsidRPr="00A90F8A">
        <w:rPr>
          <w:rFonts w:asciiTheme="minorHAnsi" w:hAnsiTheme="minorHAnsi"/>
        </w:rPr>
        <w:t>Mr Wren and others placed some emphasis on the importance of providing for existing industry which wished to continue operating in the area for the foreseeable future.</w:t>
      </w:r>
    </w:p>
    <w:p w:rsidR="008F389F" w:rsidRPr="00A90F8A" w:rsidRDefault="008F389F" w:rsidP="008F389F">
      <w:pPr>
        <w:pStyle w:val="Heading4"/>
      </w:pPr>
      <w:r w:rsidRPr="00A90F8A">
        <w:t>Discussion</w:t>
      </w:r>
    </w:p>
    <w:p w:rsidR="008F389F" w:rsidRDefault="008F389F" w:rsidP="008F389F">
      <w:pPr>
        <w:rPr>
          <w:rFonts w:asciiTheme="minorHAnsi" w:hAnsiTheme="minorHAnsi"/>
        </w:rPr>
      </w:pPr>
      <w:r w:rsidRPr="00A90F8A">
        <w:rPr>
          <w:rFonts w:asciiTheme="minorHAnsi" w:hAnsiTheme="minorHAnsi"/>
        </w:rPr>
        <w:t>No submissions or evidence have been provided which have convinced the Review Panel that the targ</w:t>
      </w:r>
      <w:r>
        <w:rPr>
          <w:rFonts w:asciiTheme="minorHAnsi" w:hAnsiTheme="minorHAnsi"/>
        </w:rPr>
        <w:t>et of 40,000 jobs for the four CCZ zoned P</w:t>
      </w:r>
      <w:r w:rsidRPr="00A90F8A">
        <w:rPr>
          <w:rFonts w:asciiTheme="minorHAnsi" w:hAnsiTheme="minorHAnsi"/>
        </w:rPr>
        <w:t>recincts is inappropriate.  There do appear to be some risk</w:t>
      </w:r>
      <w:r>
        <w:rPr>
          <w:rFonts w:asciiTheme="minorHAnsi" w:hAnsiTheme="minorHAnsi"/>
        </w:rPr>
        <w:t>s</w:t>
      </w:r>
      <w:r w:rsidRPr="00A90F8A">
        <w:rPr>
          <w:rFonts w:asciiTheme="minorHAnsi" w:hAnsiTheme="minorHAnsi"/>
        </w:rPr>
        <w:t xml:space="preserve"> that the target may not be met.  </w:t>
      </w:r>
      <w:r>
        <w:rPr>
          <w:rFonts w:asciiTheme="minorHAnsi" w:hAnsiTheme="minorHAnsi"/>
        </w:rPr>
        <w:t>Risks include t</w:t>
      </w:r>
      <w:r w:rsidRPr="00A90F8A">
        <w:rPr>
          <w:rFonts w:asciiTheme="minorHAnsi" w:hAnsiTheme="minorHAnsi"/>
        </w:rPr>
        <w:t>he way in which the requirement for non-dwelling floor space is measured and the timing and nature of the key light and heavy rail infrastructure.</w:t>
      </w:r>
    </w:p>
    <w:p w:rsidR="008F389F" w:rsidRDefault="008F389F" w:rsidP="008F389F">
      <w:pPr>
        <w:rPr>
          <w:rFonts w:asciiTheme="minorHAnsi" w:hAnsiTheme="minorHAnsi"/>
        </w:rPr>
      </w:pPr>
      <w:r>
        <w:rPr>
          <w:rFonts w:asciiTheme="minorHAnsi" w:hAnsiTheme="minorHAnsi"/>
        </w:rPr>
        <w:t xml:space="preserve">The Review Panel does not place a great deal of weight on the jobs targets in Montague and Wirraway already being exceeded as it would be expected that many existing jobs will be lost as small employment intensive firms are replaced by residential uses, at least in the </w:t>
      </w:r>
      <w:r w:rsidR="00B40278">
        <w:rPr>
          <w:rFonts w:asciiTheme="minorHAnsi" w:hAnsiTheme="minorHAnsi"/>
        </w:rPr>
        <w:t>short term</w:t>
      </w:r>
      <w:r>
        <w:rPr>
          <w:rFonts w:asciiTheme="minorHAnsi" w:hAnsiTheme="minorHAnsi"/>
        </w:rPr>
        <w:t>.  Commercial development, particularly in Wirraway, appears likely to lag behind residential development by some considerable period.</w:t>
      </w:r>
    </w:p>
    <w:p w:rsidR="008F389F" w:rsidRPr="00A90F8A" w:rsidRDefault="008F389F" w:rsidP="008F389F">
      <w:pPr>
        <w:rPr>
          <w:rFonts w:asciiTheme="minorHAnsi" w:hAnsiTheme="minorHAnsi"/>
        </w:rPr>
      </w:pPr>
      <w:r>
        <w:rPr>
          <w:rFonts w:asciiTheme="minorHAnsi" w:hAnsiTheme="minorHAnsi"/>
        </w:rPr>
        <w:t xml:space="preserve">The Review Panel addresses the issue of the use of non-dwelling FAR to encourage jobs in Chapter </w:t>
      </w:r>
      <w:r w:rsidR="00573583">
        <w:rPr>
          <w:rFonts w:asciiTheme="minorHAnsi" w:hAnsiTheme="minorHAnsi"/>
        </w:rPr>
        <w:fldChar w:fldCharType="begin"/>
      </w:r>
      <w:r w:rsidR="00573583">
        <w:rPr>
          <w:rFonts w:asciiTheme="minorHAnsi" w:hAnsiTheme="minorHAnsi"/>
        </w:rPr>
        <w:instrText xml:space="preserve"> REF _Ref519676101 \r \h </w:instrText>
      </w:r>
      <w:r w:rsidR="00573583">
        <w:rPr>
          <w:rFonts w:asciiTheme="minorHAnsi" w:hAnsiTheme="minorHAnsi"/>
        </w:rPr>
      </w:r>
      <w:r w:rsidR="00573583">
        <w:rPr>
          <w:rFonts w:asciiTheme="minorHAnsi" w:hAnsiTheme="minorHAnsi"/>
        </w:rPr>
        <w:fldChar w:fldCharType="separate"/>
      </w:r>
      <w:r w:rsidR="00A307EC">
        <w:rPr>
          <w:rFonts w:asciiTheme="minorHAnsi" w:hAnsiTheme="minorHAnsi"/>
        </w:rPr>
        <w:t>7.4</w:t>
      </w:r>
      <w:r w:rsidR="00573583">
        <w:rPr>
          <w:rFonts w:asciiTheme="minorHAnsi" w:hAnsiTheme="minorHAnsi"/>
        </w:rPr>
        <w:fldChar w:fldCharType="end"/>
      </w:r>
      <w:r>
        <w:rPr>
          <w:rFonts w:asciiTheme="minorHAnsi" w:hAnsiTheme="minorHAnsi"/>
        </w:rPr>
        <w:t>.</w:t>
      </w:r>
    </w:p>
    <w:p w:rsidR="008F389F" w:rsidRDefault="008F389F" w:rsidP="008F389F">
      <w:pPr>
        <w:pStyle w:val="Heading4"/>
      </w:pPr>
      <w:r>
        <w:t>Findings</w:t>
      </w:r>
    </w:p>
    <w:p w:rsidR="008F389F" w:rsidRDefault="008F389F" w:rsidP="008F389F">
      <w:pPr>
        <w:pStyle w:val="PPVBody"/>
      </w:pPr>
      <w:r>
        <w:t>The Review Panel finds:</w:t>
      </w:r>
    </w:p>
    <w:p w:rsidR="008F389F" w:rsidRPr="002C203A" w:rsidRDefault="008F389F" w:rsidP="008F389F">
      <w:pPr>
        <w:pStyle w:val="PPVBullet1"/>
      </w:pPr>
      <w:r>
        <w:t xml:space="preserve">the target of 40,000 jobs </w:t>
      </w:r>
      <w:r w:rsidR="00312E12">
        <w:t xml:space="preserve">for the four Capital City Zone Precincts </w:t>
      </w:r>
      <w:r>
        <w:t>is appropriate and probably achievable, but will depend to some extent on early investment in public transport</w:t>
      </w:r>
      <w:r w:rsidR="00312E12">
        <w:t>.</w:t>
      </w:r>
    </w:p>
    <w:p w:rsidR="008E6605" w:rsidRDefault="00ED5C17" w:rsidP="008B68A1">
      <w:pPr>
        <w:pStyle w:val="Heading1"/>
        <w:rPr>
          <w:rFonts w:asciiTheme="minorHAnsi" w:hAnsiTheme="minorHAnsi"/>
        </w:rPr>
      </w:pPr>
      <w:bookmarkStart w:id="236" w:name="_Toc519710268"/>
      <w:bookmarkStart w:id="237" w:name="_Toc519766828"/>
      <w:bookmarkEnd w:id="215"/>
      <w:r w:rsidRPr="00A90F8A">
        <w:rPr>
          <w:rFonts w:asciiTheme="minorHAnsi" w:hAnsiTheme="minorHAnsi"/>
        </w:rPr>
        <w:lastRenderedPageBreak/>
        <w:t>Floor Area Ratio and Floor Area Uplift</w:t>
      </w:r>
      <w:bookmarkEnd w:id="236"/>
      <w:bookmarkEnd w:id="237"/>
    </w:p>
    <w:p w:rsidR="00846C0A" w:rsidRDefault="00846C0A" w:rsidP="00846C0A">
      <w:pPr>
        <w:pStyle w:val="Heading2"/>
      </w:pPr>
      <w:bookmarkStart w:id="238" w:name="_Toc519350375"/>
      <w:bookmarkStart w:id="239" w:name="_Toc519710269"/>
      <w:bookmarkStart w:id="240" w:name="_Toc519766829"/>
      <w:r w:rsidRPr="00846C0A">
        <w:t>Context and key issues</w:t>
      </w:r>
      <w:bookmarkEnd w:id="238"/>
      <w:bookmarkEnd w:id="239"/>
      <w:bookmarkEnd w:id="240"/>
    </w:p>
    <w:p w:rsidR="005912AF" w:rsidRPr="00846C0A" w:rsidRDefault="005912AF" w:rsidP="005912AF">
      <w:pPr>
        <w:pStyle w:val="PPVBody"/>
      </w:pPr>
      <w:r w:rsidRPr="00846C0A">
        <w:t xml:space="preserve">The </w:t>
      </w:r>
      <w:r w:rsidRPr="00846C0A">
        <w:rPr>
          <w:i/>
        </w:rPr>
        <w:t>Urban Design Strategy</w:t>
      </w:r>
      <w:r w:rsidRPr="00846C0A">
        <w:t xml:space="preserve"> proposed a limit on the amount of residential floor space that could be built</w:t>
      </w:r>
      <w:r>
        <w:t>,</w:t>
      </w:r>
      <w:r w:rsidRPr="00846C0A">
        <w:t xml:space="preserve"> based on a target population of 80,000.  It proposed that a minimum amount of commercial floor space be required in core areas, but recommended no limit on the maximum amount of commercial floor space that could be built.</w:t>
      </w:r>
    </w:p>
    <w:p w:rsidR="005912AF" w:rsidRPr="00846C0A" w:rsidRDefault="005912AF" w:rsidP="005912AF">
      <w:pPr>
        <w:pStyle w:val="PPVBody"/>
      </w:pPr>
      <w:r w:rsidRPr="00846C0A">
        <w:t xml:space="preserve">The </w:t>
      </w:r>
      <w:r w:rsidRPr="00846C0A">
        <w:rPr>
          <w:i/>
        </w:rPr>
        <w:t>Urban Design Strategy</w:t>
      </w:r>
      <w:r w:rsidRPr="00846C0A">
        <w:t xml:space="preserve"> recommended imposing these limits by way of a F</w:t>
      </w:r>
      <w:r w:rsidR="00346B0A">
        <w:t>AR</w:t>
      </w:r>
      <w:r w:rsidRPr="00846C0A">
        <w:t xml:space="preserve">.  FAR is the ratio of the </w:t>
      </w:r>
      <w:r w:rsidR="00827876">
        <w:t>g</w:t>
      </w:r>
      <w:r w:rsidRPr="00846C0A">
        <w:t xml:space="preserve">ross </w:t>
      </w:r>
      <w:r w:rsidR="00827876">
        <w:t>f</w:t>
      </w:r>
      <w:r w:rsidRPr="00846C0A">
        <w:t xml:space="preserve">loor </w:t>
      </w:r>
      <w:r w:rsidR="00827876">
        <w:t>a</w:t>
      </w:r>
      <w:r w:rsidRPr="00846C0A">
        <w:t xml:space="preserve">rea of the building to compared to area of a site.  </w:t>
      </w:r>
      <w:r>
        <w:rPr>
          <w:highlight w:val="yellow"/>
        </w:rPr>
        <w:fldChar w:fldCharType="begin"/>
      </w:r>
      <w:r>
        <w:rPr>
          <w:highlight w:val="yellow"/>
        </w:rPr>
        <w:instrText xml:space="preserve"> REF _Ref519589550 \h </w:instrText>
      </w:r>
      <w:r>
        <w:rPr>
          <w:highlight w:val="yellow"/>
        </w:rPr>
      </w:r>
      <w:r>
        <w:rPr>
          <w:highlight w:val="yellow"/>
        </w:rPr>
        <w:fldChar w:fldCharType="separate"/>
      </w:r>
      <w:r w:rsidR="00A307EC" w:rsidRPr="00846C0A">
        <w:t xml:space="preserve">Figure </w:t>
      </w:r>
      <w:r w:rsidR="00A307EC">
        <w:rPr>
          <w:noProof/>
        </w:rPr>
        <w:t>3</w:t>
      </w:r>
      <w:r>
        <w:rPr>
          <w:highlight w:val="yellow"/>
        </w:rPr>
        <w:fldChar w:fldCharType="end"/>
      </w:r>
      <w:r>
        <w:t xml:space="preserve"> </w:t>
      </w:r>
      <w:r w:rsidRPr="00846C0A">
        <w:t>is an illustration of the concept showing a FAR at a ratio of 1:1.</w:t>
      </w:r>
    </w:p>
    <w:p w:rsidR="005912AF" w:rsidRPr="00846C0A" w:rsidRDefault="005912AF" w:rsidP="005912AF">
      <w:pPr>
        <w:pStyle w:val="Caption"/>
      </w:pPr>
      <w:bookmarkStart w:id="241" w:name="_Ref519589550"/>
      <w:bookmarkStart w:id="242" w:name="_Toc519339197"/>
      <w:bookmarkStart w:id="243" w:name="_Toc519495127"/>
      <w:bookmarkStart w:id="244" w:name="_Ref519589540"/>
      <w:bookmarkStart w:id="245" w:name="_Toc519719106"/>
      <w:bookmarkStart w:id="246" w:name="_Toc519710374"/>
      <w:r w:rsidRPr="00846C0A">
        <w:t xml:space="preserve">Figure </w:t>
      </w:r>
      <w:r w:rsidRPr="00846C0A">
        <w:rPr>
          <w:noProof/>
        </w:rPr>
        <w:fldChar w:fldCharType="begin"/>
      </w:r>
      <w:r w:rsidRPr="00846C0A">
        <w:rPr>
          <w:noProof/>
        </w:rPr>
        <w:instrText xml:space="preserve"> SEQ Figure \* ARABIC </w:instrText>
      </w:r>
      <w:r w:rsidRPr="00846C0A">
        <w:rPr>
          <w:noProof/>
        </w:rPr>
        <w:fldChar w:fldCharType="separate"/>
      </w:r>
      <w:r w:rsidR="00A307EC">
        <w:rPr>
          <w:noProof/>
        </w:rPr>
        <w:t>3</w:t>
      </w:r>
      <w:r w:rsidRPr="00846C0A">
        <w:rPr>
          <w:noProof/>
        </w:rPr>
        <w:fldChar w:fldCharType="end"/>
      </w:r>
      <w:bookmarkEnd w:id="241"/>
      <w:r w:rsidRPr="00846C0A">
        <w:t>:</w:t>
      </w:r>
      <w:r w:rsidRPr="00846C0A">
        <w:tab/>
        <w:t>FAR illustrated (1:1 Ratio)</w:t>
      </w:r>
      <w:bookmarkEnd w:id="242"/>
      <w:bookmarkEnd w:id="243"/>
      <w:bookmarkEnd w:id="244"/>
      <w:bookmarkEnd w:id="245"/>
      <w:bookmarkEnd w:id="246"/>
    </w:p>
    <w:tbl>
      <w:tblPr>
        <w:tblStyle w:val="TableGrid"/>
        <w:tblW w:w="0" w:type="auto"/>
        <w:tblBorders>
          <w:top w:val="dotted" w:sz="4" w:space="0" w:color="auto"/>
          <w:left w:val="none" w:sz="0" w:space="0" w:color="auto"/>
          <w:bottom w:val="dotted" w:sz="4"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6"/>
      </w:tblGrid>
      <w:tr w:rsidR="005912AF" w:rsidRPr="00846C0A" w:rsidTr="005912AF">
        <w:tc>
          <w:tcPr>
            <w:tcW w:w="3095" w:type="dxa"/>
            <w:vAlign w:val="center"/>
          </w:tcPr>
          <w:p w:rsidR="005912AF" w:rsidRPr="00846C0A" w:rsidRDefault="005912AF" w:rsidP="005912AF">
            <w:pPr>
              <w:pStyle w:val="PPVBody"/>
              <w:jc w:val="center"/>
            </w:pPr>
            <w:r w:rsidRPr="00846C0A">
              <w:rPr>
                <w:noProof/>
              </w:rPr>
              <w:object w:dxaOrig="7740" w:dyaOrig="3705" w14:anchorId="064D65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5.2pt;height:57.6pt" o:ole="">
                  <v:imagedata r:id="rId27" o:title=""/>
                </v:shape>
                <o:OLEObject Type="Embed" ProgID="PBrush" ShapeID="_x0000_i1025" DrawAspect="Content" ObjectID="_1593536341" r:id="rId28"/>
              </w:object>
            </w:r>
          </w:p>
        </w:tc>
        <w:tc>
          <w:tcPr>
            <w:tcW w:w="3095" w:type="dxa"/>
            <w:vAlign w:val="center"/>
          </w:tcPr>
          <w:p w:rsidR="005912AF" w:rsidRPr="00846C0A" w:rsidRDefault="005912AF" w:rsidP="005912AF">
            <w:pPr>
              <w:pStyle w:val="PPVBody"/>
              <w:jc w:val="center"/>
            </w:pPr>
            <w:r w:rsidRPr="00846C0A">
              <w:rPr>
                <w:noProof/>
              </w:rPr>
              <w:object w:dxaOrig="7845" w:dyaOrig="4785" w14:anchorId="62425A76">
                <v:shape id="_x0000_i1026" type="#_x0000_t75" style="width:115.2pt;height:65.1pt" o:ole="">
                  <v:imagedata r:id="rId29" o:title="" cropbottom="2033f"/>
                </v:shape>
                <o:OLEObject Type="Embed" ProgID="PBrush" ShapeID="_x0000_i1026" DrawAspect="Content" ObjectID="_1593536342" r:id="rId30"/>
              </w:object>
            </w:r>
          </w:p>
        </w:tc>
        <w:tc>
          <w:tcPr>
            <w:tcW w:w="3096" w:type="dxa"/>
            <w:vAlign w:val="center"/>
          </w:tcPr>
          <w:p w:rsidR="005912AF" w:rsidRPr="00846C0A" w:rsidRDefault="005912AF" w:rsidP="005912AF">
            <w:pPr>
              <w:pStyle w:val="PPVBody"/>
              <w:jc w:val="center"/>
            </w:pPr>
            <w:r w:rsidRPr="00846C0A">
              <w:rPr>
                <w:noProof/>
              </w:rPr>
              <w:object w:dxaOrig="7890" w:dyaOrig="5250" w14:anchorId="26955F0C">
                <v:shape id="_x0000_i1027" type="#_x0000_t75" style="width:116.95pt;height:1in" o:ole="">
                  <v:imagedata r:id="rId31" o:title=""/>
                </v:shape>
                <o:OLEObject Type="Embed" ProgID="PBrush" ShapeID="_x0000_i1027" DrawAspect="Content" ObjectID="_1593536343" r:id="rId32"/>
              </w:object>
            </w:r>
          </w:p>
        </w:tc>
      </w:tr>
      <w:tr w:rsidR="005912AF" w:rsidRPr="00846C0A" w:rsidTr="005912AF">
        <w:tc>
          <w:tcPr>
            <w:tcW w:w="3095" w:type="dxa"/>
          </w:tcPr>
          <w:p w:rsidR="005912AF" w:rsidRPr="00846C0A" w:rsidRDefault="005912AF" w:rsidP="005912AF">
            <w:pPr>
              <w:pStyle w:val="PPVBody"/>
              <w:jc w:val="center"/>
            </w:pPr>
            <w:r w:rsidRPr="00846C0A">
              <w:t>1 storey: 100% site coverage</w:t>
            </w:r>
          </w:p>
        </w:tc>
        <w:tc>
          <w:tcPr>
            <w:tcW w:w="3095" w:type="dxa"/>
          </w:tcPr>
          <w:p w:rsidR="005912AF" w:rsidRPr="00846C0A" w:rsidRDefault="005912AF" w:rsidP="005912AF">
            <w:pPr>
              <w:pStyle w:val="PPVBody"/>
              <w:jc w:val="center"/>
            </w:pPr>
            <w:r w:rsidRPr="00846C0A">
              <w:t>2 storeys: 50% site coverage</w:t>
            </w:r>
          </w:p>
        </w:tc>
        <w:tc>
          <w:tcPr>
            <w:tcW w:w="3096" w:type="dxa"/>
          </w:tcPr>
          <w:p w:rsidR="005912AF" w:rsidRPr="00846C0A" w:rsidRDefault="005912AF" w:rsidP="005912AF">
            <w:pPr>
              <w:pStyle w:val="PPVBody"/>
              <w:jc w:val="center"/>
            </w:pPr>
            <w:r w:rsidRPr="00846C0A">
              <w:t>4 storeys: 25% site coverage</w:t>
            </w:r>
          </w:p>
        </w:tc>
      </w:tr>
    </w:tbl>
    <w:p w:rsidR="00785416" w:rsidRDefault="005912AF" w:rsidP="005912AF">
      <w:pPr>
        <w:pStyle w:val="PPVSource"/>
      </w:pPr>
      <w:r w:rsidRPr="00846C0A">
        <w:t>Source: Review Panel</w:t>
      </w:r>
    </w:p>
    <w:p w:rsidR="005912AF" w:rsidRDefault="005912AF" w:rsidP="005912AF">
      <w:pPr>
        <w:pStyle w:val="PPVBody"/>
      </w:pPr>
      <w:r w:rsidRPr="00846C0A">
        <w:t>The draft Amendment sets</w:t>
      </w:r>
      <w:r>
        <w:t>:</w:t>
      </w:r>
    </w:p>
    <w:p w:rsidR="005912AF" w:rsidRDefault="005912AF" w:rsidP="005912AF">
      <w:pPr>
        <w:pStyle w:val="PPVBullet1"/>
      </w:pPr>
      <w:r w:rsidRPr="00846C0A">
        <w:t>a maximum FAR</w:t>
      </w:r>
      <w:r>
        <w:t xml:space="preserve"> for core and non-core areas</w:t>
      </w:r>
      <w:r w:rsidRPr="00846C0A">
        <w:t xml:space="preserve"> </w:t>
      </w:r>
      <w:r>
        <w:t xml:space="preserve">(which is contained </w:t>
      </w:r>
      <w:r w:rsidRPr="00846C0A">
        <w:t>in the CCZ</w:t>
      </w:r>
      <w:r>
        <w:t>)</w:t>
      </w:r>
    </w:p>
    <w:p w:rsidR="00785416" w:rsidRDefault="005912AF" w:rsidP="005912AF">
      <w:pPr>
        <w:pStyle w:val="PPVBullet1"/>
      </w:pPr>
      <w:r>
        <w:t xml:space="preserve">a </w:t>
      </w:r>
      <w:r w:rsidRPr="00846C0A">
        <w:t xml:space="preserve">minimum floor area ‘not used for dwelling’ for core areas </w:t>
      </w:r>
      <w:r>
        <w:t xml:space="preserve">only (which is contained </w:t>
      </w:r>
      <w:r w:rsidRPr="00846C0A">
        <w:t>in Clause 22.XX</w:t>
      </w:r>
      <w:r>
        <w:t>)</w:t>
      </w:r>
      <w:r w:rsidRPr="00846C0A">
        <w:t>.</w:t>
      </w:r>
    </w:p>
    <w:p w:rsidR="00785416" w:rsidRDefault="005912AF" w:rsidP="005912AF">
      <w:pPr>
        <w:pStyle w:val="PPVBody"/>
      </w:pPr>
      <w:r>
        <w:t>In t</w:t>
      </w:r>
      <w:r w:rsidRPr="00846C0A">
        <w:t xml:space="preserve">he </w:t>
      </w:r>
      <w:r>
        <w:t>Part A version of the controls, the maximum FAR in core areas could be exceeded with commercial floorspace.</w:t>
      </w:r>
    </w:p>
    <w:p w:rsidR="005912AF" w:rsidRDefault="005912AF" w:rsidP="005912AF">
      <w:pPr>
        <w:pStyle w:val="PPVBody"/>
      </w:pPr>
      <w:r>
        <w:t>In the Part B version, the CCZ included:</w:t>
      </w:r>
    </w:p>
    <w:p w:rsidR="005912AF" w:rsidRDefault="005912AF" w:rsidP="005912AF">
      <w:pPr>
        <w:pStyle w:val="PPVBullet1"/>
      </w:pPr>
      <w:r>
        <w:t xml:space="preserve">a </w:t>
      </w:r>
      <w:r w:rsidRPr="00846C0A">
        <w:t xml:space="preserve">maximum </w:t>
      </w:r>
      <w:r>
        <w:t xml:space="preserve">‘Total </w:t>
      </w:r>
      <w:r w:rsidRPr="00846C0A">
        <w:t>FAR</w:t>
      </w:r>
      <w:r>
        <w:t>’</w:t>
      </w:r>
      <w:r w:rsidRPr="00846C0A">
        <w:t xml:space="preserve"> </w:t>
      </w:r>
      <w:r>
        <w:t>for core and non-core areas</w:t>
      </w:r>
    </w:p>
    <w:p w:rsidR="00785416" w:rsidRDefault="005912AF" w:rsidP="005912AF">
      <w:pPr>
        <w:pStyle w:val="PPVBullet1"/>
      </w:pPr>
      <w:r>
        <w:t>a maximum ‘Accommodation FAR’ in core areas.</w:t>
      </w:r>
    </w:p>
    <w:p w:rsidR="00785416" w:rsidRDefault="005912AF" w:rsidP="005912AF">
      <w:pPr>
        <w:pStyle w:val="PPVBody"/>
      </w:pPr>
      <w:r>
        <w:t>The maximum ‘Accommodation FAR’ appears to have been derived by subtracting the minimum commercial floor area requirements in Clause 22.XX from the maximum Total FARs for core areas.  The Part B version removed the ability to exceed the maximum FAR in core areas with commercial floorspace.  This effectively capped commercial floorspace at the minimum floor area requirements in Clause 22.XX.</w:t>
      </w:r>
    </w:p>
    <w:p w:rsidR="00785416" w:rsidRDefault="005912AF" w:rsidP="005912AF">
      <w:pPr>
        <w:pStyle w:val="PPVBody"/>
      </w:pPr>
      <w:r>
        <w:t xml:space="preserve">The Part C version replicated the Part B version, although the terminology was changed from ‘Accommodation FAR’ to ‘dwelling FAR’ and </w:t>
      </w:r>
      <w:r w:rsidRPr="00846C0A">
        <w:t>‘non-dwelling FAR’</w:t>
      </w:r>
      <w:r>
        <w:t xml:space="preserve">.  The </w:t>
      </w:r>
      <w:r w:rsidRPr="00846C0A">
        <w:t xml:space="preserve">Review Panel will refer to </w:t>
      </w:r>
      <w:r>
        <w:t xml:space="preserve">‘non-dwelling FAR’ </w:t>
      </w:r>
      <w:r w:rsidRPr="00846C0A">
        <w:t xml:space="preserve">as ‘commercial FAR’, this being the term used in the </w:t>
      </w:r>
      <w:r w:rsidRPr="00846C0A">
        <w:rPr>
          <w:i/>
        </w:rPr>
        <w:t>Urban Design Strategy</w:t>
      </w:r>
      <w:r w:rsidRPr="00846C0A">
        <w:t>.</w:t>
      </w:r>
    </w:p>
    <w:p w:rsidR="00785416" w:rsidRDefault="005912AF" w:rsidP="005912AF">
      <w:pPr>
        <w:pStyle w:val="PPVBody"/>
      </w:pPr>
      <w:r w:rsidRPr="00846C0A">
        <w:fldChar w:fldCharType="begin"/>
      </w:r>
      <w:r w:rsidRPr="00846C0A">
        <w:instrText xml:space="preserve"> REF _Ref519339987 \h  \* MERGEFORMAT </w:instrText>
      </w:r>
      <w:r w:rsidRPr="00846C0A">
        <w:fldChar w:fldCharType="separate"/>
      </w:r>
      <w:r w:rsidR="00A307EC" w:rsidRPr="00846C0A">
        <w:t xml:space="preserve">Table </w:t>
      </w:r>
      <w:r w:rsidR="00A307EC">
        <w:rPr>
          <w:noProof/>
        </w:rPr>
        <w:t>9</w:t>
      </w:r>
      <w:r w:rsidRPr="00846C0A">
        <w:fldChar w:fldCharType="end"/>
      </w:r>
      <w:r>
        <w:t xml:space="preserve"> shows the total, dwelling and commercial FARs for core and non-core areas, and the minimum commercial floorspace requirements in core areas, derived from the Part C controls</w:t>
      </w:r>
      <w:r w:rsidRPr="00846C0A">
        <w:t>.</w:t>
      </w:r>
    </w:p>
    <w:p w:rsidR="005912AF" w:rsidRPr="00846C0A" w:rsidRDefault="005912AF" w:rsidP="005912AF">
      <w:pPr>
        <w:pStyle w:val="PPVBody"/>
      </w:pPr>
      <w:r>
        <w:t>F</w:t>
      </w:r>
      <w:r w:rsidR="00346B0A">
        <w:t>AU</w:t>
      </w:r>
      <w:r w:rsidRPr="00846C0A">
        <w:t xml:space="preserve"> is development of dwellings above the </w:t>
      </w:r>
      <w:r>
        <w:t xml:space="preserve">floorspace </w:t>
      </w:r>
      <w:r w:rsidRPr="00846C0A">
        <w:t>limit</w:t>
      </w:r>
      <w:r>
        <w:t>s</w:t>
      </w:r>
      <w:r w:rsidRPr="00846C0A">
        <w:t xml:space="preserve"> allowed by the FAR</w:t>
      </w:r>
      <w:r>
        <w:t>,</w:t>
      </w:r>
      <w:r w:rsidRPr="00846C0A">
        <w:t xml:space="preserve"> in return for delivering a public benefit.  There is no limit on </w:t>
      </w:r>
      <w:r>
        <w:t xml:space="preserve">the amount of </w:t>
      </w:r>
      <w:r w:rsidRPr="00846C0A">
        <w:t>FAU</w:t>
      </w:r>
      <w:r>
        <w:t>,</w:t>
      </w:r>
      <w:r w:rsidRPr="00846C0A">
        <w:t xml:space="preserve"> other than a limit imposed through the height </w:t>
      </w:r>
      <w:r>
        <w:t xml:space="preserve">and other built form </w:t>
      </w:r>
      <w:r w:rsidRPr="00846C0A">
        <w:t>control</w:t>
      </w:r>
      <w:r>
        <w:t>s</w:t>
      </w:r>
      <w:r w:rsidRPr="00846C0A">
        <w:t>.</w:t>
      </w:r>
    </w:p>
    <w:p w:rsidR="005912AF" w:rsidRPr="00846C0A" w:rsidRDefault="005912AF" w:rsidP="005912AF">
      <w:pPr>
        <w:pStyle w:val="Caption"/>
      </w:pPr>
      <w:bookmarkStart w:id="247" w:name="_Ref519339987"/>
      <w:bookmarkStart w:id="248" w:name="_Toc519339173"/>
      <w:bookmarkStart w:id="249" w:name="_Ref519339981"/>
      <w:bookmarkStart w:id="250" w:name="_Toc519439822"/>
      <w:bookmarkStart w:id="251" w:name="_Toc519719134"/>
      <w:bookmarkStart w:id="252" w:name="_Toc519710357"/>
      <w:r w:rsidRPr="00846C0A">
        <w:lastRenderedPageBreak/>
        <w:t xml:space="preserve">Table </w:t>
      </w:r>
      <w:r w:rsidRPr="00846C0A">
        <w:rPr>
          <w:noProof/>
        </w:rPr>
        <w:fldChar w:fldCharType="begin"/>
      </w:r>
      <w:r w:rsidRPr="00846C0A">
        <w:rPr>
          <w:noProof/>
        </w:rPr>
        <w:instrText xml:space="preserve"> SEQ Table \* ARABIC </w:instrText>
      </w:r>
      <w:r w:rsidRPr="00846C0A">
        <w:rPr>
          <w:noProof/>
        </w:rPr>
        <w:fldChar w:fldCharType="separate"/>
      </w:r>
      <w:r w:rsidR="00A307EC">
        <w:rPr>
          <w:noProof/>
        </w:rPr>
        <w:t>9</w:t>
      </w:r>
      <w:r w:rsidRPr="00846C0A">
        <w:rPr>
          <w:noProof/>
        </w:rPr>
        <w:fldChar w:fldCharType="end"/>
      </w:r>
      <w:bookmarkEnd w:id="247"/>
      <w:r w:rsidRPr="00846C0A">
        <w:t>:</w:t>
      </w:r>
      <w:r w:rsidRPr="00846C0A">
        <w:tab/>
        <w:t>FARs presented in Part C version of the controls</w:t>
      </w:r>
      <w:bookmarkEnd w:id="248"/>
      <w:bookmarkEnd w:id="249"/>
      <w:bookmarkEnd w:id="250"/>
      <w:bookmarkEnd w:id="251"/>
      <w:bookmarkEnd w:id="252"/>
    </w:p>
    <w:tbl>
      <w:tblPr>
        <w:tblW w:w="0" w:type="auto"/>
        <w:tblInd w:w="108" w:type="dxa"/>
        <w:tblBorders>
          <w:bottom w:val="single" w:sz="12" w:space="0" w:color="215868"/>
          <w:insideH w:val="dotted" w:sz="4" w:space="0" w:color="auto"/>
        </w:tblBorders>
        <w:tblLayout w:type="fixed"/>
        <w:tblLook w:val="04A0" w:firstRow="1" w:lastRow="0" w:firstColumn="1" w:lastColumn="0" w:noHBand="0" w:noVBand="1"/>
      </w:tblPr>
      <w:tblGrid>
        <w:gridCol w:w="2127"/>
        <w:gridCol w:w="1736"/>
        <w:gridCol w:w="1736"/>
        <w:gridCol w:w="1737"/>
        <w:gridCol w:w="1737"/>
      </w:tblGrid>
      <w:tr w:rsidR="005912AF" w:rsidRPr="00846C0A" w:rsidTr="005912AF">
        <w:trPr>
          <w:cantSplit/>
          <w:tblHeader/>
        </w:trPr>
        <w:tc>
          <w:tcPr>
            <w:tcW w:w="2127" w:type="dxa"/>
            <w:tcBorders>
              <w:top w:val="nil"/>
              <w:bottom w:val="dotted" w:sz="4" w:space="0" w:color="auto"/>
            </w:tcBorders>
            <w:shd w:val="clear" w:color="auto" w:fill="215868"/>
            <w:vAlign w:val="bottom"/>
          </w:tcPr>
          <w:p w:rsidR="005912AF" w:rsidRPr="00846C0A" w:rsidRDefault="005912AF" w:rsidP="005912AF">
            <w:pPr>
              <w:pStyle w:val="PPVTableHeader"/>
            </w:pPr>
          </w:p>
        </w:tc>
        <w:tc>
          <w:tcPr>
            <w:tcW w:w="5209" w:type="dxa"/>
            <w:gridSpan w:val="3"/>
            <w:tcBorders>
              <w:top w:val="nil"/>
              <w:bottom w:val="dotted" w:sz="4" w:space="0" w:color="auto"/>
              <w:right w:val="single" w:sz="24" w:space="0" w:color="FFFFFF" w:themeColor="background1"/>
            </w:tcBorders>
            <w:shd w:val="clear" w:color="auto" w:fill="215868"/>
            <w:vAlign w:val="bottom"/>
          </w:tcPr>
          <w:p w:rsidR="005912AF" w:rsidRPr="00846C0A" w:rsidRDefault="005912AF" w:rsidP="005912AF">
            <w:pPr>
              <w:pStyle w:val="PPVTableHeader"/>
              <w:jc w:val="center"/>
            </w:pPr>
            <w:r w:rsidRPr="00846C0A">
              <w:t>Capital City Zone</w:t>
            </w:r>
          </w:p>
        </w:tc>
        <w:tc>
          <w:tcPr>
            <w:tcW w:w="1737" w:type="dxa"/>
            <w:tcBorders>
              <w:top w:val="nil"/>
              <w:left w:val="single" w:sz="24" w:space="0" w:color="FFFFFF" w:themeColor="background1"/>
              <w:bottom w:val="dotted" w:sz="4" w:space="0" w:color="auto"/>
            </w:tcBorders>
            <w:shd w:val="clear" w:color="auto" w:fill="215868"/>
          </w:tcPr>
          <w:p w:rsidR="005912AF" w:rsidRPr="00846C0A" w:rsidRDefault="005912AF" w:rsidP="005912AF">
            <w:pPr>
              <w:pStyle w:val="PPVTableHeader"/>
              <w:jc w:val="center"/>
            </w:pPr>
            <w:r w:rsidRPr="00846C0A">
              <w:t>Local policy</w:t>
            </w:r>
          </w:p>
        </w:tc>
      </w:tr>
      <w:tr w:rsidR="005912AF" w:rsidRPr="00846C0A" w:rsidTr="005912AF">
        <w:trPr>
          <w:cantSplit/>
          <w:tblHeader/>
        </w:trPr>
        <w:tc>
          <w:tcPr>
            <w:tcW w:w="2127" w:type="dxa"/>
            <w:tcBorders>
              <w:top w:val="nil"/>
              <w:bottom w:val="dotted" w:sz="4" w:space="0" w:color="auto"/>
            </w:tcBorders>
            <w:shd w:val="clear" w:color="auto" w:fill="215868"/>
            <w:vAlign w:val="bottom"/>
          </w:tcPr>
          <w:p w:rsidR="005912AF" w:rsidRPr="00846C0A" w:rsidRDefault="005912AF" w:rsidP="005912AF">
            <w:pPr>
              <w:pStyle w:val="PPVTableHeader"/>
            </w:pPr>
          </w:p>
        </w:tc>
        <w:tc>
          <w:tcPr>
            <w:tcW w:w="1736" w:type="dxa"/>
            <w:tcBorders>
              <w:top w:val="nil"/>
              <w:bottom w:val="dotted" w:sz="4" w:space="0" w:color="auto"/>
            </w:tcBorders>
            <w:shd w:val="clear" w:color="auto" w:fill="215868"/>
            <w:vAlign w:val="bottom"/>
          </w:tcPr>
          <w:p w:rsidR="005912AF" w:rsidRPr="00846C0A" w:rsidRDefault="005912AF" w:rsidP="005912AF">
            <w:pPr>
              <w:pStyle w:val="PPVTableHeader"/>
              <w:jc w:val="center"/>
            </w:pPr>
            <w:r w:rsidRPr="00846C0A">
              <w:t>Maximum dwelling FAR</w:t>
            </w:r>
          </w:p>
        </w:tc>
        <w:tc>
          <w:tcPr>
            <w:tcW w:w="1736" w:type="dxa"/>
            <w:tcBorders>
              <w:top w:val="nil"/>
              <w:bottom w:val="dotted" w:sz="4" w:space="0" w:color="auto"/>
            </w:tcBorders>
            <w:shd w:val="clear" w:color="auto" w:fill="215868"/>
            <w:vAlign w:val="bottom"/>
          </w:tcPr>
          <w:p w:rsidR="005912AF" w:rsidRPr="00846C0A" w:rsidRDefault="005912AF" w:rsidP="005912AF">
            <w:pPr>
              <w:pStyle w:val="PPVTableHeader"/>
              <w:jc w:val="center"/>
            </w:pPr>
            <w:r w:rsidRPr="00846C0A">
              <w:t xml:space="preserve">Maximum </w:t>
            </w:r>
            <w:r>
              <w:t>commercial</w:t>
            </w:r>
            <w:r w:rsidRPr="00846C0A">
              <w:t xml:space="preserve"> FAR</w:t>
            </w:r>
          </w:p>
        </w:tc>
        <w:tc>
          <w:tcPr>
            <w:tcW w:w="1737" w:type="dxa"/>
            <w:tcBorders>
              <w:top w:val="nil"/>
              <w:bottom w:val="dotted" w:sz="4" w:space="0" w:color="auto"/>
              <w:right w:val="single" w:sz="24" w:space="0" w:color="FFFFFF" w:themeColor="background1"/>
            </w:tcBorders>
            <w:shd w:val="clear" w:color="auto" w:fill="215868"/>
            <w:vAlign w:val="bottom"/>
          </w:tcPr>
          <w:p w:rsidR="005912AF" w:rsidRPr="00846C0A" w:rsidRDefault="005912AF" w:rsidP="005912AF">
            <w:pPr>
              <w:pStyle w:val="PPVTableHeader"/>
              <w:jc w:val="center"/>
            </w:pPr>
            <w:r w:rsidRPr="00846C0A">
              <w:t>Maximum total FAR</w:t>
            </w:r>
          </w:p>
        </w:tc>
        <w:tc>
          <w:tcPr>
            <w:tcW w:w="1737" w:type="dxa"/>
            <w:tcBorders>
              <w:top w:val="nil"/>
              <w:left w:val="single" w:sz="24" w:space="0" w:color="FFFFFF" w:themeColor="background1"/>
              <w:bottom w:val="dotted" w:sz="4" w:space="0" w:color="auto"/>
            </w:tcBorders>
            <w:shd w:val="clear" w:color="auto" w:fill="215868"/>
          </w:tcPr>
          <w:p w:rsidR="005912AF" w:rsidRPr="00846C0A" w:rsidRDefault="005912AF" w:rsidP="005912AF">
            <w:pPr>
              <w:pStyle w:val="PPVTableHeader"/>
              <w:jc w:val="center"/>
            </w:pPr>
            <w:r w:rsidRPr="00846C0A">
              <w:t>Minimum commercial FAR</w:t>
            </w:r>
          </w:p>
        </w:tc>
      </w:tr>
      <w:tr w:rsidR="005912AF" w:rsidRPr="00846C0A" w:rsidTr="005912AF">
        <w:trPr>
          <w:cantSplit/>
        </w:trPr>
        <w:tc>
          <w:tcPr>
            <w:tcW w:w="2127" w:type="dxa"/>
            <w:tcBorders>
              <w:top w:val="dotted" w:sz="4" w:space="0" w:color="auto"/>
            </w:tcBorders>
            <w:shd w:val="clear" w:color="auto" w:fill="auto"/>
          </w:tcPr>
          <w:p w:rsidR="005912AF" w:rsidRPr="00992C81" w:rsidRDefault="005912AF" w:rsidP="00992C81">
            <w:pPr>
              <w:pStyle w:val="PPVBody"/>
              <w:rPr>
                <w:sz w:val="20"/>
                <w:szCs w:val="20"/>
              </w:rPr>
            </w:pPr>
            <w:r w:rsidRPr="00992C81">
              <w:rPr>
                <w:sz w:val="20"/>
                <w:szCs w:val="20"/>
              </w:rPr>
              <w:t>Lorimer (all core)</w:t>
            </w:r>
          </w:p>
        </w:tc>
        <w:tc>
          <w:tcPr>
            <w:tcW w:w="1736" w:type="dxa"/>
            <w:tcBorders>
              <w:top w:val="dotted" w:sz="4" w:space="0" w:color="auto"/>
            </w:tcBorders>
            <w:shd w:val="clear" w:color="auto" w:fill="auto"/>
            <w:vAlign w:val="bottom"/>
          </w:tcPr>
          <w:p w:rsidR="005912AF" w:rsidRPr="00846C0A" w:rsidRDefault="005912AF" w:rsidP="005912AF">
            <w:pPr>
              <w:pStyle w:val="PPVTableText"/>
              <w:keepNext/>
              <w:jc w:val="center"/>
              <w:rPr>
                <w:szCs w:val="20"/>
              </w:rPr>
            </w:pPr>
            <w:r w:rsidRPr="00846C0A">
              <w:rPr>
                <w:szCs w:val="20"/>
              </w:rPr>
              <w:t>3.7:1</w:t>
            </w:r>
          </w:p>
        </w:tc>
        <w:tc>
          <w:tcPr>
            <w:tcW w:w="1736" w:type="dxa"/>
            <w:tcBorders>
              <w:top w:val="dotted" w:sz="4" w:space="0" w:color="auto"/>
            </w:tcBorders>
            <w:shd w:val="clear" w:color="auto" w:fill="auto"/>
            <w:vAlign w:val="bottom"/>
          </w:tcPr>
          <w:p w:rsidR="005912AF" w:rsidRPr="00846C0A" w:rsidRDefault="005912AF" w:rsidP="005912AF">
            <w:pPr>
              <w:pStyle w:val="PPVTableText"/>
              <w:keepNext/>
              <w:jc w:val="center"/>
              <w:rPr>
                <w:szCs w:val="20"/>
              </w:rPr>
            </w:pPr>
            <w:r w:rsidRPr="00846C0A">
              <w:rPr>
                <w:szCs w:val="20"/>
              </w:rPr>
              <w:t>1.7:1</w:t>
            </w:r>
          </w:p>
        </w:tc>
        <w:tc>
          <w:tcPr>
            <w:tcW w:w="1737" w:type="dxa"/>
            <w:tcBorders>
              <w:top w:val="dotted" w:sz="4" w:space="0" w:color="auto"/>
            </w:tcBorders>
            <w:shd w:val="clear" w:color="auto" w:fill="auto"/>
            <w:vAlign w:val="bottom"/>
          </w:tcPr>
          <w:p w:rsidR="005912AF" w:rsidRPr="00846C0A" w:rsidRDefault="005912AF" w:rsidP="005912AF">
            <w:pPr>
              <w:pStyle w:val="PPVTableText"/>
              <w:keepNext/>
              <w:jc w:val="center"/>
              <w:rPr>
                <w:szCs w:val="20"/>
              </w:rPr>
            </w:pPr>
            <w:r w:rsidRPr="00846C0A">
              <w:rPr>
                <w:szCs w:val="20"/>
              </w:rPr>
              <w:t>5.4:1</w:t>
            </w:r>
          </w:p>
        </w:tc>
        <w:tc>
          <w:tcPr>
            <w:tcW w:w="1737" w:type="dxa"/>
            <w:tcBorders>
              <w:top w:val="dotted" w:sz="4" w:space="0" w:color="auto"/>
            </w:tcBorders>
          </w:tcPr>
          <w:p w:rsidR="005912AF" w:rsidRPr="00846C0A" w:rsidRDefault="005912AF" w:rsidP="005912AF">
            <w:pPr>
              <w:pStyle w:val="PPVTableText"/>
              <w:keepNext/>
              <w:jc w:val="center"/>
              <w:rPr>
                <w:szCs w:val="20"/>
              </w:rPr>
            </w:pPr>
            <w:r w:rsidRPr="00846C0A">
              <w:rPr>
                <w:szCs w:val="20"/>
              </w:rPr>
              <w:t>1.7:1</w:t>
            </w:r>
          </w:p>
        </w:tc>
      </w:tr>
      <w:tr w:rsidR="005912AF" w:rsidRPr="00846C0A" w:rsidTr="005912AF">
        <w:trPr>
          <w:cantSplit/>
        </w:trPr>
        <w:tc>
          <w:tcPr>
            <w:tcW w:w="2127" w:type="dxa"/>
            <w:shd w:val="clear" w:color="auto" w:fill="auto"/>
          </w:tcPr>
          <w:p w:rsidR="005912AF" w:rsidRPr="00992C81" w:rsidRDefault="005912AF" w:rsidP="00992C81">
            <w:pPr>
              <w:pStyle w:val="PPVBody"/>
              <w:rPr>
                <w:sz w:val="20"/>
                <w:szCs w:val="20"/>
              </w:rPr>
            </w:pPr>
            <w:r w:rsidRPr="00992C81">
              <w:rPr>
                <w:sz w:val="20"/>
                <w:szCs w:val="20"/>
              </w:rPr>
              <w:t>Montague core</w:t>
            </w:r>
          </w:p>
        </w:tc>
        <w:tc>
          <w:tcPr>
            <w:tcW w:w="1736" w:type="dxa"/>
            <w:shd w:val="clear" w:color="auto" w:fill="auto"/>
            <w:vAlign w:val="bottom"/>
          </w:tcPr>
          <w:p w:rsidR="005912AF" w:rsidRPr="00846C0A" w:rsidRDefault="005912AF" w:rsidP="005912AF">
            <w:pPr>
              <w:pStyle w:val="PPVTableText"/>
              <w:keepNext/>
              <w:jc w:val="center"/>
              <w:rPr>
                <w:szCs w:val="20"/>
              </w:rPr>
            </w:pPr>
            <w:r w:rsidRPr="00846C0A">
              <w:rPr>
                <w:szCs w:val="20"/>
              </w:rPr>
              <w:t>4.7:1</w:t>
            </w:r>
          </w:p>
        </w:tc>
        <w:tc>
          <w:tcPr>
            <w:tcW w:w="1736" w:type="dxa"/>
            <w:shd w:val="clear" w:color="auto" w:fill="auto"/>
            <w:vAlign w:val="bottom"/>
          </w:tcPr>
          <w:p w:rsidR="005912AF" w:rsidRPr="00846C0A" w:rsidRDefault="005912AF" w:rsidP="005912AF">
            <w:pPr>
              <w:pStyle w:val="PPVTableText"/>
              <w:keepNext/>
              <w:jc w:val="center"/>
              <w:rPr>
                <w:szCs w:val="20"/>
              </w:rPr>
            </w:pPr>
            <w:r w:rsidRPr="00846C0A">
              <w:rPr>
                <w:szCs w:val="20"/>
              </w:rPr>
              <w:t>1.6:1</w:t>
            </w:r>
          </w:p>
        </w:tc>
        <w:tc>
          <w:tcPr>
            <w:tcW w:w="1737" w:type="dxa"/>
            <w:shd w:val="clear" w:color="auto" w:fill="auto"/>
            <w:vAlign w:val="bottom"/>
          </w:tcPr>
          <w:p w:rsidR="005912AF" w:rsidRPr="00846C0A" w:rsidRDefault="005912AF" w:rsidP="005912AF">
            <w:pPr>
              <w:pStyle w:val="PPVTableText"/>
              <w:keepNext/>
              <w:jc w:val="center"/>
              <w:rPr>
                <w:szCs w:val="20"/>
              </w:rPr>
            </w:pPr>
            <w:r w:rsidRPr="00846C0A">
              <w:rPr>
                <w:szCs w:val="20"/>
              </w:rPr>
              <w:t>6.3:1</w:t>
            </w:r>
          </w:p>
        </w:tc>
        <w:tc>
          <w:tcPr>
            <w:tcW w:w="1737" w:type="dxa"/>
          </w:tcPr>
          <w:p w:rsidR="005912AF" w:rsidRPr="00846C0A" w:rsidRDefault="005912AF" w:rsidP="005912AF">
            <w:pPr>
              <w:pStyle w:val="PPVTableText"/>
              <w:keepNext/>
              <w:jc w:val="center"/>
              <w:rPr>
                <w:szCs w:val="20"/>
              </w:rPr>
            </w:pPr>
            <w:r w:rsidRPr="00846C0A">
              <w:rPr>
                <w:szCs w:val="20"/>
              </w:rPr>
              <w:t>1.6:1</w:t>
            </w:r>
          </w:p>
        </w:tc>
      </w:tr>
      <w:tr w:rsidR="005912AF" w:rsidRPr="00846C0A" w:rsidTr="005912AF">
        <w:trPr>
          <w:cantSplit/>
        </w:trPr>
        <w:tc>
          <w:tcPr>
            <w:tcW w:w="2127" w:type="dxa"/>
            <w:shd w:val="clear" w:color="auto" w:fill="auto"/>
          </w:tcPr>
          <w:p w:rsidR="005912AF" w:rsidRPr="00992C81" w:rsidRDefault="005912AF" w:rsidP="00992C81">
            <w:pPr>
              <w:pStyle w:val="PPVBody"/>
              <w:rPr>
                <w:sz w:val="20"/>
                <w:szCs w:val="20"/>
              </w:rPr>
            </w:pPr>
            <w:r w:rsidRPr="00992C81">
              <w:rPr>
                <w:sz w:val="20"/>
                <w:szCs w:val="20"/>
              </w:rPr>
              <w:t>Montague non-core</w:t>
            </w:r>
          </w:p>
        </w:tc>
        <w:tc>
          <w:tcPr>
            <w:tcW w:w="1736" w:type="dxa"/>
            <w:shd w:val="clear" w:color="auto" w:fill="auto"/>
            <w:vAlign w:val="bottom"/>
          </w:tcPr>
          <w:p w:rsidR="005912AF" w:rsidRPr="00846C0A" w:rsidRDefault="005912AF" w:rsidP="005912AF">
            <w:pPr>
              <w:pStyle w:val="PPVTableText"/>
              <w:keepNext/>
              <w:jc w:val="center"/>
              <w:rPr>
                <w:szCs w:val="20"/>
              </w:rPr>
            </w:pPr>
          </w:p>
        </w:tc>
        <w:tc>
          <w:tcPr>
            <w:tcW w:w="1736" w:type="dxa"/>
            <w:shd w:val="clear" w:color="auto" w:fill="auto"/>
            <w:vAlign w:val="bottom"/>
          </w:tcPr>
          <w:p w:rsidR="005912AF" w:rsidRPr="00846C0A" w:rsidRDefault="005912AF" w:rsidP="005912AF">
            <w:pPr>
              <w:pStyle w:val="PPVTableText"/>
              <w:keepNext/>
              <w:jc w:val="center"/>
              <w:rPr>
                <w:szCs w:val="20"/>
              </w:rPr>
            </w:pPr>
          </w:p>
        </w:tc>
        <w:tc>
          <w:tcPr>
            <w:tcW w:w="1737" w:type="dxa"/>
            <w:shd w:val="clear" w:color="auto" w:fill="auto"/>
            <w:vAlign w:val="bottom"/>
          </w:tcPr>
          <w:p w:rsidR="005912AF" w:rsidRPr="00846C0A" w:rsidRDefault="005912AF" w:rsidP="005912AF">
            <w:pPr>
              <w:pStyle w:val="PPVTableText"/>
              <w:keepNext/>
              <w:jc w:val="center"/>
              <w:rPr>
                <w:szCs w:val="20"/>
              </w:rPr>
            </w:pPr>
            <w:r w:rsidRPr="00846C0A">
              <w:rPr>
                <w:szCs w:val="20"/>
              </w:rPr>
              <w:t>3.6:1</w:t>
            </w:r>
          </w:p>
        </w:tc>
        <w:tc>
          <w:tcPr>
            <w:tcW w:w="1737" w:type="dxa"/>
          </w:tcPr>
          <w:p w:rsidR="005912AF" w:rsidRPr="00846C0A" w:rsidRDefault="005912AF" w:rsidP="005912AF">
            <w:pPr>
              <w:pStyle w:val="PPVTableText"/>
              <w:keepNext/>
              <w:jc w:val="center"/>
              <w:rPr>
                <w:szCs w:val="20"/>
              </w:rPr>
            </w:pPr>
            <w:r w:rsidRPr="00846C0A">
              <w:rPr>
                <w:szCs w:val="20"/>
              </w:rPr>
              <w:t>–</w:t>
            </w:r>
          </w:p>
        </w:tc>
      </w:tr>
      <w:tr w:rsidR="005912AF" w:rsidRPr="00846C0A" w:rsidTr="005912AF">
        <w:trPr>
          <w:cantSplit/>
        </w:trPr>
        <w:tc>
          <w:tcPr>
            <w:tcW w:w="2127" w:type="dxa"/>
            <w:shd w:val="clear" w:color="auto" w:fill="auto"/>
          </w:tcPr>
          <w:p w:rsidR="005912AF" w:rsidRPr="00992C81" w:rsidRDefault="005912AF" w:rsidP="00992C81">
            <w:pPr>
              <w:pStyle w:val="PPVBody"/>
              <w:rPr>
                <w:sz w:val="20"/>
                <w:szCs w:val="20"/>
              </w:rPr>
            </w:pPr>
            <w:r w:rsidRPr="00992C81">
              <w:rPr>
                <w:sz w:val="20"/>
                <w:szCs w:val="20"/>
              </w:rPr>
              <w:t>Sandridge core</w:t>
            </w:r>
          </w:p>
        </w:tc>
        <w:tc>
          <w:tcPr>
            <w:tcW w:w="1736" w:type="dxa"/>
            <w:shd w:val="clear" w:color="auto" w:fill="auto"/>
            <w:vAlign w:val="bottom"/>
          </w:tcPr>
          <w:p w:rsidR="005912AF" w:rsidRPr="00846C0A" w:rsidRDefault="005912AF" w:rsidP="005912AF">
            <w:pPr>
              <w:pStyle w:val="PPVTableText"/>
              <w:keepNext/>
              <w:jc w:val="center"/>
              <w:rPr>
                <w:szCs w:val="20"/>
              </w:rPr>
            </w:pPr>
            <w:r w:rsidRPr="00846C0A">
              <w:rPr>
                <w:szCs w:val="20"/>
              </w:rPr>
              <w:t>3.7:1</w:t>
            </w:r>
          </w:p>
        </w:tc>
        <w:tc>
          <w:tcPr>
            <w:tcW w:w="1736" w:type="dxa"/>
            <w:shd w:val="clear" w:color="auto" w:fill="auto"/>
            <w:vAlign w:val="bottom"/>
          </w:tcPr>
          <w:p w:rsidR="005912AF" w:rsidRPr="00846C0A" w:rsidRDefault="005912AF" w:rsidP="005912AF">
            <w:pPr>
              <w:pStyle w:val="PPVTableText"/>
              <w:keepNext/>
              <w:jc w:val="center"/>
              <w:rPr>
                <w:szCs w:val="20"/>
              </w:rPr>
            </w:pPr>
            <w:r w:rsidRPr="00846C0A">
              <w:rPr>
                <w:szCs w:val="20"/>
              </w:rPr>
              <w:t>3.7:1</w:t>
            </w:r>
          </w:p>
        </w:tc>
        <w:tc>
          <w:tcPr>
            <w:tcW w:w="1737" w:type="dxa"/>
            <w:shd w:val="clear" w:color="auto" w:fill="auto"/>
            <w:vAlign w:val="bottom"/>
          </w:tcPr>
          <w:p w:rsidR="005912AF" w:rsidRPr="00846C0A" w:rsidRDefault="005912AF" w:rsidP="005912AF">
            <w:pPr>
              <w:pStyle w:val="PPVTableText"/>
              <w:keepNext/>
              <w:jc w:val="center"/>
              <w:rPr>
                <w:szCs w:val="20"/>
              </w:rPr>
            </w:pPr>
            <w:r w:rsidRPr="00846C0A">
              <w:rPr>
                <w:szCs w:val="20"/>
              </w:rPr>
              <w:t>7.4:1</w:t>
            </w:r>
          </w:p>
        </w:tc>
        <w:tc>
          <w:tcPr>
            <w:tcW w:w="1737" w:type="dxa"/>
          </w:tcPr>
          <w:p w:rsidR="005912AF" w:rsidRPr="00846C0A" w:rsidRDefault="005912AF" w:rsidP="005912AF">
            <w:pPr>
              <w:pStyle w:val="PPVTableText"/>
              <w:keepNext/>
              <w:jc w:val="center"/>
              <w:rPr>
                <w:szCs w:val="20"/>
              </w:rPr>
            </w:pPr>
            <w:r w:rsidRPr="00846C0A">
              <w:rPr>
                <w:szCs w:val="20"/>
              </w:rPr>
              <w:t>3.7:1</w:t>
            </w:r>
          </w:p>
        </w:tc>
      </w:tr>
      <w:tr w:rsidR="005912AF" w:rsidRPr="00846C0A" w:rsidTr="005912AF">
        <w:trPr>
          <w:cantSplit/>
        </w:trPr>
        <w:tc>
          <w:tcPr>
            <w:tcW w:w="2127" w:type="dxa"/>
            <w:shd w:val="clear" w:color="auto" w:fill="auto"/>
          </w:tcPr>
          <w:p w:rsidR="005912AF" w:rsidRPr="00992C81" w:rsidRDefault="005912AF" w:rsidP="00992C81">
            <w:pPr>
              <w:pStyle w:val="PPVBody"/>
              <w:rPr>
                <w:sz w:val="20"/>
                <w:szCs w:val="20"/>
              </w:rPr>
            </w:pPr>
            <w:r w:rsidRPr="00992C81">
              <w:rPr>
                <w:sz w:val="20"/>
                <w:szCs w:val="20"/>
              </w:rPr>
              <w:t>Sandridge non-core</w:t>
            </w:r>
          </w:p>
        </w:tc>
        <w:tc>
          <w:tcPr>
            <w:tcW w:w="1736" w:type="dxa"/>
            <w:shd w:val="clear" w:color="auto" w:fill="auto"/>
            <w:vAlign w:val="bottom"/>
          </w:tcPr>
          <w:p w:rsidR="005912AF" w:rsidRPr="00846C0A" w:rsidRDefault="005912AF" w:rsidP="005912AF">
            <w:pPr>
              <w:pStyle w:val="PPVTableText"/>
              <w:keepNext/>
              <w:jc w:val="center"/>
              <w:rPr>
                <w:szCs w:val="20"/>
              </w:rPr>
            </w:pPr>
          </w:p>
        </w:tc>
        <w:tc>
          <w:tcPr>
            <w:tcW w:w="1736" w:type="dxa"/>
            <w:shd w:val="clear" w:color="auto" w:fill="auto"/>
            <w:vAlign w:val="bottom"/>
          </w:tcPr>
          <w:p w:rsidR="005912AF" w:rsidRPr="00846C0A" w:rsidRDefault="005912AF" w:rsidP="005912AF">
            <w:pPr>
              <w:pStyle w:val="PPVTableText"/>
              <w:keepNext/>
              <w:jc w:val="center"/>
              <w:rPr>
                <w:szCs w:val="20"/>
              </w:rPr>
            </w:pPr>
          </w:p>
        </w:tc>
        <w:tc>
          <w:tcPr>
            <w:tcW w:w="1737" w:type="dxa"/>
            <w:shd w:val="clear" w:color="auto" w:fill="auto"/>
            <w:vAlign w:val="bottom"/>
          </w:tcPr>
          <w:p w:rsidR="005912AF" w:rsidRPr="00846C0A" w:rsidRDefault="005912AF" w:rsidP="005912AF">
            <w:pPr>
              <w:pStyle w:val="PPVTableText"/>
              <w:keepNext/>
              <w:jc w:val="center"/>
              <w:rPr>
                <w:szCs w:val="20"/>
              </w:rPr>
            </w:pPr>
            <w:r w:rsidRPr="00846C0A">
              <w:rPr>
                <w:szCs w:val="20"/>
              </w:rPr>
              <w:t>3.3:1</w:t>
            </w:r>
          </w:p>
        </w:tc>
        <w:tc>
          <w:tcPr>
            <w:tcW w:w="1737" w:type="dxa"/>
          </w:tcPr>
          <w:p w:rsidR="005912AF" w:rsidRPr="00846C0A" w:rsidRDefault="005912AF" w:rsidP="005912AF">
            <w:pPr>
              <w:pStyle w:val="PPVTableText"/>
              <w:keepNext/>
              <w:jc w:val="center"/>
              <w:rPr>
                <w:szCs w:val="20"/>
              </w:rPr>
            </w:pPr>
            <w:r w:rsidRPr="00846C0A">
              <w:rPr>
                <w:szCs w:val="20"/>
              </w:rPr>
              <w:t>–</w:t>
            </w:r>
          </w:p>
        </w:tc>
      </w:tr>
      <w:tr w:rsidR="005912AF" w:rsidRPr="00846C0A" w:rsidTr="005912AF">
        <w:trPr>
          <w:cantSplit/>
        </w:trPr>
        <w:tc>
          <w:tcPr>
            <w:tcW w:w="2127" w:type="dxa"/>
            <w:shd w:val="clear" w:color="auto" w:fill="auto"/>
          </w:tcPr>
          <w:p w:rsidR="005912AF" w:rsidRPr="00992C81" w:rsidRDefault="005912AF" w:rsidP="00992C81">
            <w:pPr>
              <w:pStyle w:val="PPVBody"/>
              <w:rPr>
                <w:sz w:val="20"/>
                <w:szCs w:val="20"/>
              </w:rPr>
            </w:pPr>
            <w:r w:rsidRPr="00992C81">
              <w:rPr>
                <w:sz w:val="20"/>
                <w:szCs w:val="20"/>
              </w:rPr>
              <w:t>Wirraway core</w:t>
            </w:r>
          </w:p>
        </w:tc>
        <w:tc>
          <w:tcPr>
            <w:tcW w:w="1736" w:type="dxa"/>
            <w:shd w:val="clear" w:color="auto" w:fill="auto"/>
            <w:vAlign w:val="bottom"/>
          </w:tcPr>
          <w:p w:rsidR="005912AF" w:rsidRPr="00846C0A" w:rsidRDefault="005912AF" w:rsidP="005912AF">
            <w:pPr>
              <w:pStyle w:val="PPVTableText"/>
              <w:keepNext/>
              <w:jc w:val="center"/>
              <w:rPr>
                <w:szCs w:val="20"/>
              </w:rPr>
            </w:pPr>
            <w:r w:rsidRPr="00846C0A">
              <w:rPr>
                <w:szCs w:val="20"/>
              </w:rPr>
              <w:t>2.2:1</w:t>
            </w:r>
          </w:p>
        </w:tc>
        <w:tc>
          <w:tcPr>
            <w:tcW w:w="1736" w:type="dxa"/>
            <w:shd w:val="clear" w:color="auto" w:fill="auto"/>
            <w:vAlign w:val="bottom"/>
          </w:tcPr>
          <w:p w:rsidR="005912AF" w:rsidRPr="00846C0A" w:rsidRDefault="005912AF" w:rsidP="005912AF">
            <w:pPr>
              <w:pStyle w:val="PPVTableText"/>
              <w:keepNext/>
              <w:jc w:val="center"/>
              <w:rPr>
                <w:szCs w:val="20"/>
              </w:rPr>
            </w:pPr>
            <w:r w:rsidRPr="00846C0A">
              <w:rPr>
                <w:szCs w:val="20"/>
              </w:rPr>
              <w:t>1.9:1</w:t>
            </w:r>
          </w:p>
        </w:tc>
        <w:tc>
          <w:tcPr>
            <w:tcW w:w="1737" w:type="dxa"/>
            <w:shd w:val="clear" w:color="auto" w:fill="auto"/>
            <w:vAlign w:val="bottom"/>
          </w:tcPr>
          <w:p w:rsidR="005912AF" w:rsidRPr="00846C0A" w:rsidRDefault="005912AF" w:rsidP="005912AF">
            <w:pPr>
              <w:pStyle w:val="PPVTableText"/>
              <w:keepNext/>
              <w:jc w:val="center"/>
              <w:rPr>
                <w:szCs w:val="20"/>
              </w:rPr>
            </w:pPr>
            <w:r w:rsidRPr="00846C0A">
              <w:rPr>
                <w:szCs w:val="20"/>
              </w:rPr>
              <w:t>4.1:1</w:t>
            </w:r>
          </w:p>
        </w:tc>
        <w:tc>
          <w:tcPr>
            <w:tcW w:w="1737" w:type="dxa"/>
          </w:tcPr>
          <w:p w:rsidR="005912AF" w:rsidRPr="00846C0A" w:rsidRDefault="005912AF" w:rsidP="005912AF">
            <w:pPr>
              <w:pStyle w:val="PPVTableText"/>
              <w:keepNext/>
              <w:jc w:val="center"/>
              <w:rPr>
                <w:szCs w:val="20"/>
              </w:rPr>
            </w:pPr>
            <w:r w:rsidRPr="00846C0A">
              <w:rPr>
                <w:szCs w:val="20"/>
              </w:rPr>
              <w:t>1.9:1</w:t>
            </w:r>
          </w:p>
        </w:tc>
      </w:tr>
      <w:tr w:rsidR="005912AF" w:rsidRPr="00846C0A" w:rsidTr="005912AF">
        <w:trPr>
          <w:cantSplit/>
        </w:trPr>
        <w:tc>
          <w:tcPr>
            <w:tcW w:w="2127" w:type="dxa"/>
            <w:shd w:val="clear" w:color="auto" w:fill="auto"/>
          </w:tcPr>
          <w:p w:rsidR="005912AF" w:rsidRPr="00992C81" w:rsidRDefault="005912AF" w:rsidP="00992C81">
            <w:pPr>
              <w:pStyle w:val="PPVBody"/>
              <w:rPr>
                <w:sz w:val="20"/>
                <w:szCs w:val="20"/>
              </w:rPr>
            </w:pPr>
            <w:r w:rsidRPr="00992C81">
              <w:rPr>
                <w:sz w:val="20"/>
                <w:szCs w:val="20"/>
              </w:rPr>
              <w:t>Wirraway non-core</w:t>
            </w:r>
          </w:p>
        </w:tc>
        <w:tc>
          <w:tcPr>
            <w:tcW w:w="1736" w:type="dxa"/>
            <w:shd w:val="clear" w:color="auto" w:fill="auto"/>
            <w:vAlign w:val="bottom"/>
          </w:tcPr>
          <w:p w:rsidR="005912AF" w:rsidRPr="00846C0A" w:rsidRDefault="005912AF" w:rsidP="005912AF">
            <w:pPr>
              <w:pStyle w:val="PPVTableText"/>
              <w:keepNext/>
              <w:jc w:val="center"/>
              <w:rPr>
                <w:szCs w:val="20"/>
              </w:rPr>
            </w:pPr>
          </w:p>
        </w:tc>
        <w:tc>
          <w:tcPr>
            <w:tcW w:w="1736" w:type="dxa"/>
            <w:shd w:val="clear" w:color="auto" w:fill="auto"/>
            <w:vAlign w:val="bottom"/>
          </w:tcPr>
          <w:p w:rsidR="005912AF" w:rsidRPr="00846C0A" w:rsidRDefault="005912AF" w:rsidP="005912AF">
            <w:pPr>
              <w:pStyle w:val="PPVTableText"/>
              <w:keepNext/>
              <w:jc w:val="center"/>
              <w:rPr>
                <w:szCs w:val="20"/>
              </w:rPr>
            </w:pPr>
          </w:p>
        </w:tc>
        <w:tc>
          <w:tcPr>
            <w:tcW w:w="1737" w:type="dxa"/>
            <w:shd w:val="clear" w:color="auto" w:fill="auto"/>
            <w:vAlign w:val="bottom"/>
          </w:tcPr>
          <w:p w:rsidR="005912AF" w:rsidRPr="00846C0A" w:rsidRDefault="005912AF" w:rsidP="005912AF">
            <w:pPr>
              <w:pStyle w:val="PPVTableText"/>
              <w:keepNext/>
              <w:jc w:val="center"/>
              <w:rPr>
                <w:szCs w:val="20"/>
              </w:rPr>
            </w:pPr>
            <w:r w:rsidRPr="00846C0A">
              <w:rPr>
                <w:szCs w:val="20"/>
              </w:rPr>
              <w:t>2.1:1</w:t>
            </w:r>
          </w:p>
        </w:tc>
        <w:tc>
          <w:tcPr>
            <w:tcW w:w="1737" w:type="dxa"/>
          </w:tcPr>
          <w:p w:rsidR="005912AF" w:rsidRPr="00846C0A" w:rsidRDefault="005912AF" w:rsidP="005912AF">
            <w:pPr>
              <w:pStyle w:val="PPVTableText"/>
              <w:keepNext/>
              <w:jc w:val="center"/>
              <w:rPr>
                <w:szCs w:val="20"/>
              </w:rPr>
            </w:pPr>
            <w:r w:rsidRPr="00846C0A">
              <w:rPr>
                <w:szCs w:val="20"/>
              </w:rPr>
              <w:t>–</w:t>
            </w:r>
          </w:p>
        </w:tc>
      </w:tr>
    </w:tbl>
    <w:p w:rsidR="005912AF" w:rsidRPr="00846C0A" w:rsidRDefault="005912AF" w:rsidP="005912AF">
      <w:pPr>
        <w:pStyle w:val="PPVSource"/>
      </w:pPr>
      <w:r w:rsidRPr="00846C0A">
        <w:t>Source: Part C controls</w:t>
      </w:r>
    </w:p>
    <w:p w:rsidR="005912AF" w:rsidRPr="00846C0A" w:rsidRDefault="005912AF" w:rsidP="005912AF">
      <w:r w:rsidRPr="00846C0A">
        <w:t>The FAR control has a number of purposes.  These fall into two broad categories:</w:t>
      </w:r>
    </w:p>
    <w:p w:rsidR="005912AF" w:rsidRPr="00846C0A" w:rsidRDefault="0074522A" w:rsidP="005912AF">
      <w:pPr>
        <w:pStyle w:val="PPVBullet1"/>
      </w:pPr>
      <w:r>
        <w:t>p</w:t>
      </w:r>
      <w:r w:rsidR="005912AF" w:rsidRPr="00846C0A">
        <w:t>urposes aimed at limiting development:</w:t>
      </w:r>
    </w:p>
    <w:p w:rsidR="005912AF" w:rsidRPr="00846C0A" w:rsidRDefault="005912AF" w:rsidP="005912AF">
      <w:pPr>
        <w:pStyle w:val="PPVBullet2"/>
      </w:pPr>
      <w:r w:rsidRPr="00846C0A">
        <w:t>using the FAR as a density control to achieve a population target</w:t>
      </w:r>
    </w:p>
    <w:p w:rsidR="005912AF" w:rsidRPr="00846C0A" w:rsidRDefault="005912AF" w:rsidP="005912AF">
      <w:pPr>
        <w:pStyle w:val="PPVBullet2"/>
      </w:pPr>
      <w:r w:rsidRPr="00846C0A">
        <w:t>influencing the mix of uses on a site</w:t>
      </w:r>
      <w:r>
        <w:t xml:space="preserve"> (primarily seeking to ensure commercial floorspace is provided in core areas)</w:t>
      </w:r>
    </w:p>
    <w:p w:rsidR="005912AF" w:rsidRPr="00846C0A" w:rsidRDefault="005912AF" w:rsidP="005912AF">
      <w:pPr>
        <w:pStyle w:val="PPVBullet2"/>
      </w:pPr>
      <w:r w:rsidRPr="00846C0A">
        <w:t xml:space="preserve">moderating built form to </w:t>
      </w:r>
      <w:r>
        <w:t xml:space="preserve">deliver built form diversity and avoid </w:t>
      </w:r>
      <w:r w:rsidRPr="00846C0A">
        <w:t xml:space="preserve">complete build out of the building envelopes </w:t>
      </w:r>
      <w:r>
        <w:t>on every site</w:t>
      </w:r>
    </w:p>
    <w:p w:rsidR="005912AF" w:rsidRPr="00846C0A" w:rsidRDefault="005912AF" w:rsidP="005912AF">
      <w:pPr>
        <w:pStyle w:val="PPVBullet2"/>
      </w:pPr>
      <w:r>
        <w:t>avoiding the need to</w:t>
      </w:r>
      <w:r w:rsidRPr="00846C0A">
        <w:t xml:space="preserve"> compensat</w:t>
      </w:r>
      <w:r>
        <w:t xml:space="preserve">e landowners for land </w:t>
      </w:r>
      <w:r w:rsidRPr="00846C0A">
        <w:t xml:space="preserve">required for </w:t>
      </w:r>
      <w:r>
        <w:t>public purposes (</w:t>
      </w:r>
      <w:r w:rsidRPr="00846C0A">
        <w:t xml:space="preserve">open space and </w:t>
      </w:r>
      <w:r>
        <w:t xml:space="preserve">streets, </w:t>
      </w:r>
      <w:r w:rsidRPr="00846C0A">
        <w:t>road</w:t>
      </w:r>
      <w:r>
        <w:t>s and laneways)</w:t>
      </w:r>
    </w:p>
    <w:p w:rsidR="005912AF" w:rsidRPr="00846C0A" w:rsidRDefault="005912AF" w:rsidP="005912AF">
      <w:pPr>
        <w:pStyle w:val="PPVBullet1"/>
      </w:pPr>
      <w:r w:rsidRPr="00846C0A">
        <w:t>A purpose aimed at supporting more development:</w:t>
      </w:r>
    </w:p>
    <w:p w:rsidR="005912AF" w:rsidRPr="00846C0A" w:rsidRDefault="005912AF" w:rsidP="005912AF">
      <w:pPr>
        <w:pStyle w:val="PPVBullet2"/>
      </w:pPr>
      <w:r w:rsidRPr="00846C0A">
        <w:t>underpinning the FAU scheme, which needs a base from which the uplift is calculated.</w:t>
      </w:r>
    </w:p>
    <w:p w:rsidR="005912AF" w:rsidRPr="00846C0A" w:rsidRDefault="005912AF" w:rsidP="005912AF">
      <w:pPr>
        <w:pStyle w:val="PPVBody"/>
      </w:pPr>
      <w:r w:rsidRPr="00846C0A">
        <w:t>The key issues to be addressed are:</w:t>
      </w:r>
    </w:p>
    <w:p w:rsidR="005912AF" w:rsidRPr="00846C0A" w:rsidRDefault="005912AF" w:rsidP="005912AF">
      <w:pPr>
        <w:pStyle w:val="PPVBullet1"/>
        <w:rPr>
          <w:rFonts w:eastAsiaTheme="minorEastAsia"/>
          <w:noProof/>
        </w:rPr>
      </w:pPr>
      <w:r w:rsidRPr="00846C0A">
        <w:rPr>
          <w:noProof/>
        </w:rPr>
        <w:t>how the FAR</w:t>
      </w:r>
      <w:r>
        <w:rPr>
          <w:noProof/>
        </w:rPr>
        <w:t>s</w:t>
      </w:r>
      <w:r w:rsidRPr="00846C0A">
        <w:rPr>
          <w:noProof/>
        </w:rPr>
        <w:t xml:space="preserve"> </w:t>
      </w:r>
      <w:r>
        <w:rPr>
          <w:noProof/>
        </w:rPr>
        <w:t xml:space="preserve">were </w:t>
      </w:r>
      <w:r w:rsidRPr="00846C0A">
        <w:rPr>
          <w:noProof/>
        </w:rPr>
        <w:t>set</w:t>
      </w:r>
    </w:p>
    <w:p w:rsidR="005912AF" w:rsidRPr="00846C0A" w:rsidRDefault="005912AF" w:rsidP="005912AF">
      <w:pPr>
        <w:pStyle w:val="PPVBullet1"/>
        <w:rPr>
          <w:rFonts w:eastAsiaTheme="minorEastAsia"/>
          <w:noProof/>
        </w:rPr>
      </w:pPr>
      <w:r w:rsidRPr="00846C0A">
        <w:rPr>
          <w:noProof/>
        </w:rPr>
        <w:t>using</w:t>
      </w:r>
      <w:r w:rsidR="00992C81">
        <w:rPr>
          <w:noProof/>
        </w:rPr>
        <w:t xml:space="preserve"> the</w:t>
      </w:r>
      <w:r w:rsidRPr="00846C0A">
        <w:rPr>
          <w:noProof/>
        </w:rPr>
        <w:t xml:space="preserve"> FAR as a density control</w:t>
      </w:r>
    </w:p>
    <w:p w:rsidR="005912AF" w:rsidRPr="00846C0A" w:rsidRDefault="005912AF" w:rsidP="005912AF">
      <w:pPr>
        <w:pStyle w:val="PPVBullet1"/>
        <w:rPr>
          <w:rFonts w:eastAsiaTheme="minorEastAsia"/>
          <w:noProof/>
        </w:rPr>
      </w:pPr>
      <w:r w:rsidRPr="00846C0A">
        <w:rPr>
          <w:noProof/>
        </w:rPr>
        <w:t xml:space="preserve">using </w:t>
      </w:r>
      <w:r w:rsidR="00992C81">
        <w:rPr>
          <w:noProof/>
        </w:rPr>
        <w:t xml:space="preserve">the </w:t>
      </w:r>
      <w:r w:rsidRPr="00846C0A">
        <w:rPr>
          <w:noProof/>
        </w:rPr>
        <w:t>FAR to influence the mix of uses on a site</w:t>
      </w:r>
    </w:p>
    <w:p w:rsidR="005912AF" w:rsidRPr="00846C0A" w:rsidRDefault="005912AF" w:rsidP="005912AF">
      <w:pPr>
        <w:pStyle w:val="PPVBullet1"/>
        <w:rPr>
          <w:rFonts w:eastAsiaTheme="minorEastAsia"/>
          <w:noProof/>
        </w:rPr>
      </w:pPr>
      <w:r w:rsidRPr="00846C0A">
        <w:rPr>
          <w:noProof/>
        </w:rPr>
        <w:t xml:space="preserve">using </w:t>
      </w:r>
      <w:r w:rsidR="00992C81">
        <w:rPr>
          <w:noProof/>
        </w:rPr>
        <w:t xml:space="preserve">the </w:t>
      </w:r>
      <w:r w:rsidRPr="00846C0A">
        <w:rPr>
          <w:noProof/>
        </w:rPr>
        <w:t>FAR to moderate built form</w:t>
      </w:r>
    </w:p>
    <w:p w:rsidR="005912AF" w:rsidRPr="00846C0A" w:rsidRDefault="005912AF" w:rsidP="005912AF">
      <w:pPr>
        <w:pStyle w:val="PPVBullet1"/>
        <w:rPr>
          <w:rFonts w:eastAsiaTheme="minorEastAsia"/>
          <w:noProof/>
        </w:rPr>
      </w:pPr>
      <w:r w:rsidRPr="00846C0A">
        <w:rPr>
          <w:noProof/>
        </w:rPr>
        <w:t xml:space="preserve">using </w:t>
      </w:r>
      <w:r w:rsidR="00992C81">
        <w:rPr>
          <w:noProof/>
        </w:rPr>
        <w:t xml:space="preserve">the </w:t>
      </w:r>
      <w:r w:rsidR="00346B0A">
        <w:rPr>
          <w:noProof/>
        </w:rPr>
        <w:t>F</w:t>
      </w:r>
      <w:r w:rsidRPr="00846C0A">
        <w:rPr>
          <w:noProof/>
        </w:rPr>
        <w:t xml:space="preserve">AR to </w:t>
      </w:r>
      <w:r>
        <w:rPr>
          <w:noProof/>
        </w:rPr>
        <w:t xml:space="preserve">avoid </w:t>
      </w:r>
      <w:r w:rsidRPr="00846C0A">
        <w:rPr>
          <w:noProof/>
        </w:rPr>
        <w:t>compensation</w:t>
      </w:r>
    </w:p>
    <w:p w:rsidR="005912AF" w:rsidRPr="00846C0A" w:rsidRDefault="005912AF" w:rsidP="005912AF">
      <w:pPr>
        <w:pStyle w:val="PPVBullet1"/>
        <w:rPr>
          <w:rFonts w:eastAsiaTheme="minorEastAsia"/>
          <w:noProof/>
        </w:rPr>
      </w:pPr>
      <w:r w:rsidRPr="00846C0A">
        <w:rPr>
          <w:noProof/>
        </w:rPr>
        <w:t xml:space="preserve">using </w:t>
      </w:r>
      <w:r w:rsidR="00992C81">
        <w:rPr>
          <w:noProof/>
        </w:rPr>
        <w:t xml:space="preserve">the </w:t>
      </w:r>
      <w:r w:rsidRPr="00846C0A">
        <w:rPr>
          <w:noProof/>
        </w:rPr>
        <w:t>FAR to underpin FAU.</w:t>
      </w:r>
    </w:p>
    <w:p w:rsidR="005912AF" w:rsidRPr="00846C0A" w:rsidRDefault="005912AF" w:rsidP="005912AF">
      <w:pPr>
        <w:pStyle w:val="Heading2"/>
      </w:pPr>
      <w:bookmarkStart w:id="253" w:name="_Toc519350376"/>
      <w:bookmarkStart w:id="254" w:name="_Toc519439738"/>
      <w:bookmarkStart w:id="255" w:name="_Ref519597637"/>
      <w:bookmarkStart w:id="256" w:name="_Toc519710270"/>
      <w:bookmarkStart w:id="257" w:name="_Toc519766830"/>
      <w:r w:rsidRPr="00846C0A">
        <w:t>How the FAR</w:t>
      </w:r>
      <w:r>
        <w:t>s</w:t>
      </w:r>
      <w:r w:rsidRPr="00846C0A">
        <w:t xml:space="preserve"> </w:t>
      </w:r>
      <w:r>
        <w:t xml:space="preserve">were </w:t>
      </w:r>
      <w:r w:rsidRPr="00846C0A">
        <w:t>set</w:t>
      </w:r>
      <w:bookmarkEnd w:id="253"/>
      <w:bookmarkEnd w:id="254"/>
      <w:bookmarkEnd w:id="255"/>
      <w:bookmarkEnd w:id="256"/>
      <w:bookmarkEnd w:id="257"/>
    </w:p>
    <w:p w:rsidR="005912AF" w:rsidRPr="00846C0A" w:rsidRDefault="005912AF" w:rsidP="005912AF">
      <w:pPr>
        <w:pStyle w:val="Heading4"/>
      </w:pPr>
      <w:r w:rsidRPr="00846C0A">
        <w:t>Context</w:t>
      </w:r>
    </w:p>
    <w:p w:rsidR="005912AF" w:rsidRPr="00846C0A" w:rsidRDefault="005912AF" w:rsidP="005912AF">
      <w:pPr>
        <w:pStyle w:val="PPVBody"/>
      </w:pPr>
      <w:r w:rsidRPr="00846C0A">
        <w:t xml:space="preserve">The use of the FAR had its genesis in the </w:t>
      </w:r>
      <w:r w:rsidRPr="00846C0A">
        <w:rPr>
          <w:i/>
        </w:rPr>
        <w:t>Urban Design Strategy</w:t>
      </w:r>
      <w:r w:rsidR="0074522A">
        <w:t>, which</w:t>
      </w:r>
      <w:r w:rsidRPr="00846C0A">
        <w:t xml:space="preserve"> considered five approaches to controls</w:t>
      </w:r>
      <w:r>
        <w:t xml:space="preserve"> in Fishermans Bend</w:t>
      </w:r>
      <w:r w:rsidRPr="00846C0A">
        <w:t>:</w:t>
      </w:r>
    </w:p>
    <w:p w:rsidR="005912AF" w:rsidRPr="00846C0A" w:rsidRDefault="005912AF" w:rsidP="005912AF">
      <w:pPr>
        <w:pStyle w:val="PPVBullet1"/>
      </w:pPr>
      <w:r w:rsidRPr="00846C0A">
        <w:t>continue with the current interim controls</w:t>
      </w:r>
    </w:p>
    <w:p w:rsidR="005912AF" w:rsidRPr="00846C0A" w:rsidRDefault="005912AF" w:rsidP="005912AF">
      <w:pPr>
        <w:pStyle w:val="PPVBullet1"/>
      </w:pPr>
      <w:r w:rsidRPr="00846C0A">
        <w:t>extend Central City controls to Fishermans Bend</w:t>
      </w:r>
    </w:p>
    <w:p w:rsidR="005912AF" w:rsidRPr="00846C0A" w:rsidRDefault="005912AF" w:rsidP="005912AF">
      <w:pPr>
        <w:pStyle w:val="PPVBullet1"/>
      </w:pPr>
      <w:r w:rsidRPr="00846C0A">
        <w:t>introduce capped FAR that aligns with 100 per cent population targets</w:t>
      </w:r>
      <w:r>
        <w:t>,</w:t>
      </w:r>
      <w:r w:rsidRPr="00846C0A">
        <w:t xml:space="preserve"> with no FAU</w:t>
      </w:r>
    </w:p>
    <w:p w:rsidR="005912AF" w:rsidRPr="00846C0A" w:rsidRDefault="005912AF" w:rsidP="005912AF">
      <w:pPr>
        <w:pStyle w:val="PPVBullet1"/>
      </w:pPr>
      <w:r w:rsidRPr="00846C0A">
        <w:t>introduce uncapped FAR aligned with population targets</w:t>
      </w:r>
      <w:r>
        <w:t xml:space="preserve">, and </w:t>
      </w:r>
      <w:r w:rsidRPr="00846C0A">
        <w:t>incentivise community benefit through targeted FAU</w:t>
      </w:r>
    </w:p>
    <w:p w:rsidR="005912AF" w:rsidRPr="00846C0A" w:rsidRDefault="005912AF" w:rsidP="005912AF">
      <w:pPr>
        <w:pStyle w:val="PPVBullet1"/>
      </w:pPr>
      <w:r w:rsidRPr="00846C0A">
        <w:lastRenderedPageBreak/>
        <w:t>introduce revised mandatory height controls to ensure population targets</w:t>
      </w:r>
      <w:r>
        <w:t>,</w:t>
      </w:r>
      <w:r w:rsidRPr="00846C0A">
        <w:t xml:space="preserve"> but with no FAR and FAU.</w:t>
      </w:r>
    </w:p>
    <w:p w:rsidR="005912AF" w:rsidRPr="00846C0A" w:rsidRDefault="005912AF" w:rsidP="005912AF">
      <w:pPr>
        <w:pStyle w:val="PPVBody"/>
      </w:pPr>
      <w:r w:rsidRPr="00846C0A">
        <w:t xml:space="preserve">The </w:t>
      </w:r>
      <w:r w:rsidRPr="00846C0A">
        <w:rPr>
          <w:i/>
        </w:rPr>
        <w:t>Urban Design Strategy</w:t>
      </w:r>
      <w:r w:rsidRPr="00846C0A">
        <w:t xml:space="preserve"> assessed these approaches against a number of criteria and concluded:</w:t>
      </w:r>
    </w:p>
    <w:p w:rsidR="005912AF" w:rsidRPr="00846C0A" w:rsidRDefault="005912AF" w:rsidP="005912AF">
      <w:pPr>
        <w:pStyle w:val="PPVQuote"/>
      </w:pPr>
      <w:r w:rsidRPr="00846C0A">
        <w:t xml:space="preserve">This analysis demonstrates that the introduction of a FAR control, with or without a FAU, in conjunction with generally discretionary height controls would be the most beneficial approach for Fishermans Bend and the most direct way to achieve the vision </w:t>
      </w:r>
      <w:r>
        <w:t>and the urban design objectives.</w:t>
      </w:r>
      <w:r w:rsidRPr="00AF7E55">
        <w:rPr>
          <w:rStyle w:val="FootnoteReference"/>
        </w:rPr>
        <w:t xml:space="preserve"> </w:t>
      </w:r>
      <w:r w:rsidRPr="00846C0A">
        <w:rPr>
          <w:rStyle w:val="FootnoteReference"/>
        </w:rPr>
        <w:footnoteReference w:id="41"/>
      </w:r>
    </w:p>
    <w:p w:rsidR="005912AF" w:rsidRPr="00846C0A" w:rsidRDefault="005912AF" w:rsidP="005912AF">
      <w:pPr>
        <w:pStyle w:val="PPVBody"/>
      </w:pPr>
      <w:r w:rsidRPr="00846C0A">
        <w:t xml:space="preserve">The </w:t>
      </w:r>
      <w:r w:rsidRPr="00846C0A">
        <w:rPr>
          <w:i/>
        </w:rPr>
        <w:t>Urban Design Strategy</w:t>
      </w:r>
      <w:r w:rsidRPr="00846C0A">
        <w:t xml:space="preserve"> observed that this could have a significant impact on </w:t>
      </w:r>
      <w:r>
        <w:t xml:space="preserve">current </w:t>
      </w:r>
      <w:r w:rsidRPr="00846C0A">
        <w:t xml:space="preserve">development applications, but noted that this is necessary to </w:t>
      </w:r>
      <w:r w:rsidRPr="00846C0A">
        <w:rPr>
          <w:i/>
        </w:rPr>
        <w:t>“put Fishermans Bend back on track”</w:t>
      </w:r>
      <w:r w:rsidRPr="00846C0A">
        <w:t>.</w:t>
      </w:r>
    </w:p>
    <w:p w:rsidR="005912AF" w:rsidRPr="00846C0A" w:rsidRDefault="005912AF" w:rsidP="005912AF">
      <w:pPr>
        <w:pStyle w:val="PPVBody"/>
      </w:pPr>
      <w:r w:rsidRPr="00846C0A">
        <w:t xml:space="preserve">There have been a number of changes to the FAR since the </w:t>
      </w:r>
      <w:r w:rsidRPr="00846C0A">
        <w:rPr>
          <w:i/>
        </w:rPr>
        <w:t>Urban Design Strategy:</w:t>
      </w:r>
    </w:p>
    <w:p w:rsidR="005912AF" w:rsidRPr="00846C0A" w:rsidRDefault="005912AF" w:rsidP="005912AF">
      <w:pPr>
        <w:pStyle w:val="PPVBullet1"/>
      </w:pPr>
      <w:r w:rsidRPr="00846C0A">
        <w:t>the Part A controls applied the total FAR to dwellings instead of the dwelling specific ratios – this was corrected in later versions</w:t>
      </w:r>
    </w:p>
    <w:p w:rsidR="005912AF" w:rsidRPr="00846C0A" w:rsidRDefault="005912AF" w:rsidP="005912AF">
      <w:pPr>
        <w:pStyle w:val="PPVBullet1"/>
      </w:pPr>
      <w:r w:rsidRPr="00846C0A">
        <w:t>there were changes to the Sandridge ratios as the result of the extension to the Montague core area.</w:t>
      </w:r>
    </w:p>
    <w:p w:rsidR="005912AF" w:rsidRPr="00846C0A" w:rsidRDefault="005912AF" w:rsidP="005912AF">
      <w:pPr>
        <w:pStyle w:val="PPVBody"/>
      </w:pPr>
      <w:r w:rsidRPr="00846C0A">
        <w:t xml:space="preserve">There have been a number of changes to the FAU since it was proposed in the </w:t>
      </w:r>
      <w:r w:rsidRPr="00846C0A">
        <w:rPr>
          <w:i/>
        </w:rPr>
        <w:t>Urban Design Strategy</w:t>
      </w:r>
      <w:r w:rsidRPr="00846C0A">
        <w:t>:</w:t>
      </w:r>
    </w:p>
    <w:p w:rsidR="005912AF" w:rsidRPr="00846C0A" w:rsidRDefault="005912AF" w:rsidP="005912AF">
      <w:pPr>
        <w:pStyle w:val="PPVBullet1"/>
      </w:pPr>
      <w:r w:rsidRPr="00846C0A">
        <w:t>Part B controls prohibited any FAU, but this was a drafting error</w:t>
      </w:r>
    </w:p>
    <w:p w:rsidR="005912AF" w:rsidRPr="00846C0A" w:rsidRDefault="005912AF" w:rsidP="005912AF">
      <w:pPr>
        <w:pStyle w:val="PPVBullet1"/>
      </w:pPr>
      <w:r>
        <w:t>FAU</w:t>
      </w:r>
      <w:r w:rsidRPr="00846C0A">
        <w:t xml:space="preserve"> was initially proposed for social housing, community facilities and additional open space, but the Part C controls limit the FAU to only social housing.</w:t>
      </w:r>
    </w:p>
    <w:p w:rsidR="005912AF" w:rsidRPr="00846C0A" w:rsidRDefault="005912AF" w:rsidP="005912AF">
      <w:pPr>
        <w:pStyle w:val="PPVBody"/>
      </w:pPr>
      <w:r w:rsidRPr="00846C0A">
        <w:t xml:space="preserve">Commercial floor area was intended as a minimum requirement in the </w:t>
      </w:r>
      <w:r w:rsidRPr="00846C0A">
        <w:rPr>
          <w:i/>
        </w:rPr>
        <w:t>Urban Design Strategy</w:t>
      </w:r>
      <w:r w:rsidRPr="00846C0A">
        <w:t>.  There have been a number of changes since:</w:t>
      </w:r>
    </w:p>
    <w:p w:rsidR="00785416" w:rsidRDefault="005912AF" w:rsidP="005912AF">
      <w:pPr>
        <w:pStyle w:val="PPVBullet1"/>
      </w:pPr>
      <w:r w:rsidRPr="00846C0A">
        <w:t xml:space="preserve">it has gone from ‘commercial’ in the </w:t>
      </w:r>
      <w:r w:rsidRPr="00846C0A">
        <w:rPr>
          <w:i/>
        </w:rPr>
        <w:t>Urban Design Strategy</w:t>
      </w:r>
      <w:r w:rsidRPr="00846C0A">
        <w:t xml:space="preserve">, to ‘employment’ in the </w:t>
      </w:r>
      <w:r>
        <w:t xml:space="preserve">draft </w:t>
      </w:r>
      <w:r w:rsidRPr="00846C0A">
        <w:t>Framework</w:t>
      </w:r>
      <w:r>
        <w:t>,</w:t>
      </w:r>
      <w:r w:rsidRPr="00846C0A">
        <w:t xml:space="preserve"> to ‘non-dwelling’ in the controls</w:t>
      </w:r>
      <w:r>
        <w:t xml:space="preserve"> (although as noted above, this report refers to ‘commercial’ in line with the </w:t>
      </w:r>
      <w:r w:rsidRPr="00846C0A">
        <w:rPr>
          <w:i/>
        </w:rPr>
        <w:t>Urban Design Strategy</w:t>
      </w:r>
      <w:r>
        <w:t>)</w:t>
      </w:r>
    </w:p>
    <w:p w:rsidR="005912AF" w:rsidRPr="00846C0A" w:rsidRDefault="005912AF" w:rsidP="005912AF">
      <w:pPr>
        <w:pStyle w:val="PPVBullet1"/>
      </w:pPr>
      <w:r w:rsidRPr="00846C0A">
        <w:t xml:space="preserve">it was </w:t>
      </w:r>
      <w:r>
        <w:t xml:space="preserve">originally </w:t>
      </w:r>
      <w:r w:rsidRPr="00846C0A">
        <w:t xml:space="preserve">proposed as a </w:t>
      </w:r>
      <w:r w:rsidRPr="00846C0A">
        <w:rPr>
          <w:u w:val="single"/>
        </w:rPr>
        <w:t>minimum</w:t>
      </w:r>
      <w:r w:rsidRPr="00846C0A">
        <w:t xml:space="preserve"> requirement in core areas, but was changed to be a</w:t>
      </w:r>
      <w:r>
        <w:t xml:space="preserve"> part of the</w:t>
      </w:r>
      <w:r w:rsidRPr="00846C0A">
        <w:t xml:space="preserve"> </w:t>
      </w:r>
      <w:r w:rsidRPr="00846C0A">
        <w:rPr>
          <w:u w:val="single"/>
        </w:rPr>
        <w:t>maximum</w:t>
      </w:r>
      <w:r w:rsidRPr="00846C0A">
        <w:t xml:space="preserve"> </w:t>
      </w:r>
      <w:r>
        <w:t xml:space="preserve">FAR </w:t>
      </w:r>
      <w:r w:rsidRPr="00846C0A">
        <w:t xml:space="preserve">in the Part C </w:t>
      </w:r>
      <w:r>
        <w:t xml:space="preserve">version (although </w:t>
      </w:r>
      <w:r w:rsidRPr="00846C0A">
        <w:t xml:space="preserve">the Part C </w:t>
      </w:r>
      <w:r>
        <w:t xml:space="preserve">version of </w:t>
      </w:r>
      <w:r w:rsidRPr="00846C0A">
        <w:t>Clause 22.XX still refers to it as a “</w:t>
      </w:r>
      <w:r w:rsidRPr="00846C0A">
        <w:rPr>
          <w:i/>
        </w:rPr>
        <w:t>preferred minimum FAR which should be set aside for a use other than Dwelling”</w:t>
      </w:r>
      <w:r w:rsidRPr="00846C0A">
        <w:rPr>
          <w:rStyle w:val="FootnoteReference"/>
        </w:rPr>
        <w:footnoteReference w:id="42"/>
      </w:r>
      <w:r>
        <w:t>).</w:t>
      </w:r>
    </w:p>
    <w:p w:rsidR="005912AF" w:rsidRDefault="005912AF" w:rsidP="005912AF">
      <w:pPr>
        <w:pStyle w:val="Heading4"/>
      </w:pPr>
      <w:r>
        <w:t>Submissions and evidence</w:t>
      </w:r>
    </w:p>
    <w:p w:rsidR="005912AF" w:rsidRDefault="005912AF" w:rsidP="005912AF">
      <w:pPr>
        <w:pStyle w:val="PPVBody"/>
      </w:pPr>
      <w:r>
        <w:t>One of the factors used to derive the FARs was t</w:t>
      </w:r>
      <w:r w:rsidRPr="000C3268">
        <w:t>he target population of 80,000 residents and 40,000 jobs</w:t>
      </w:r>
      <w:r>
        <w:t>.  The Minister submitted in Part A:</w:t>
      </w:r>
    </w:p>
    <w:p w:rsidR="005912AF" w:rsidRDefault="005912AF" w:rsidP="005912AF">
      <w:pPr>
        <w:pStyle w:val="PPVQuote"/>
      </w:pPr>
      <w:r>
        <w:t>The target population and the FAR are matched, that is, the FAR provides sufficient development yield to deliver 80,000 residents and 40,000 jobs (with the remaining 40,000 jobs occurring in the Employment Precinct).  Any change in the target population would need to be reconciled with changes to the FARs applied across Fishermans Bend.</w:t>
      </w:r>
      <w:r w:rsidRPr="00376D79">
        <w:rPr>
          <w:rStyle w:val="FootnoteReference"/>
        </w:rPr>
        <w:t xml:space="preserve"> </w:t>
      </w:r>
      <w:r>
        <w:rPr>
          <w:rStyle w:val="FootnoteReference"/>
        </w:rPr>
        <w:footnoteReference w:id="43"/>
      </w:r>
    </w:p>
    <w:p w:rsidR="005912AF" w:rsidRDefault="005912AF" w:rsidP="005912AF">
      <w:pPr>
        <w:pStyle w:val="PPVBody"/>
      </w:pPr>
      <w:r>
        <w:lastRenderedPageBreak/>
        <w:t>The Minister submitted in Part C:</w:t>
      </w:r>
    </w:p>
    <w:p w:rsidR="005912AF" w:rsidRDefault="005912AF" w:rsidP="005912AF">
      <w:pPr>
        <w:pStyle w:val="PPVQuote"/>
      </w:pPr>
      <w:r w:rsidRPr="006556DA">
        <w:t>So, notwithstanding assertions by various submitters, the Review Panel must not proceed on the basis that decanting 80,000 people into homes in Fishermans Bend was the sole criterion which informed the FARs.</w:t>
      </w:r>
      <w:r w:rsidRPr="00376D79">
        <w:rPr>
          <w:rStyle w:val="FootnoteReference"/>
          <w:i w:val="0"/>
        </w:rPr>
        <w:t xml:space="preserve"> </w:t>
      </w:r>
      <w:r w:rsidRPr="00DA1162">
        <w:rPr>
          <w:rStyle w:val="FootnoteReference"/>
          <w:i w:val="0"/>
        </w:rPr>
        <w:footnoteReference w:id="44"/>
      </w:r>
    </w:p>
    <w:p w:rsidR="00785416" w:rsidRDefault="005912AF" w:rsidP="005912AF">
      <w:pPr>
        <w:pStyle w:val="PPVBody"/>
      </w:pPr>
      <w:r>
        <w:t>There was criticism in submissions that the FARs had been set unnecessarily low because of the restrictive nature of the population and jobs targets.  There was also criticism that population was the wrong starting point for setting the FARs – a case of the ‘tail wagging the dog’ – and the starting point should have been the desired urban form.</w:t>
      </w:r>
    </w:p>
    <w:p w:rsidR="005912AF" w:rsidRDefault="005912AF" w:rsidP="005912AF">
      <w:pPr>
        <w:pStyle w:val="PPVBody"/>
      </w:pPr>
      <w:r w:rsidRPr="00A312CA">
        <w:t>The Minister’s description of the process</w:t>
      </w:r>
      <w:r>
        <w:t xml:space="preserve"> of calculating the FARs</w:t>
      </w:r>
      <w:r w:rsidRPr="00A312CA">
        <w:t xml:space="preserve">, shown in </w:t>
      </w:r>
      <w:r>
        <w:fldChar w:fldCharType="begin"/>
      </w:r>
      <w:r>
        <w:instrText xml:space="preserve"> REF _Ref519592314 \h </w:instrText>
      </w:r>
      <w:r>
        <w:fldChar w:fldCharType="separate"/>
      </w:r>
      <w:r w:rsidR="00A307EC">
        <w:t xml:space="preserve">Table </w:t>
      </w:r>
      <w:r w:rsidR="00A307EC">
        <w:rPr>
          <w:noProof/>
        </w:rPr>
        <w:t>10</w:t>
      </w:r>
      <w:r>
        <w:fldChar w:fldCharType="end"/>
      </w:r>
      <w:r w:rsidRPr="00A312CA">
        <w:t xml:space="preserve">, suggests that total </w:t>
      </w:r>
      <w:r w:rsidR="00827876">
        <w:t>g</w:t>
      </w:r>
      <w:r w:rsidRPr="00A312CA">
        <w:t xml:space="preserve">ross </w:t>
      </w:r>
      <w:r w:rsidR="00827876">
        <w:t>f</w:t>
      </w:r>
      <w:r w:rsidRPr="00A312CA">
        <w:t xml:space="preserve">loor </w:t>
      </w:r>
      <w:r w:rsidR="00827876">
        <w:t>a</w:t>
      </w:r>
      <w:r w:rsidRPr="00A312CA">
        <w:t xml:space="preserve">rea (GFA) required to accommodate 80,000 residents and 40,000 jobs was the </w:t>
      </w:r>
      <w:r>
        <w:t>star</w:t>
      </w:r>
      <w:r w:rsidRPr="00A312CA">
        <w:t>ting point</w:t>
      </w:r>
      <w:r>
        <w:t xml:space="preserve"> for calculating the FAR</w:t>
      </w:r>
      <w:r w:rsidRPr="00A312CA">
        <w:t xml:space="preserve">.  </w:t>
      </w:r>
      <w:r w:rsidR="00126AA9">
        <w:t>This is discussed in Chapter 6.</w:t>
      </w:r>
    </w:p>
    <w:p w:rsidR="005912AF" w:rsidRDefault="005912AF" w:rsidP="005912AF">
      <w:pPr>
        <w:pStyle w:val="Caption"/>
      </w:pPr>
      <w:bookmarkStart w:id="258" w:name="_Ref519592314"/>
      <w:bookmarkStart w:id="259" w:name="_Toc519339174"/>
      <w:bookmarkStart w:id="260" w:name="_Toc519439823"/>
      <w:bookmarkStart w:id="261" w:name="_Toc519719135"/>
      <w:bookmarkStart w:id="262" w:name="_Toc519710358"/>
      <w:r>
        <w:t xml:space="preserve">Table </w:t>
      </w:r>
      <w:r>
        <w:rPr>
          <w:noProof/>
        </w:rPr>
        <w:fldChar w:fldCharType="begin"/>
      </w:r>
      <w:r>
        <w:rPr>
          <w:noProof/>
        </w:rPr>
        <w:instrText xml:space="preserve"> SEQ Table \* ARABIC </w:instrText>
      </w:r>
      <w:r>
        <w:rPr>
          <w:noProof/>
        </w:rPr>
        <w:fldChar w:fldCharType="separate"/>
      </w:r>
      <w:r w:rsidR="00A307EC">
        <w:rPr>
          <w:noProof/>
        </w:rPr>
        <w:t>10</w:t>
      </w:r>
      <w:r>
        <w:rPr>
          <w:noProof/>
        </w:rPr>
        <w:fldChar w:fldCharType="end"/>
      </w:r>
      <w:bookmarkEnd w:id="258"/>
      <w:r>
        <w:t>:</w:t>
      </w:r>
      <w:r>
        <w:tab/>
        <w:t>How the FAR was calculated (as described by the Minister</w:t>
      </w:r>
      <w:bookmarkEnd w:id="259"/>
      <w:r>
        <w:t>)</w:t>
      </w:r>
      <w:bookmarkEnd w:id="260"/>
      <w:bookmarkEnd w:id="261"/>
      <w:bookmarkEnd w:id="262"/>
    </w:p>
    <w:tbl>
      <w:tblPr>
        <w:tblW w:w="0" w:type="auto"/>
        <w:tblInd w:w="108" w:type="dxa"/>
        <w:tblBorders>
          <w:bottom w:val="single" w:sz="12" w:space="0" w:color="215868"/>
          <w:insideH w:val="dotted" w:sz="4" w:space="0" w:color="auto"/>
        </w:tblBorders>
        <w:tblLayout w:type="fixed"/>
        <w:tblLook w:val="04A0" w:firstRow="1" w:lastRow="0" w:firstColumn="1" w:lastColumn="0" w:noHBand="0" w:noVBand="1"/>
      </w:tblPr>
      <w:tblGrid>
        <w:gridCol w:w="1134"/>
        <w:gridCol w:w="8044"/>
      </w:tblGrid>
      <w:tr w:rsidR="005912AF" w:rsidRPr="000D32C7" w:rsidTr="005912AF">
        <w:trPr>
          <w:cantSplit/>
          <w:tblHeader/>
        </w:trPr>
        <w:tc>
          <w:tcPr>
            <w:tcW w:w="1134" w:type="dxa"/>
            <w:tcBorders>
              <w:top w:val="nil"/>
              <w:bottom w:val="dotted" w:sz="4" w:space="0" w:color="auto"/>
            </w:tcBorders>
            <w:shd w:val="clear" w:color="auto" w:fill="215868"/>
            <w:vAlign w:val="bottom"/>
          </w:tcPr>
          <w:p w:rsidR="005912AF" w:rsidRPr="00AF6604" w:rsidRDefault="005912AF" w:rsidP="005912AF">
            <w:pPr>
              <w:pStyle w:val="PPVTableHeader"/>
            </w:pPr>
            <w:r w:rsidRPr="00AF6604">
              <w:t>Step</w:t>
            </w:r>
          </w:p>
        </w:tc>
        <w:tc>
          <w:tcPr>
            <w:tcW w:w="8044" w:type="dxa"/>
            <w:tcBorders>
              <w:top w:val="nil"/>
              <w:bottom w:val="dotted" w:sz="4" w:space="0" w:color="auto"/>
            </w:tcBorders>
            <w:shd w:val="clear" w:color="auto" w:fill="215868"/>
            <w:vAlign w:val="bottom"/>
          </w:tcPr>
          <w:p w:rsidR="005912AF" w:rsidRPr="00AF6604" w:rsidRDefault="005912AF" w:rsidP="005912AF">
            <w:pPr>
              <w:pStyle w:val="PPVTableHeader"/>
            </w:pPr>
            <w:r w:rsidRPr="00AF6604">
              <w:t>Calculation</w:t>
            </w:r>
          </w:p>
        </w:tc>
      </w:tr>
      <w:tr w:rsidR="005912AF" w:rsidRPr="00A312CA" w:rsidTr="005912AF">
        <w:trPr>
          <w:cantSplit/>
        </w:trPr>
        <w:tc>
          <w:tcPr>
            <w:tcW w:w="1134" w:type="dxa"/>
            <w:tcBorders>
              <w:top w:val="dotted" w:sz="4" w:space="0" w:color="auto"/>
            </w:tcBorders>
            <w:shd w:val="clear" w:color="auto" w:fill="auto"/>
          </w:tcPr>
          <w:p w:rsidR="005912AF" w:rsidRPr="00AF6604" w:rsidRDefault="005912AF" w:rsidP="005912AF">
            <w:pPr>
              <w:pStyle w:val="PPVTableText"/>
              <w:rPr>
                <w:szCs w:val="20"/>
              </w:rPr>
            </w:pPr>
            <w:r w:rsidRPr="00AF6604">
              <w:rPr>
                <w:szCs w:val="20"/>
              </w:rPr>
              <w:t>Step 1</w:t>
            </w:r>
          </w:p>
        </w:tc>
        <w:tc>
          <w:tcPr>
            <w:tcW w:w="8044" w:type="dxa"/>
            <w:tcBorders>
              <w:top w:val="dotted" w:sz="4" w:space="0" w:color="auto"/>
            </w:tcBorders>
            <w:shd w:val="clear" w:color="auto" w:fill="auto"/>
          </w:tcPr>
          <w:p w:rsidR="005912AF" w:rsidRPr="00AF6604" w:rsidRDefault="005912AF" w:rsidP="005912AF">
            <w:pPr>
              <w:pStyle w:val="PPVTableText"/>
              <w:rPr>
                <w:szCs w:val="20"/>
              </w:rPr>
            </w:pPr>
            <w:r w:rsidRPr="00AF6604">
              <w:rPr>
                <w:szCs w:val="20"/>
              </w:rPr>
              <w:t>The total GFA required to accommodate 80,000 residents and 40,000 jobs was calculated</w:t>
            </w:r>
            <w:r w:rsidR="0074522A">
              <w:rPr>
                <w:szCs w:val="20"/>
              </w:rPr>
              <w:t>.</w:t>
            </w:r>
          </w:p>
        </w:tc>
      </w:tr>
      <w:tr w:rsidR="005912AF" w:rsidRPr="00A312CA" w:rsidTr="005912AF">
        <w:trPr>
          <w:cantSplit/>
        </w:trPr>
        <w:tc>
          <w:tcPr>
            <w:tcW w:w="1134" w:type="dxa"/>
            <w:shd w:val="clear" w:color="auto" w:fill="auto"/>
          </w:tcPr>
          <w:p w:rsidR="005912AF" w:rsidRPr="00AF6604" w:rsidRDefault="005912AF" w:rsidP="005912AF">
            <w:pPr>
              <w:pStyle w:val="PPVTableText"/>
              <w:rPr>
                <w:szCs w:val="20"/>
              </w:rPr>
            </w:pPr>
            <w:r w:rsidRPr="00AF6604">
              <w:rPr>
                <w:szCs w:val="20"/>
              </w:rPr>
              <w:t>Step 2</w:t>
            </w:r>
          </w:p>
        </w:tc>
        <w:tc>
          <w:tcPr>
            <w:tcW w:w="8044" w:type="dxa"/>
            <w:shd w:val="clear" w:color="auto" w:fill="auto"/>
          </w:tcPr>
          <w:p w:rsidR="005912AF" w:rsidRPr="00AF6604" w:rsidRDefault="005912AF" w:rsidP="005912AF">
            <w:pPr>
              <w:pStyle w:val="PPVTableText"/>
              <w:rPr>
                <w:szCs w:val="20"/>
              </w:rPr>
            </w:pPr>
            <w:r w:rsidRPr="00AF6604">
              <w:rPr>
                <w:szCs w:val="20"/>
              </w:rPr>
              <w:t xml:space="preserve">The GFA was adjusted to account for existing buildings under construction and approvals for development (it </w:t>
            </w:r>
            <w:r>
              <w:rPr>
                <w:szCs w:val="20"/>
              </w:rPr>
              <w:t>was</w:t>
            </w:r>
            <w:r w:rsidRPr="00AF6604">
              <w:rPr>
                <w:szCs w:val="20"/>
              </w:rPr>
              <w:t xml:space="preserve"> assumed that 90 per cent of all approved dwellings will proceed</w:t>
            </w:r>
            <w:r w:rsidRPr="00820B43">
              <w:rPr>
                <w:rStyle w:val="FootnoteReference"/>
                <w:szCs w:val="20"/>
              </w:rPr>
              <w:footnoteReference w:id="45"/>
            </w:r>
            <w:r w:rsidRPr="00AF6604">
              <w:rPr>
                <w:szCs w:val="20"/>
              </w:rPr>
              <w:t>)</w:t>
            </w:r>
            <w:r>
              <w:rPr>
                <w:szCs w:val="20"/>
              </w:rPr>
              <w:t>.  The GFA</w:t>
            </w:r>
            <w:r w:rsidRPr="00AF6604">
              <w:rPr>
                <w:szCs w:val="20"/>
              </w:rPr>
              <w:t xml:space="preserve"> does not account for any </w:t>
            </w:r>
            <w:r>
              <w:rPr>
                <w:szCs w:val="20"/>
              </w:rPr>
              <w:t xml:space="preserve">floorspace reflected in live permit applications, or any </w:t>
            </w:r>
            <w:r w:rsidRPr="00AF6604">
              <w:rPr>
                <w:szCs w:val="20"/>
              </w:rPr>
              <w:t>FAU</w:t>
            </w:r>
            <w:r w:rsidR="0074522A">
              <w:rPr>
                <w:szCs w:val="20"/>
              </w:rPr>
              <w:t>.</w:t>
            </w:r>
          </w:p>
        </w:tc>
      </w:tr>
      <w:tr w:rsidR="005912AF" w:rsidRPr="000D32C7" w:rsidTr="005912AF">
        <w:trPr>
          <w:cantSplit/>
        </w:trPr>
        <w:tc>
          <w:tcPr>
            <w:tcW w:w="1134" w:type="dxa"/>
            <w:shd w:val="clear" w:color="auto" w:fill="auto"/>
          </w:tcPr>
          <w:p w:rsidR="005912AF" w:rsidRPr="00AF6604" w:rsidRDefault="005912AF" w:rsidP="005912AF">
            <w:pPr>
              <w:pStyle w:val="PPVTableText"/>
              <w:rPr>
                <w:szCs w:val="20"/>
              </w:rPr>
            </w:pPr>
            <w:r w:rsidRPr="00AF6604">
              <w:rPr>
                <w:szCs w:val="20"/>
              </w:rPr>
              <w:t>Step 3</w:t>
            </w:r>
          </w:p>
        </w:tc>
        <w:tc>
          <w:tcPr>
            <w:tcW w:w="8044" w:type="dxa"/>
            <w:shd w:val="clear" w:color="auto" w:fill="auto"/>
          </w:tcPr>
          <w:p w:rsidR="005912AF" w:rsidRPr="00AF6604" w:rsidRDefault="005912AF" w:rsidP="005912AF">
            <w:pPr>
              <w:pStyle w:val="PPVTableText"/>
              <w:rPr>
                <w:szCs w:val="20"/>
              </w:rPr>
            </w:pPr>
            <w:r w:rsidRPr="00AF6604">
              <w:rPr>
                <w:szCs w:val="20"/>
              </w:rPr>
              <w:t xml:space="preserve">The adjusted GFA was distributed between the four </w:t>
            </w:r>
            <w:r>
              <w:rPr>
                <w:szCs w:val="20"/>
              </w:rPr>
              <w:t>P</w:t>
            </w:r>
            <w:r w:rsidRPr="00AF6604">
              <w:rPr>
                <w:szCs w:val="20"/>
              </w:rPr>
              <w:t>recincts according to the overall vision – land use, character and housing diversity – and the transport strategy</w:t>
            </w:r>
            <w:r w:rsidR="0074522A">
              <w:rPr>
                <w:szCs w:val="20"/>
              </w:rPr>
              <w:t>.</w:t>
            </w:r>
          </w:p>
        </w:tc>
      </w:tr>
      <w:tr w:rsidR="005912AF" w:rsidRPr="000D32C7" w:rsidTr="005912AF">
        <w:trPr>
          <w:cantSplit/>
        </w:trPr>
        <w:tc>
          <w:tcPr>
            <w:tcW w:w="1134" w:type="dxa"/>
            <w:shd w:val="clear" w:color="auto" w:fill="auto"/>
          </w:tcPr>
          <w:p w:rsidR="005912AF" w:rsidRPr="00AF6604" w:rsidRDefault="005912AF" w:rsidP="005912AF">
            <w:pPr>
              <w:pStyle w:val="PPVTableText"/>
              <w:rPr>
                <w:szCs w:val="20"/>
              </w:rPr>
            </w:pPr>
            <w:r w:rsidRPr="00AF6604">
              <w:rPr>
                <w:szCs w:val="20"/>
              </w:rPr>
              <w:t>Step 4</w:t>
            </w:r>
          </w:p>
        </w:tc>
        <w:tc>
          <w:tcPr>
            <w:tcW w:w="8044" w:type="dxa"/>
            <w:shd w:val="clear" w:color="auto" w:fill="auto"/>
          </w:tcPr>
          <w:p w:rsidR="005912AF" w:rsidRPr="00AF6604" w:rsidRDefault="0074522A" w:rsidP="005912AF">
            <w:pPr>
              <w:pStyle w:val="PPVTableText"/>
              <w:rPr>
                <w:szCs w:val="20"/>
              </w:rPr>
            </w:pPr>
            <w:r>
              <w:rPr>
                <w:szCs w:val="20"/>
              </w:rPr>
              <w:t>The P</w:t>
            </w:r>
            <w:r w:rsidR="005912AF" w:rsidRPr="00AF6604">
              <w:rPr>
                <w:szCs w:val="20"/>
              </w:rPr>
              <w:t>recinct level GFA was split into core and non-core areas based on transport provision and the desired character of the core and non-core areas</w:t>
            </w:r>
            <w:r>
              <w:rPr>
                <w:szCs w:val="20"/>
              </w:rPr>
              <w:t>.</w:t>
            </w:r>
          </w:p>
        </w:tc>
      </w:tr>
      <w:tr w:rsidR="005912AF" w:rsidRPr="000D32C7" w:rsidTr="005912AF">
        <w:trPr>
          <w:cantSplit/>
        </w:trPr>
        <w:tc>
          <w:tcPr>
            <w:tcW w:w="1134" w:type="dxa"/>
            <w:shd w:val="clear" w:color="auto" w:fill="auto"/>
          </w:tcPr>
          <w:p w:rsidR="005912AF" w:rsidRPr="00AF6604" w:rsidRDefault="005912AF" w:rsidP="005912AF">
            <w:pPr>
              <w:pStyle w:val="PPVTableText"/>
              <w:rPr>
                <w:szCs w:val="20"/>
              </w:rPr>
            </w:pPr>
            <w:r w:rsidRPr="00AF6604">
              <w:rPr>
                <w:szCs w:val="20"/>
              </w:rPr>
              <w:t>Step 5</w:t>
            </w:r>
          </w:p>
        </w:tc>
        <w:tc>
          <w:tcPr>
            <w:tcW w:w="8044" w:type="dxa"/>
            <w:shd w:val="clear" w:color="auto" w:fill="auto"/>
          </w:tcPr>
          <w:p w:rsidR="005912AF" w:rsidRPr="00AF6604" w:rsidRDefault="005912AF" w:rsidP="005912AF">
            <w:pPr>
              <w:pStyle w:val="PPVTableText"/>
              <w:rPr>
                <w:szCs w:val="20"/>
              </w:rPr>
            </w:pPr>
            <w:r w:rsidRPr="00AF6604">
              <w:rPr>
                <w:szCs w:val="20"/>
              </w:rPr>
              <w:t xml:space="preserve">The GFA was converted into a FAR control by dividing the GFA by the </w:t>
            </w:r>
            <w:r w:rsidR="00FC563B">
              <w:rPr>
                <w:szCs w:val="20"/>
              </w:rPr>
              <w:t>gross developable area</w:t>
            </w:r>
            <w:r w:rsidRPr="00820B43">
              <w:rPr>
                <w:rStyle w:val="FootnoteReference"/>
                <w:szCs w:val="20"/>
              </w:rPr>
              <w:footnoteReference w:id="46"/>
            </w:r>
            <w:r w:rsidRPr="00AF6604">
              <w:rPr>
                <w:szCs w:val="20"/>
              </w:rPr>
              <w:t xml:space="preserve"> assuming that every site will redevelop by 2050</w:t>
            </w:r>
            <w:r w:rsidR="00A20986">
              <w:rPr>
                <w:szCs w:val="20"/>
              </w:rPr>
              <w:t>.</w:t>
            </w:r>
          </w:p>
        </w:tc>
      </w:tr>
      <w:tr w:rsidR="005912AF" w:rsidRPr="000D32C7" w:rsidTr="005912AF">
        <w:trPr>
          <w:cantSplit/>
        </w:trPr>
        <w:tc>
          <w:tcPr>
            <w:tcW w:w="1134" w:type="dxa"/>
            <w:shd w:val="clear" w:color="auto" w:fill="auto"/>
          </w:tcPr>
          <w:p w:rsidR="005912AF" w:rsidRPr="00AF6604" w:rsidRDefault="005912AF" w:rsidP="005912AF">
            <w:pPr>
              <w:pStyle w:val="PPVTableText"/>
              <w:rPr>
                <w:szCs w:val="20"/>
              </w:rPr>
            </w:pPr>
            <w:r w:rsidRPr="00AF6604">
              <w:rPr>
                <w:szCs w:val="20"/>
              </w:rPr>
              <w:t>Step 6</w:t>
            </w:r>
          </w:p>
        </w:tc>
        <w:tc>
          <w:tcPr>
            <w:tcW w:w="8044" w:type="dxa"/>
            <w:shd w:val="clear" w:color="auto" w:fill="auto"/>
          </w:tcPr>
          <w:p w:rsidR="005912AF" w:rsidRPr="00AF6604" w:rsidRDefault="005912AF" w:rsidP="005912AF">
            <w:pPr>
              <w:pStyle w:val="PPVTableText"/>
              <w:rPr>
                <w:szCs w:val="20"/>
              </w:rPr>
            </w:pPr>
            <w:r w:rsidRPr="00AF6604">
              <w:rPr>
                <w:szCs w:val="20"/>
              </w:rPr>
              <w:t xml:space="preserve">The FAR was increased to acknowledge that not every site is expected to develop by 2050.  It </w:t>
            </w:r>
            <w:r>
              <w:rPr>
                <w:szCs w:val="20"/>
              </w:rPr>
              <w:t>was</w:t>
            </w:r>
            <w:r w:rsidRPr="00AF6604">
              <w:rPr>
                <w:szCs w:val="20"/>
              </w:rPr>
              <w:t xml:space="preserve"> adjusted to meet the 2050 target population</w:t>
            </w:r>
            <w:r>
              <w:rPr>
                <w:szCs w:val="20"/>
              </w:rPr>
              <w:t xml:space="preserve"> </w:t>
            </w:r>
            <w:r w:rsidRPr="00AF6604">
              <w:rPr>
                <w:szCs w:val="20"/>
              </w:rPr>
              <w:t>on the assumption that 75 per cent of land will be re</w:t>
            </w:r>
            <w:r>
              <w:rPr>
                <w:szCs w:val="20"/>
              </w:rPr>
              <w:t>developed</w:t>
            </w:r>
            <w:r w:rsidRPr="00AF6604">
              <w:rPr>
                <w:szCs w:val="20"/>
              </w:rPr>
              <w:t xml:space="preserve"> by 2050</w:t>
            </w:r>
            <w:r w:rsidR="0074522A">
              <w:rPr>
                <w:szCs w:val="20"/>
              </w:rPr>
              <w:t>.</w:t>
            </w:r>
          </w:p>
        </w:tc>
      </w:tr>
      <w:tr w:rsidR="005912AF" w:rsidRPr="000D32C7" w:rsidTr="005912AF">
        <w:trPr>
          <w:cantSplit/>
        </w:trPr>
        <w:tc>
          <w:tcPr>
            <w:tcW w:w="1134" w:type="dxa"/>
            <w:shd w:val="clear" w:color="auto" w:fill="auto"/>
          </w:tcPr>
          <w:p w:rsidR="005912AF" w:rsidRPr="00AF6604" w:rsidRDefault="005912AF" w:rsidP="005912AF">
            <w:pPr>
              <w:pStyle w:val="PPVTableText"/>
              <w:rPr>
                <w:szCs w:val="20"/>
              </w:rPr>
            </w:pPr>
            <w:r w:rsidRPr="00AF6604">
              <w:rPr>
                <w:szCs w:val="20"/>
              </w:rPr>
              <w:t>Step 7</w:t>
            </w:r>
          </w:p>
        </w:tc>
        <w:tc>
          <w:tcPr>
            <w:tcW w:w="8044" w:type="dxa"/>
            <w:shd w:val="clear" w:color="auto" w:fill="auto"/>
          </w:tcPr>
          <w:p w:rsidR="005912AF" w:rsidRPr="00AF6604" w:rsidRDefault="005912AF" w:rsidP="005912AF">
            <w:pPr>
              <w:pStyle w:val="PPVTableText"/>
              <w:rPr>
                <w:szCs w:val="20"/>
              </w:rPr>
            </w:pPr>
            <w:r w:rsidRPr="00AF6604">
              <w:rPr>
                <w:szCs w:val="20"/>
              </w:rPr>
              <w:t xml:space="preserve">This results in the final proposed FAR as included in the </w:t>
            </w:r>
            <w:r w:rsidRPr="00AF6604">
              <w:rPr>
                <w:i/>
                <w:szCs w:val="20"/>
              </w:rPr>
              <w:t>Urban Design Strategy</w:t>
            </w:r>
            <w:r w:rsidR="0074522A">
              <w:rPr>
                <w:i/>
                <w:szCs w:val="20"/>
              </w:rPr>
              <w:t>.</w:t>
            </w:r>
          </w:p>
        </w:tc>
      </w:tr>
    </w:tbl>
    <w:p w:rsidR="005912AF" w:rsidRDefault="005912AF" w:rsidP="005912AF">
      <w:pPr>
        <w:pStyle w:val="PPVSource"/>
      </w:pPr>
      <w:bookmarkStart w:id="263" w:name="_Toc519339175"/>
      <w:r>
        <w:t>Source</w:t>
      </w:r>
      <w:r w:rsidR="0074522A">
        <w:t>:</w:t>
      </w:r>
      <w:r w:rsidR="0074522A">
        <w:tab/>
        <w:t>Prepared by Review Panel from</w:t>
      </w:r>
      <w:r>
        <w:t xml:space="preserve"> Minister’s Part A submission [161]</w:t>
      </w:r>
    </w:p>
    <w:p w:rsidR="005912AF" w:rsidRDefault="005912AF" w:rsidP="005912AF">
      <w:pPr>
        <w:pStyle w:val="PPVBody"/>
      </w:pPr>
      <w:r w:rsidRPr="00C4453F">
        <w:t xml:space="preserve">Step 3 involved distributing the FAR between the different Precincts.  </w:t>
      </w:r>
      <w:r w:rsidRPr="00744C08">
        <w:t xml:space="preserve">The </w:t>
      </w:r>
      <w:r w:rsidRPr="004E44AE">
        <w:rPr>
          <w:i/>
        </w:rPr>
        <w:t>Urban Design Strategy</w:t>
      </w:r>
      <w:r>
        <w:rPr>
          <w:i/>
        </w:rPr>
        <w:t xml:space="preserve"> </w:t>
      </w:r>
      <w:r>
        <w:t xml:space="preserve">provided the background to how this was done.  The distribution of the FARs was influenced by five </w:t>
      </w:r>
      <w:r w:rsidRPr="002B4EC8">
        <w:rPr>
          <w:i/>
        </w:rPr>
        <w:t>“key drivers”</w:t>
      </w:r>
      <w:r>
        <w:t>:</w:t>
      </w:r>
      <w:r w:rsidRPr="00004679">
        <w:rPr>
          <w:rStyle w:val="FootnoteReference"/>
        </w:rPr>
        <w:t xml:space="preserve"> </w:t>
      </w:r>
      <w:r w:rsidRPr="00820B43">
        <w:rPr>
          <w:rStyle w:val="FootnoteReference"/>
        </w:rPr>
        <w:footnoteReference w:id="47"/>
      </w:r>
    </w:p>
    <w:p w:rsidR="005912AF" w:rsidRDefault="005912AF" w:rsidP="005912AF">
      <w:pPr>
        <w:pStyle w:val="PPVBullet1"/>
      </w:pPr>
      <w:r>
        <w:t>alignment with the Precinct residential and employment population targets for 2050</w:t>
      </w:r>
    </w:p>
    <w:p w:rsidR="005912AF" w:rsidRDefault="005912AF" w:rsidP="005912AF">
      <w:pPr>
        <w:pStyle w:val="PPVBullet1"/>
      </w:pPr>
      <w:r>
        <w:t>alignment with the transport strategy to ensure the highest densities are located in the core areas</w:t>
      </w:r>
    </w:p>
    <w:p w:rsidR="005912AF" w:rsidRDefault="005912AF" w:rsidP="005912AF">
      <w:pPr>
        <w:pStyle w:val="PPVBullet1"/>
      </w:pPr>
      <w:r>
        <w:t>delivering the minimum amount of commercial development needed to realise the job targets</w:t>
      </w:r>
    </w:p>
    <w:p w:rsidR="00785416" w:rsidRDefault="005912AF" w:rsidP="005912AF">
      <w:pPr>
        <w:pStyle w:val="PPVBullet1"/>
      </w:pPr>
      <w:r>
        <w:lastRenderedPageBreak/>
        <w:t>moderating FARs for development delivery trends to ensure that population targets are met by 2050 (that is, the 75 per cent build out assumption applied in Step 6)</w:t>
      </w:r>
    </w:p>
    <w:p w:rsidR="005912AF" w:rsidRDefault="005912AF" w:rsidP="005912AF">
      <w:pPr>
        <w:pStyle w:val="PPVBullet1"/>
      </w:pPr>
      <w:r>
        <w:t>aligning FAR controls with preferred built form outcomes to ensure that the desired neighbourhood character and housing diversity are achievable.</w:t>
      </w:r>
    </w:p>
    <w:p w:rsidR="00785416" w:rsidRDefault="005912AF" w:rsidP="005912AF">
      <w:pPr>
        <w:pStyle w:val="PPVBody"/>
      </w:pPr>
      <w:r w:rsidRPr="00004679">
        <w:fldChar w:fldCharType="begin"/>
      </w:r>
      <w:r w:rsidRPr="00004679">
        <w:instrText xml:space="preserve"> REF _Ref519592580 \h </w:instrText>
      </w:r>
      <w:r>
        <w:instrText xml:space="preserve"> \* MERGEFORMAT </w:instrText>
      </w:r>
      <w:r w:rsidRPr="00004679">
        <w:fldChar w:fldCharType="separate"/>
      </w:r>
      <w:r w:rsidR="00A307EC" w:rsidRPr="00645EB8">
        <w:t xml:space="preserve">Table </w:t>
      </w:r>
      <w:r w:rsidR="00A307EC">
        <w:rPr>
          <w:noProof/>
        </w:rPr>
        <w:t>11</w:t>
      </w:r>
      <w:r w:rsidRPr="00004679">
        <w:fldChar w:fldCharType="end"/>
      </w:r>
      <w:r w:rsidRPr="00004679">
        <w:t xml:space="preserve"> shows the Precinct population figures used in the </w:t>
      </w:r>
      <w:r w:rsidRPr="00004679">
        <w:rPr>
          <w:i/>
        </w:rPr>
        <w:t>Urban Design Strategy</w:t>
      </w:r>
      <w:r w:rsidRPr="00004679">
        <w:t xml:space="preserve"> to</w:t>
      </w:r>
      <w:r>
        <w:t xml:space="preserve"> distribute the FAR, and </w:t>
      </w:r>
      <w:r w:rsidRPr="00DE6EAF">
        <w:t>compare</w:t>
      </w:r>
      <w:r>
        <w:t xml:space="preserve">s them </w:t>
      </w:r>
      <w:r w:rsidRPr="00DE6EAF">
        <w:t>to the demographic projections</w:t>
      </w:r>
      <w:r>
        <w:t xml:space="preserve"> for each Precinct set out in the </w:t>
      </w:r>
      <w:r w:rsidRPr="00004679">
        <w:rPr>
          <w:i/>
        </w:rPr>
        <w:t>Fishermans Bend Population and Demographics</w:t>
      </w:r>
      <w:r>
        <w:t xml:space="preserve"> report (September 2016) prepared by DELWP</w:t>
      </w:r>
      <w:r w:rsidRPr="00DE6EAF">
        <w:t>.</w:t>
      </w:r>
    </w:p>
    <w:p w:rsidR="005912AF" w:rsidRDefault="005912AF" w:rsidP="005912AF">
      <w:pPr>
        <w:pStyle w:val="Caption"/>
      </w:pPr>
      <w:bookmarkStart w:id="264" w:name="_Ref519592580"/>
      <w:bookmarkStart w:id="265" w:name="_Toc519439824"/>
      <w:bookmarkStart w:id="266" w:name="_Toc519719136"/>
      <w:bookmarkStart w:id="267" w:name="_Toc519710359"/>
      <w:r w:rsidRPr="00645EB8">
        <w:t xml:space="preserve">Table </w:t>
      </w:r>
      <w:r w:rsidRPr="00DE6EAF">
        <w:rPr>
          <w:noProof/>
        </w:rPr>
        <w:fldChar w:fldCharType="begin"/>
      </w:r>
      <w:r w:rsidRPr="00645EB8">
        <w:rPr>
          <w:noProof/>
        </w:rPr>
        <w:instrText xml:space="preserve"> SEQ Table \* ARABIC </w:instrText>
      </w:r>
      <w:r w:rsidRPr="00DE6EAF">
        <w:rPr>
          <w:noProof/>
        </w:rPr>
        <w:fldChar w:fldCharType="separate"/>
      </w:r>
      <w:r w:rsidR="00A307EC">
        <w:rPr>
          <w:noProof/>
        </w:rPr>
        <w:t>11</w:t>
      </w:r>
      <w:r w:rsidRPr="00DE6EAF">
        <w:rPr>
          <w:noProof/>
        </w:rPr>
        <w:fldChar w:fldCharType="end"/>
      </w:r>
      <w:bookmarkEnd w:id="264"/>
      <w:r w:rsidRPr="00DE6EAF">
        <w:t>:</w:t>
      </w:r>
      <w:r w:rsidRPr="00DE6EAF">
        <w:tab/>
        <w:t>Population used to derive FAR</w:t>
      </w:r>
      <w:bookmarkEnd w:id="263"/>
      <w:bookmarkEnd w:id="265"/>
      <w:bookmarkEnd w:id="266"/>
      <w:bookmarkEnd w:id="267"/>
    </w:p>
    <w:tbl>
      <w:tblPr>
        <w:tblW w:w="9046" w:type="dxa"/>
        <w:tblInd w:w="108" w:type="dxa"/>
        <w:tblBorders>
          <w:bottom w:val="single" w:sz="12" w:space="0" w:color="215868"/>
          <w:insideH w:val="dotted" w:sz="4" w:space="0" w:color="auto"/>
        </w:tblBorders>
        <w:tblLayout w:type="fixed"/>
        <w:tblLook w:val="04A0" w:firstRow="1" w:lastRow="0" w:firstColumn="1" w:lastColumn="0" w:noHBand="0" w:noVBand="1"/>
      </w:tblPr>
      <w:tblGrid>
        <w:gridCol w:w="2977"/>
        <w:gridCol w:w="1213"/>
        <w:gridCol w:w="1214"/>
        <w:gridCol w:w="1214"/>
        <w:gridCol w:w="1214"/>
        <w:gridCol w:w="1214"/>
      </w:tblGrid>
      <w:tr w:rsidR="005912AF" w:rsidRPr="002C42A3" w:rsidTr="005912AF">
        <w:trPr>
          <w:cantSplit/>
          <w:tblHeader/>
        </w:trPr>
        <w:tc>
          <w:tcPr>
            <w:tcW w:w="2977" w:type="dxa"/>
            <w:tcBorders>
              <w:top w:val="nil"/>
              <w:bottom w:val="dotted" w:sz="4" w:space="0" w:color="auto"/>
            </w:tcBorders>
            <w:shd w:val="clear" w:color="auto" w:fill="215868"/>
            <w:vAlign w:val="bottom"/>
            <w:hideMark/>
          </w:tcPr>
          <w:p w:rsidR="005912AF" w:rsidRPr="002F3FB1" w:rsidRDefault="005912AF" w:rsidP="005912AF">
            <w:pPr>
              <w:pStyle w:val="PPVTableHeader"/>
            </w:pPr>
            <w:r w:rsidRPr="002F3FB1">
              <w:t> </w:t>
            </w:r>
          </w:p>
        </w:tc>
        <w:tc>
          <w:tcPr>
            <w:tcW w:w="1213" w:type="dxa"/>
            <w:tcBorders>
              <w:top w:val="nil"/>
              <w:bottom w:val="dotted" w:sz="4" w:space="0" w:color="auto"/>
            </w:tcBorders>
            <w:shd w:val="clear" w:color="auto" w:fill="215868"/>
            <w:vAlign w:val="bottom"/>
            <w:hideMark/>
          </w:tcPr>
          <w:p w:rsidR="005912AF" w:rsidRPr="002F3FB1" w:rsidRDefault="005912AF" w:rsidP="005912AF">
            <w:pPr>
              <w:pStyle w:val="PPVTableHeader"/>
            </w:pPr>
            <w:r w:rsidRPr="002F3FB1">
              <w:t>Wirraway</w:t>
            </w:r>
          </w:p>
        </w:tc>
        <w:tc>
          <w:tcPr>
            <w:tcW w:w="1214" w:type="dxa"/>
            <w:tcBorders>
              <w:top w:val="nil"/>
              <w:bottom w:val="dotted" w:sz="4" w:space="0" w:color="auto"/>
            </w:tcBorders>
            <w:shd w:val="clear" w:color="auto" w:fill="215868"/>
            <w:vAlign w:val="bottom"/>
            <w:hideMark/>
          </w:tcPr>
          <w:p w:rsidR="005912AF" w:rsidRPr="002F3FB1" w:rsidRDefault="005912AF" w:rsidP="005912AF">
            <w:pPr>
              <w:pStyle w:val="PPVTableHeader"/>
            </w:pPr>
            <w:r w:rsidRPr="002F3FB1">
              <w:t>Sandridge</w:t>
            </w:r>
          </w:p>
        </w:tc>
        <w:tc>
          <w:tcPr>
            <w:tcW w:w="1214" w:type="dxa"/>
            <w:tcBorders>
              <w:top w:val="nil"/>
              <w:bottom w:val="dotted" w:sz="4" w:space="0" w:color="auto"/>
            </w:tcBorders>
            <w:shd w:val="clear" w:color="auto" w:fill="215868"/>
            <w:vAlign w:val="bottom"/>
            <w:hideMark/>
          </w:tcPr>
          <w:p w:rsidR="005912AF" w:rsidRPr="002F3FB1" w:rsidRDefault="005912AF" w:rsidP="005912AF">
            <w:pPr>
              <w:pStyle w:val="PPVTableHeader"/>
            </w:pPr>
            <w:r w:rsidRPr="002F3FB1">
              <w:t>Montague</w:t>
            </w:r>
          </w:p>
        </w:tc>
        <w:tc>
          <w:tcPr>
            <w:tcW w:w="1214" w:type="dxa"/>
            <w:tcBorders>
              <w:top w:val="nil"/>
              <w:bottom w:val="dotted" w:sz="4" w:space="0" w:color="auto"/>
            </w:tcBorders>
            <w:shd w:val="clear" w:color="auto" w:fill="215868"/>
            <w:vAlign w:val="bottom"/>
            <w:hideMark/>
          </w:tcPr>
          <w:p w:rsidR="005912AF" w:rsidRPr="002F3FB1" w:rsidRDefault="005912AF" w:rsidP="005912AF">
            <w:pPr>
              <w:pStyle w:val="PPVTableHeader"/>
            </w:pPr>
            <w:r w:rsidRPr="002F3FB1">
              <w:t>Lorimer</w:t>
            </w:r>
          </w:p>
        </w:tc>
        <w:tc>
          <w:tcPr>
            <w:tcW w:w="1214" w:type="dxa"/>
            <w:tcBorders>
              <w:top w:val="nil"/>
              <w:bottom w:val="dotted" w:sz="4" w:space="0" w:color="auto"/>
            </w:tcBorders>
            <w:shd w:val="clear" w:color="auto" w:fill="215868"/>
            <w:vAlign w:val="bottom"/>
            <w:hideMark/>
          </w:tcPr>
          <w:p w:rsidR="005912AF" w:rsidRPr="002F3FB1" w:rsidRDefault="005912AF" w:rsidP="005912AF">
            <w:pPr>
              <w:pStyle w:val="PPVTableHeader"/>
            </w:pPr>
            <w:r w:rsidRPr="002F3FB1">
              <w:t>Total</w:t>
            </w:r>
          </w:p>
        </w:tc>
      </w:tr>
      <w:tr w:rsidR="005912AF" w:rsidRPr="002C42A3" w:rsidTr="005912AF">
        <w:trPr>
          <w:cantSplit/>
        </w:trPr>
        <w:tc>
          <w:tcPr>
            <w:tcW w:w="2977" w:type="dxa"/>
            <w:shd w:val="clear" w:color="auto" w:fill="auto"/>
            <w:vAlign w:val="center"/>
          </w:tcPr>
          <w:p w:rsidR="005912AF" w:rsidRPr="00AF6604" w:rsidRDefault="005912AF" w:rsidP="0074522A">
            <w:pPr>
              <w:pStyle w:val="PPVBody"/>
              <w:jc w:val="left"/>
              <w:rPr>
                <w:sz w:val="20"/>
                <w:szCs w:val="20"/>
              </w:rPr>
            </w:pPr>
            <w:r w:rsidRPr="00AF6604">
              <w:rPr>
                <w:sz w:val="20"/>
                <w:szCs w:val="20"/>
              </w:rPr>
              <w:t>Demographic projections</w:t>
            </w:r>
          </w:p>
        </w:tc>
        <w:tc>
          <w:tcPr>
            <w:tcW w:w="1213" w:type="dxa"/>
            <w:shd w:val="clear" w:color="auto" w:fill="auto"/>
            <w:vAlign w:val="center"/>
          </w:tcPr>
          <w:p w:rsidR="005912AF" w:rsidRPr="00AF6604" w:rsidRDefault="005912AF" w:rsidP="0074522A">
            <w:pPr>
              <w:pStyle w:val="PPVBody"/>
              <w:jc w:val="center"/>
              <w:rPr>
                <w:sz w:val="20"/>
                <w:szCs w:val="20"/>
              </w:rPr>
            </w:pPr>
            <w:r w:rsidRPr="00AF6604">
              <w:rPr>
                <w:sz w:val="20"/>
                <w:szCs w:val="20"/>
              </w:rPr>
              <w:t>14,400</w:t>
            </w:r>
          </w:p>
        </w:tc>
        <w:tc>
          <w:tcPr>
            <w:tcW w:w="1214" w:type="dxa"/>
            <w:shd w:val="clear" w:color="auto" w:fill="auto"/>
            <w:vAlign w:val="center"/>
          </w:tcPr>
          <w:p w:rsidR="005912AF" w:rsidRPr="00AF6604" w:rsidRDefault="005912AF" w:rsidP="0074522A">
            <w:pPr>
              <w:pStyle w:val="PPVBody"/>
              <w:jc w:val="center"/>
              <w:rPr>
                <w:sz w:val="20"/>
                <w:szCs w:val="20"/>
              </w:rPr>
            </w:pPr>
            <w:r w:rsidRPr="00AF6604">
              <w:rPr>
                <w:sz w:val="20"/>
                <w:szCs w:val="20"/>
              </w:rPr>
              <w:t>34,000</w:t>
            </w:r>
          </w:p>
        </w:tc>
        <w:tc>
          <w:tcPr>
            <w:tcW w:w="1214" w:type="dxa"/>
            <w:shd w:val="clear" w:color="auto" w:fill="auto"/>
            <w:vAlign w:val="center"/>
          </w:tcPr>
          <w:p w:rsidR="005912AF" w:rsidRPr="002F3FB1" w:rsidRDefault="005912AF" w:rsidP="0074522A">
            <w:pPr>
              <w:pStyle w:val="PPVTableText"/>
              <w:keepNext/>
              <w:jc w:val="center"/>
              <w:rPr>
                <w:szCs w:val="20"/>
              </w:rPr>
            </w:pPr>
            <w:r>
              <w:rPr>
                <w:szCs w:val="20"/>
              </w:rPr>
              <w:t>19,200</w:t>
            </w:r>
          </w:p>
        </w:tc>
        <w:tc>
          <w:tcPr>
            <w:tcW w:w="1214" w:type="dxa"/>
            <w:shd w:val="clear" w:color="auto" w:fill="auto"/>
            <w:vAlign w:val="center"/>
          </w:tcPr>
          <w:p w:rsidR="005912AF" w:rsidRPr="002F3FB1" w:rsidRDefault="005912AF" w:rsidP="0074522A">
            <w:pPr>
              <w:pStyle w:val="PPVTableText"/>
              <w:keepNext/>
              <w:jc w:val="center"/>
              <w:rPr>
                <w:szCs w:val="20"/>
              </w:rPr>
            </w:pPr>
            <w:r>
              <w:rPr>
                <w:szCs w:val="20"/>
              </w:rPr>
              <w:t>12,000</w:t>
            </w:r>
          </w:p>
        </w:tc>
        <w:tc>
          <w:tcPr>
            <w:tcW w:w="1214" w:type="dxa"/>
            <w:shd w:val="clear" w:color="auto" w:fill="auto"/>
            <w:vAlign w:val="center"/>
          </w:tcPr>
          <w:p w:rsidR="005912AF" w:rsidRPr="002F3FB1" w:rsidRDefault="005912AF" w:rsidP="0074522A">
            <w:pPr>
              <w:pStyle w:val="PPVTableText"/>
              <w:keepNext/>
              <w:jc w:val="center"/>
              <w:rPr>
                <w:b/>
                <w:szCs w:val="20"/>
              </w:rPr>
            </w:pPr>
            <w:r w:rsidRPr="002F3FB1">
              <w:rPr>
                <w:b/>
                <w:szCs w:val="20"/>
              </w:rPr>
              <w:t>80,000</w:t>
            </w:r>
          </w:p>
        </w:tc>
      </w:tr>
      <w:tr w:rsidR="005912AF" w:rsidRPr="002C42A3" w:rsidTr="005912AF">
        <w:trPr>
          <w:cantSplit/>
        </w:trPr>
        <w:tc>
          <w:tcPr>
            <w:tcW w:w="2977" w:type="dxa"/>
            <w:tcBorders>
              <w:top w:val="dotted" w:sz="4" w:space="0" w:color="auto"/>
            </w:tcBorders>
            <w:shd w:val="clear" w:color="auto" w:fill="auto"/>
            <w:vAlign w:val="center"/>
            <w:hideMark/>
          </w:tcPr>
          <w:p w:rsidR="005912AF" w:rsidRPr="00C4453F" w:rsidRDefault="005912AF" w:rsidP="0074522A">
            <w:pPr>
              <w:pStyle w:val="PPVBody"/>
              <w:jc w:val="left"/>
              <w:rPr>
                <w:i/>
                <w:sz w:val="20"/>
                <w:szCs w:val="20"/>
              </w:rPr>
            </w:pPr>
            <w:r w:rsidRPr="00AF6604">
              <w:rPr>
                <w:sz w:val="20"/>
                <w:szCs w:val="20"/>
              </w:rPr>
              <w:t xml:space="preserve">No. of residents per </w:t>
            </w:r>
            <w:r w:rsidR="00EE531A">
              <w:rPr>
                <w:sz w:val="20"/>
                <w:szCs w:val="20"/>
              </w:rPr>
              <w:t>P</w:t>
            </w:r>
            <w:r w:rsidRPr="00AF6604">
              <w:rPr>
                <w:sz w:val="20"/>
                <w:szCs w:val="20"/>
              </w:rPr>
              <w:t>recinct used in FAR calculations</w:t>
            </w:r>
            <w:r>
              <w:rPr>
                <w:sz w:val="20"/>
                <w:szCs w:val="20"/>
              </w:rPr>
              <w:t xml:space="preserve"> in the </w:t>
            </w:r>
            <w:r>
              <w:rPr>
                <w:i/>
                <w:sz w:val="20"/>
                <w:szCs w:val="20"/>
              </w:rPr>
              <w:t>Urban Design Strategy</w:t>
            </w:r>
          </w:p>
        </w:tc>
        <w:tc>
          <w:tcPr>
            <w:tcW w:w="1213" w:type="dxa"/>
            <w:tcBorders>
              <w:top w:val="dotted" w:sz="4" w:space="0" w:color="auto"/>
            </w:tcBorders>
            <w:shd w:val="clear" w:color="auto" w:fill="auto"/>
            <w:vAlign w:val="center"/>
            <w:hideMark/>
          </w:tcPr>
          <w:p w:rsidR="005912AF" w:rsidRPr="00AF6604" w:rsidRDefault="005912AF" w:rsidP="0074522A">
            <w:pPr>
              <w:pStyle w:val="PPVBody"/>
              <w:jc w:val="center"/>
              <w:rPr>
                <w:sz w:val="20"/>
                <w:szCs w:val="20"/>
              </w:rPr>
            </w:pPr>
            <w:r w:rsidRPr="00AF6604">
              <w:rPr>
                <w:sz w:val="20"/>
                <w:szCs w:val="20"/>
              </w:rPr>
              <w:t>17,600</w:t>
            </w:r>
          </w:p>
        </w:tc>
        <w:tc>
          <w:tcPr>
            <w:tcW w:w="1214" w:type="dxa"/>
            <w:tcBorders>
              <w:top w:val="dotted" w:sz="4" w:space="0" w:color="auto"/>
            </w:tcBorders>
            <w:shd w:val="clear" w:color="auto" w:fill="auto"/>
            <w:vAlign w:val="center"/>
            <w:hideMark/>
          </w:tcPr>
          <w:p w:rsidR="005912AF" w:rsidRPr="00AF6604" w:rsidRDefault="005912AF" w:rsidP="0074522A">
            <w:pPr>
              <w:pStyle w:val="PPVBody"/>
              <w:jc w:val="center"/>
              <w:rPr>
                <w:sz w:val="20"/>
                <w:szCs w:val="20"/>
              </w:rPr>
            </w:pPr>
            <w:r w:rsidRPr="00AF6604">
              <w:rPr>
                <w:sz w:val="20"/>
                <w:szCs w:val="20"/>
              </w:rPr>
              <w:t>29,600</w:t>
            </w:r>
          </w:p>
        </w:tc>
        <w:tc>
          <w:tcPr>
            <w:tcW w:w="1214" w:type="dxa"/>
            <w:tcBorders>
              <w:top w:val="dotted" w:sz="4" w:space="0" w:color="auto"/>
            </w:tcBorders>
            <w:shd w:val="clear" w:color="auto" w:fill="auto"/>
            <w:vAlign w:val="center"/>
            <w:hideMark/>
          </w:tcPr>
          <w:p w:rsidR="005912AF" w:rsidRPr="002F3FB1" w:rsidRDefault="005912AF" w:rsidP="0074522A">
            <w:pPr>
              <w:pStyle w:val="PPVTableText"/>
              <w:keepNext/>
              <w:jc w:val="center"/>
              <w:rPr>
                <w:szCs w:val="20"/>
              </w:rPr>
            </w:pPr>
            <w:r w:rsidRPr="002F3FB1">
              <w:rPr>
                <w:szCs w:val="20"/>
              </w:rPr>
              <w:t>20,800</w:t>
            </w:r>
          </w:p>
        </w:tc>
        <w:tc>
          <w:tcPr>
            <w:tcW w:w="1214" w:type="dxa"/>
            <w:tcBorders>
              <w:top w:val="dotted" w:sz="4" w:space="0" w:color="auto"/>
            </w:tcBorders>
            <w:shd w:val="clear" w:color="auto" w:fill="auto"/>
            <w:vAlign w:val="center"/>
            <w:hideMark/>
          </w:tcPr>
          <w:p w:rsidR="005912AF" w:rsidRPr="002F3FB1" w:rsidRDefault="005912AF" w:rsidP="0074522A">
            <w:pPr>
              <w:pStyle w:val="PPVTableText"/>
              <w:keepNext/>
              <w:jc w:val="center"/>
              <w:rPr>
                <w:szCs w:val="20"/>
              </w:rPr>
            </w:pPr>
            <w:r w:rsidRPr="002F3FB1">
              <w:rPr>
                <w:szCs w:val="20"/>
              </w:rPr>
              <w:t>12,000</w:t>
            </w:r>
          </w:p>
        </w:tc>
        <w:tc>
          <w:tcPr>
            <w:tcW w:w="1214" w:type="dxa"/>
            <w:tcBorders>
              <w:top w:val="dotted" w:sz="4" w:space="0" w:color="auto"/>
            </w:tcBorders>
            <w:shd w:val="clear" w:color="auto" w:fill="auto"/>
            <w:vAlign w:val="center"/>
            <w:hideMark/>
          </w:tcPr>
          <w:p w:rsidR="005912AF" w:rsidRPr="002F3FB1" w:rsidRDefault="005912AF" w:rsidP="0074522A">
            <w:pPr>
              <w:pStyle w:val="PPVTableText"/>
              <w:keepNext/>
              <w:jc w:val="center"/>
              <w:rPr>
                <w:b/>
                <w:szCs w:val="20"/>
              </w:rPr>
            </w:pPr>
            <w:r w:rsidRPr="002F3FB1">
              <w:rPr>
                <w:b/>
                <w:szCs w:val="20"/>
              </w:rPr>
              <w:t>80,000</w:t>
            </w:r>
          </w:p>
        </w:tc>
      </w:tr>
    </w:tbl>
    <w:p w:rsidR="005912AF" w:rsidRPr="00DA1162" w:rsidRDefault="005912AF" w:rsidP="005912AF">
      <w:pPr>
        <w:pStyle w:val="PPVSource"/>
      </w:pPr>
      <w:bookmarkStart w:id="268" w:name="_Toc519339176"/>
      <w:r>
        <w:t>Sources:</w:t>
      </w:r>
      <w:r>
        <w:tab/>
        <w:t xml:space="preserve">Prepared by Review Panel based on </w:t>
      </w:r>
      <w:r w:rsidRPr="00E90142">
        <w:t xml:space="preserve">Population </w:t>
      </w:r>
      <w:r>
        <w:t xml:space="preserve">and </w:t>
      </w:r>
      <w:r w:rsidRPr="00E90142">
        <w:t xml:space="preserve">Demographics </w:t>
      </w:r>
      <w:r>
        <w:t xml:space="preserve">report </w:t>
      </w:r>
      <w:r w:rsidR="0074522A">
        <w:t>Table 3: Population by Pr</w:t>
      </w:r>
      <w:r w:rsidRPr="00E90142">
        <w:t xml:space="preserve">ecinct, 2017 </w:t>
      </w:r>
      <w:r>
        <w:t xml:space="preserve">to 2051, and the </w:t>
      </w:r>
      <w:r w:rsidRPr="0074522A">
        <w:rPr>
          <w:i/>
        </w:rPr>
        <w:t>Urban Design Strategy</w:t>
      </w:r>
    </w:p>
    <w:bookmarkEnd w:id="268"/>
    <w:p w:rsidR="005912AF" w:rsidRDefault="005912AF" w:rsidP="005912AF">
      <w:pPr>
        <w:pStyle w:val="PPVBody"/>
      </w:pPr>
      <w:r>
        <w:t>It is not clear to the Review Panel why the figures in the Population and Demographics report were altered.</w:t>
      </w:r>
    </w:p>
    <w:p w:rsidR="005912AF" w:rsidRDefault="005912AF" w:rsidP="005912AF">
      <w:pPr>
        <w:pStyle w:val="PPVBody"/>
      </w:pPr>
      <w:r>
        <w:t xml:space="preserve">A number of assumptions were used to derive the FARs.  </w:t>
      </w:r>
      <w:r>
        <w:fldChar w:fldCharType="begin"/>
      </w:r>
      <w:r>
        <w:instrText xml:space="preserve"> REF _Ref519592596 \h </w:instrText>
      </w:r>
      <w:r>
        <w:fldChar w:fldCharType="separate"/>
      </w:r>
      <w:r w:rsidR="00A307EC">
        <w:t xml:space="preserve">Table </w:t>
      </w:r>
      <w:r w:rsidR="00A307EC">
        <w:rPr>
          <w:noProof/>
        </w:rPr>
        <w:t>12</w:t>
      </w:r>
      <w:r>
        <w:fldChar w:fldCharType="end"/>
      </w:r>
      <w:r>
        <w:t>, prepared by the Review Panel, lists some of these.  A number of these assumptions were criticised in submissions and evidence.</w:t>
      </w:r>
    </w:p>
    <w:p w:rsidR="005912AF" w:rsidRPr="001B706C" w:rsidRDefault="005912AF" w:rsidP="005912AF">
      <w:pPr>
        <w:pStyle w:val="Caption"/>
      </w:pPr>
      <w:bookmarkStart w:id="269" w:name="_Ref519592596"/>
      <w:bookmarkStart w:id="270" w:name="_Toc519339177"/>
      <w:bookmarkStart w:id="271" w:name="_Toc519439825"/>
      <w:bookmarkStart w:id="272" w:name="_Toc519719137"/>
      <w:bookmarkStart w:id="273" w:name="_Toc519710360"/>
      <w:r>
        <w:t xml:space="preserve">Table </w:t>
      </w:r>
      <w:r>
        <w:rPr>
          <w:noProof/>
        </w:rPr>
        <w:fldChar w:fldCharType="begin"/>
      </w:r>
      <w:r>
        <w:rPr>
          <w:noProof/>
        </w:rPr>
        <w:instrText xml:space="preserve"> SEQ Table \* ARABIC </w:instrText>
      </w:r>
      <w:r>
        <w:rPr>
          <w:noProof/>
        </w:rPr>
        <w:fldChar w:fldCharType="separate"/>
      </w:r>
      <w:r w:rsidR="00A307EC">
        <w:rPr>
          <w:noProof/>
        </w:rPr>
        <w:t>12</w:t>
      </w:r>
      <w:r>
        <w:rPr>
          <w:noProof/>
        </w:rPr>
        <w:fldChar w:fldCharType="end"/>
      </w:r>
      <w:bookmarkEnd w:id="269"/>
      <w:r>
        <w:t>:</w:t>
      </w:r>
      <w:r>
        <w:tab/>
        <w:t>Assumptions in setting the FAR</w:t>
      </w:r>
      <w:bookmarkEnd w:id="270"/>
      <w:bookmarkEnd w:id="271"/>
      <w:bookmarkEnd w:id="272"/>
      <w:bookmarkEnd w:id="273"/>
    </w:p>
    <w:tbl>
      <w:tblPr>
        <w:tblW w:w="0" w:type="auto"/>
        <w:tblInd w:w="108" w:type="dxa"/>
        <w:tblBorders>
          <w:bottom w:val="single" w:sz="12" w:space="0" w:color="215868"/>
          <w:insideH w:val="dotted" w:sz="4" w:space="0" w:color="auto"/>
        </w:tblBorders>
        <w:tblLayout w:type="fixed"/>
        <w:tblLook w:val="04A0" w:firstRow="1" w:lastRow="0" w:firstColumn="1" w:lastColumn="0" w:noHBand="0" w:noVBand="1"/>
      </w:tblPr>
      <w:tblGrid>
        <w:gridCol w:w="709"/>
        <w:gridCol w:w="3827"/>
        <w:gridCol w:w="4642"/>
      </w:tblGrid>
      <w:tr w:rsidR="005912AF" w:rsidRPr="00C67998" w:rsidTr="005912AF">
        <w:trPr>
          <w:cantSplit/>
          <w:tblHeader/>
        </w:trPr>
        <w:tc>
          <w:tcPr>
            <w:tcW w:w="709" w:type="dxa"/>
            <w:tcBorders>
              <w:top w:val="nil"/>
              <w:bottom w:val="dotted" w:sz="4" w:space="0" w:color="auto"/>
            </w:tcBorders>
            <w:shd w:val="clear" w:color="auto" w:fill="215868"/>
            <w:vAlign w:val="bottom"/>
          </w:tcPr>
          <w:p w:rsidR="005912AF" w:rsidRPr="00C67998" w:rsidRDefault="005912AF" w:rsidP="005912AF">
            <w:pPr>
              <w:pStyle w:val="PPVTableHeader"/>
            </w:pPr>
          </w:p>
        </w:tc>
        <w:tc>
          <w:tcPr>
            <w:tcW w:w="3827" w:type="dxa"/>
            <w:tcBorders>
              <w:top w:val="nil"/>
              <w:bottom w:val="dotted" w:sz="4" w:space="0" w:color="auto"/>
            </w:tcBorders>
            <w:shd w:val="clear" w:color="auto" w:fill="215868"/>
            <w:vAlign w:val="bottom"/>
          </w:tcPr>
          <w:p w:rsidR="005912AF" w:rsidRPr="00C67998" w:rsidRDefault="005912AF" w:rsidP="005912AF">
            <w:pPr>
              <w:pStyle w:val="PPVTableHeader"/>
            </w:pPr>
            <w:r>
              <w:t>Step</w:t>
            </w:r>
          </w:p>
        </w:tc>
        <w:tc>
          <w:tcPr>
            <w:tcW w:w="4642" w:type="dxa"/>
            <w:tcBorders>
              <w:top w:val="nil"/>
              <w:bottom w:val="dotted" w:sz="4" w:space="0" w:color="auto"/>
            </w:tcBorders>
            <w:shd w:val="clear" w:color="auto" w:fill="215868"/>
            <w:vAlign w:val="bottom"/>
          </w:tcPr>
          <w:p w:rsidR="005912AF" w:rsidRPr="00C67998" w:rsidRDefault="005912AF" w:rsidP="005912AF">
            <w:pPr>
              <w:pStyle w:val="PPVTableHeader"/>
            </w:pPr>
            <w:r>
              <w:t>Critical decisions and assumptions</w:t>
            </w:r>
          </w:p>
        </w:tc>
      </w:tr>
      <w:tr w:rsidR="005912AF" w:rsidRPr="00C67998" w:rsidTr="005912AF">
        <w:trPr>
          <w:cantSplit/>
        </w:trPr>
        <w:tc>
          <w:tcPr>
            <w:tcW w:w="709" w:type="dxa"/>
            <w:tcBorders>
              <w:top w:val="dotted" w:sz="4" w:space="0" w:color="auto"/>
            </w:tcBorders>
            <w:shd w:val="clear" w:color="auto" w:fill="auto"/>
          </w:tcPr>
          <w:p w:rsidR="005912AF" w:rsidRPr="00AF6604" w:rsidRDefault="005912AF" w:rsidP="005912AF">
            <w:pPr>
              <w:pStyle w:val="PPVTableText"/>
              <w:rPr>
                <w:szCs w:val="20"/>
              </w:rPr>
            </w:pPr>
            <w:r w:rsidRPr="00AF6604">
              <w:rPr>
                <w:szCs w:val="20"/>
              </w:rPr>
              <w:t>1</w:t>
            </w:r>
          </w:p>
        </w:tc>
        <w:tc>
          <w:tcPr>
            <w:tcW w:w="3827" w:type="dxa"/>
            <w:tcBorders>
              <w:top w:val="dotted" w:sz="4" w:space="0" w:color="auto"/>
            </w:tcBorders>
            <w:shd w:val="clear" w:color="auto" w:fill="auto"/>
          </w:tcPr>
          <w:p w:rsidR="005912AF" w:rsidRPr="00AF6604" w:rsidRDefault="005912AF" w:rsidP="005912AF">
            <w:pPr>
              <w:pStyle w:val="PPVTableText"/>
              <w:rPr>
                <w:szCs w:val="20"/>
              </w:rPr>
            </w:pPr>
            <w:r w:rsidRPr="00AF6604">
              <w:rPr>
                <w:szCs w:val="20"/>
              </w:rPr>
              <w:t>Estimating total GFA</w:t>
            </w:r>
          </w:p>
        </w:tc>
        <w:tc>
          <w:tcPr>
            <w:tcW w:w="4642" w:type="dxa"/>
            <w:tcBorders>
              <w:top w:val="dotted" w:sz="4" w:space="0" w:color="auto"/>
            </w:tcBorders>
            <w:shd w:val="clear" w:color="auto" w:fill="auto"/>
          </w:tcPr>
          <w:p w:rsidR="005912AF" w:rsidRPr="00AF6604" w:rsidRDefault="005912AF" w:rsidP="005912AF">
            <w:pPr>
              <w:pStyle w:val="PPVTableText"/>
              <w:rPr>
                <w:szCs w:val="20"/>
              </w:rPr>
            </w:pPr>
            <w:r w:rsidRPr="00AF6604">
              <w:rPr>
                <w:szCs w:val="20"/>
              </w:rPr>
              <w:t xml:space="preserve">Adoption </w:t>
            </w:r>
            <w:r>
              <w:rPr>
                <w:szCs w:val="20"/>
              </w:rPr>
              <w:t>of</w:t>
            </w:r>
            <w:r w:rsidRPr="00AF6604">
              <w:rPr>
                <w:szCs w:val="20"/>
              </w:rPr>
              <w:t xml:space="preserve"> the population target</w:t>
            </w:r>
          </w:p>
          <w:p w:rsidR="005912AF" w:rsidRPr="00AF6604" w:rsidRDefault="005912AF" w:rsidP="005912AF">
            <w:pPr>
              <w:pStyle w:val="PPVTableText"/>
              <w:rPr>
                <w:szCs w:val="20"/>
              </w:rPr>
            </w:pPr>
            <w:r w:rsidRPr="00AF6604">
              <w:rPr>
                <w:szCs w:val="20"/>
              </w:rPr>
              <w:t xml:space="preserve">Adoption of the </w:t>
            </w:r>
            <w:r>
              <w:rPr>
                <w:szCs w:val="20"/>
              </w:rPr>
              <w:t>jobs</w:t>
            </w:r>
            <w:r w:rsidRPr="00AF6604">
              <w:rPr>
                <w:szCs w:val="20"/>
              </w:rPr>
              <w:t xml:space="preserve"> target</w:t>
            </w:r>
          </w:p>
          <w:p w:rsidR="005912AF" w:rsidRPr="00AF6604" w:rsidRDefault="005912AF" w:rsidP="005912AF">
            <w:pPr>
              <w:pStyle w:val="PPVTableText"/>
              <w:rPr>
                <w:szCs w:val="20"/>
              </w:rPr>
            </w:pPr>
            <w:r w:rsidRPr="00AF6604">
              <w:rPr>
                <w:szCs w:val="20"/>
              </w:rPr>
              <w:t>Number of 1, 2 or 3 bedroom dwellings</w:t>
            </w:r>
          </w:p>
          <w:p w:rsidR="005912AF" w:rsidRPr="00AF6604" w:rsidRDefault="005912AF" w:rsidP="005912AF">
            <w:pPr>
              <w:pStyle w:val="PPVTableText"/>
              <w:rPr>
                <w:szCs w:val="20"/>
              </w:rPr>
            </w:pPr>
            <w:r w:rsidRPr="00AF6604">
              <w:rPr>
                <w:szCs w:val="20"/>
              </w:rPr>
              <w:t>Area of dwellings for 1, 2 or 3 bedroom dwellings</w:t>
            </w:r>
          </w:p>
          <w:p w:rsidR="005912AF" w:rsidRPr="00AF6604" w:rsidRDefault="005912AF" w:rsidP="005912AF">
            <w:pPr>
              <w:pStyle w:val="PPVTableText"/>
              <w:rPr>
                <w:szCs w:val="20"/>
              </w:rPr>
            </w:pPr>
            <w:r w:rsidRPr="00AF6604">
              <w:rPr>
                <w:szCs w:val="20"/>
              </w:rPr>
              <w:t>Area of circulation space</w:t>
            </w:r>
          </w:p>
          <w:p w:rsidR="005912AF" w:rsidRPr="00AF6604" w:rsidRDefault="005912AF" w:rsidP="005912AF">
            <w:pPr>
              <w:pStyle w:val="PPVTableText"/>
              <w:rPr>
                <w:szCs w:val="20"/>
              </w:rPr>
            </w:pPr>
            <w:r w:rsidRPr="00AF6604">
              <w:rPr>
                <w:szCs w:val="20"/>
              </w:rPr>
              <w:t>Number of car spaces per dwelling</w:t>
            </w:r>
          </w:p>
          <w:p w:rsidR="005912AF" w:rsidRPr="00AF6604" w:rsidRDefault="005912AF" w:rsidP="005912AF">
            <w:pPr>
              <w:pStyle w:val="PPVTableText"/>
              <w:rPr>
                <w:szCs w:val="20"/>
              </w:rPr>
            </w:pPr>
            <w:r w:rsidRPr="00AF6604">
              <w:rPr>
                <w:szCs w:val="20"/>
              </w:rPr>
              <w:t>Floor area per job</w:t>
            </w:r>
          </w:p>
        </w:tc>
      </w:tr>
      <w:tr w:rsidR="005912AF" w:rsidRPr="00C67998" w:rsidTr="005912AF">
        <w:trPr>
          <w:cantSplit/>
        </w:trPr>
        <w:tc>
          <w:tcPr>
            <w:tcW w:w="709" w:type="dxa"/>
            <w:shd w:val="clear" w:color="auto" w:fill="auto"/>
          </w:tcPr>
          <w:p w:rsidR="005912AF" w:rsidRPr="00AF6604" w:rsidRDefault="005912AF" w:rsidP="005912AF">
            <w:pPr>
              <w:pStyle w:val="PPVTableText"/>
              <w:rPr>
                <w:szCs w:val="20"/>
              </w:rPr>
            </w:pPr>
            <w:r w:rsidRPr="00AF6604">
              <w:rPr>
                <w:szCs w:val="20"/>
              </w:rPr>
              <w:t>2</w:t>
            </w:r>
          </w:p>
        </w:tc>
        <w:tc>
          <w:tcPr>
            <w:tcW w:w="3827" w:type="dxa"/>
            <w:shd w:val="clear" w:color="auto" w:fill="auto"/>
          </w:tcPr>
          <w:p w:rsidR="005912AF" w:rsidRPr="00AF6604" w:rsidRDefault="005912AF" w:rsidP="005912AF">
            <w:pPr>
              <w:pStyle w:val="PPVTableText"/>
              <w:rPr>
                <w:szCs w:val="20"/>
              </w:rPr>
            </w:pPr>
            <w:r>
              <w:rPr>
                <w:szCs w:val="20"/>
              </w:rPr>
              <w:t xml:space="preserve">Adjusting the </w:t>
            </w:r>
            <w:r w:rsidRPr="00AF6604">
              <w:rPr>
                <w:szCs w:val="20"/>
              </w:rPr>
              <w:t xml:space="preserve">GFA to account for existing buildings </w:t>
            </w:r>
            <w:r>
              <w:rPr>
                <w:szCs w:val="20"/>
              </w:rPr>
              <w:t>and permits</w:t>
            </w:r>
          </w:p>
        </w:tc>
        <w:tc>
          <w:tcPr>
            <w:tcW w:w="4642" w:type="dxa"/>
            <w:shd w:val="clear" w:color="auto" w:fill="auto"/>
          </w:tcPr>
          <w:p w:rsidR="005912AF" w:rsidRPr="00AF6604" w:rsidRDefault="005912AF" w:rsidP="005912AF">
            <w:pPr>
              <w:pStyle w:val="PPVTableText"/>
              <w:rPr>
                <w:szCs w:val="20"/>
              </w:rPr>
            </w:pPr>
            <w:r w:rsidRPr="00AF6604">
              <w:rPr>
                <w:szCs w:val="20"/>
              </w:rPr>
              <w:t xml:space="preserve">Assumption of </w:t>
            </w:r>
            <w:r>
              <w:rPr>
                <w:szCs w:val="20"/>
              </w:rPr>
              <w:t xml:space="preserve">full </w:t>
            </w:r>
            <w:r w:rsidRPr="00AF6604">
              <w:rPr>
                <w:szCs w:val="20"/>
              </w:rPr>
              <w:t>build out of existing development</w:t>
            </w:r>
            <w:r>
              <w:rPr>
                <w:szCs w:val="20"/>
              </w:rPr>
              <w:t xml:space="preserve"> and permits</w:t>
            </w:r>
          </w:p>
        </w:tc>
      </w:tr>
      <w:tr w:rsidR="005912AF" w:rsidRPr="00C67998" w:rsidTr="005912AF">
        <w:trPr>
          <w:cantSplit/>
        </w:trPr>
        <w:tc>
          <w:tcPr>
            <w:tcW w:w="709" w:type="dxa"/>
            <w:shd w:val="clear" w:color="auto" w:fill="auto"/>
          </w:tcPr>
          <w:p w:rsidR="005912AF" w:rsidRPr="00AF6604" w:rsidRDefault="005912AF" w:rsidP="005912AF">
            <w:pPr>
              <w:pStyle w:val="PPVTableText"/>
              <w:rPr>
                <w:szCs w:val="20"/>
              </w:rPr>
            </w:pPr>
            <w:r w:rsidRPr="00AF6604">
              <w:rPr>
                <w:szCs w:val="20"/>
              </w:rPr>
              <w:t>3</w:t>
            </w:r>
          </w:p>
        </w:tc>
        <w:tc>
          <w:tcPr>
            <w:tcW w:w="3827" w:type="dxa"/>
            <w:shd w:val="clear" w:color="auto" w:fill="auto"/>
          </w:tcPr>
          <w:p w:rsidR="005912AF" w:rsidRPr="00AF6604" w:rsidRDefault="005912AF" w:rsidP="005912AF">
            <w:pPr>
              <w:pStyle w:val="PPVTableText"/>
              <w:rPr>
                <w:szCs w:val="20"/>
              </w:rPr>
            </w:pPr>
            <w:r w:rsidRPr="00AF6604">
              <w:rPr>
                <w:szCs w:val="20"/>
              </w:rPr>
              <w:t xml:space="preserve">Distributing the GFA to each </w:t>
            </w:r>
            <w:r>
              <w:rPr>
                <w:szCs w:val="20"/>
              </w:rPr>
              <w:t>P</w:t>
            </w:r>
            <w:r w:rsidRPr="00AF6604">
              <w:rPr>
                <w:szCs w:val="20"/>
              </w:rPr>
              <w:t>recinct</w:t>
            </w:r>
          </w:p>
        </w:tc>
        <w:tc>
          <w:tcPr>
            <w:tcW w:w="4642" w:type="dxa"/>
            <w:shd w:val="clear" w:color="auto" w:fill="auto"/>
          </w:tcPr>
          <w:p w:rsidR="005912AF" w:rsidRPr="00AF6604" w:rsidRDefault="005912AF" w:rsidP="005912AF">
            <w:pPr>
              <w:pStyle w:val="PPVTableText"/>
              <w:rPr>
                <w:szCs w:val="20"/>
              </w:rPr>
            </w:pPr>
            <w:r w:rsidRPr="00AF6604">
              <w:rPr>
                <w:szCs w:val="20"/>
              </w:rPr>
              <w:t xml:space="preserve">Setting </w:t>
            </w:r>
            <w:r w:rsidR="00EE531A">
              <w:rPr>
                <w:szCs w:val="20"/>
              </w:rPr>
              <w:t>P</w:t>
            </w:r>
            <w:r w:rsidRPr="00AF6604">
              <w:rPr>
                <w:szCs w:val="20"/>
              </w:rPr>
              <w:t>recinct boundaries</w:t>
            </w:r>
          </w:p>
          <w:p w:rsidR="005912AF" w:rsidRPr="00AF6604" w:rsidRDefault="005912AF" w:rsidP="005912AF">
            <w:pPr>
              <w:pStyle w:val="PPVTableText"/>
              <w:rPr>
                <w:szCs w:val="20"/>
              </w:rPr>
            </w:pPr>
            <w:r w:rsidRPr="00AF6604">
              <w:rPr>
                <w:szCs w:val="20"/>
              </w:rPr>
              <w:t>Distribution of GFA</w:t>
            </w:r>
          </w:p>
        </w:tc>
      </w:tr>
      <w:tr w:rsidR="005912AF" w:rsidRPr="00C67998" w:rsidTr="005912AF">
        <w:trPr>
          <w:cantSplit/>
        </w:trPr>
        <w:tc>
          <w:tcPr>
            <w:tcW w:w="709" w:type="dxa"/>
            <w:shd w:val="clear" w:color="auto" w:fill="auto"/>
          </w:tcPr>
          <w:p w:rsidR="005912AF" w:rsidRPr="00AF6604" w:rsidRDefault="005912AF" w:rsidP="005912AF">
            <w:pPr>
              <w:pStyle w:val="PPVTableText"/>
              <w:rPr>
                <w:szCs w:val="20"/>
              </w:rPr>
            </w:pPr>
            <w:r w:rsidRPr="00AF6604">
              <w:rPr>
                <w:szCs w:val="20"/>
              </w:rPr>
              <w:t>4</w:t>
            </w:r>
          </w:p>
        </w:tc>
        <w:tc>
          <w:tcPr>
            <w:tcW w:w="3827" w:type="dxa"/>
            <w:shd w:val="clear" w:color="auto" w:fill="auto"/>
          </w:tcPr>
          <w:p w:rsidR="005912AF" w:rsidRPr="00AF6604" w:rsidRDefault="005912AF" w:rsidP="005912AF">
            <w:pPr>
              <w:pStyle w:val="PPVTableText"/>
              <w:rPr>
                <w:szCs w:val="20"/>
              </w:rPr>
            </w:pPr>
            <w:r w:rsidRPr="00AF6604">
              <w:rPr>
                <w:szCs w:val="20"/>
              </w:rPr>
              <w:t xml:space="preserve">Splitting GFA into core and non-core areas for each </w:t>
            </w:r>
            <w:r>
              <w:rPr>
                <w:szCs w:val="20"/>
              </w:rPr>
              <w:t>P</w:t>
            </w:r>
            <w:r w:rsidRPr="00AF6604">
              <w:rPr>
                <w:szCs w:val="20"/>
              </w:rPr>
              <w:t>recinct</w:t>
            </w:r>
          </w:p>
        </w:tc>
        <w:tc>
          <w:tcPr>
            <w:tcW w:w="4642" w:type="dxa"/>
            <w:shd w:val="clear" w:color="auto" w:fill="auto"/>
          </w:tcPr>
          <w:p w:rsidR="005912AF" w:rsidRPr="00AF6604" w:rsidRDefault="005912AF" w:rsidP="005912AF">
            <w:pPr>
              <w:pStyle w:val="PPVTableText"/>
              <w:rPr>
                <w:szCs w:val="20"/>
              </w:rPr>
            </w:pPr>
            <w:r w:rsidRPr="00AF6604">
              <w:rPr>
                <w:szCs w:val="20"/>
              </w:rPr>
              <w:t>Distribution of GFA between core and non-core areas</w:t>
            </w:r>
          </w:p>
        </w:tc>
      </w:tr>
      <w:tr w:rsidR="005912AF" w:rsidRPr="00C67998" w:rsidTr="005912AF">
        <w:trPr>
          <w:cantSplit/>
        </w:trPr>
        <w:tc>
          <w:tcPr>
            <w:tcW w:w="709" w:type="dxa"/>
            <w:shd w:val="clear" w:color="auto" w:fill="auto"/>
          </w:tcPr>
          <w:p w:rsidR="005912AF" w:rsidRPr="00AF6604" w:rsidRDefault="005912AF" w:rsidP="005912AF">
            <w:pPr>
              <w:pStyle w:val="PPVTableText"/>
              <w:rPr>
                <w:szCs w:val="20"/>
              </w:rPr>
            </w:pPr>
            <w:r w:rsidRPr="00AF6604">
              <w:rPr>
                <w:szCs w:val="20"/>
              </w:rPr>
              <w:t>5</w:t>
            </w:r>
          </w:p>
        </w:tc>
        <w:tc>
          <w:tcPr>
            <w:tcW w:w="3827" w:type="dxa"/>
            <w:shd w:val="clear" w:color="auto" w:fill="auto"/>
          </w:tcPr>
          <w:p w:rsidR="005912AF" w:rsidRPr="00AF6604" w:rsidRDefault="005912AF" w:rsidP="005912AF">
            <w:pPr>
              <w:pStyle w:val="PPVTableText"/>
              <w:rPr>
                <w:szCs w:val="20"/>
              </w:rPr>
            </w:pPr>
            <w:r>
              <w:rPr>
                <w:szCs w:val="20"/>
              </w:rPr>
              <w:t>C</w:t>
            </w:r>
            <w:r w:rsidRPr="00AF6604">
              <w:rPr>
                <w:szCs w:val="20"/>
              </w:rPr>
              <w:t>onvert</w:t>
            </w:r>
            <w:r>
              <w:rPr>
                <w:szCs w:val="20"/>
              </w:rPr>
              <w:t>ing t</w:t>
            </w:r>
            <w:r w:rsidRPr="00AF6604">
              <w:rPr>
                <w:szCs w:val="20"/>
              </w:rPr>
              <w:t xml:space="preserve">he GFA into a FAR </w:t>
            </w:r>
          </w:p>
        </w:tc>
        <w:tc>
          <w:tcPr>
            <w:tcW w:w="4642" w:type="dxa"/>
            <w:shd w:val="clear" w:color="auto" w:fill="auto"/>
          </w:tcPr>
          <w:p w:rsidR="005912AF" w:rsidRPr="00AF6604" w:rsidRDefault="00FC563B" w:rsidP="005912AF">
            <w:pPr>
              <w:pStyle w:val="PPVTableText"/>
              <w:rPr>
                <w:szCs w:val="20"/>
              </w:rPr>
            </w:pPr>
            <w:r>
              <w:rPr>
                <w:szCs w:val="20"/>
              </w:rPr>
              <w:t>Identification of gross developable area</w:t>
            </w:r>
          </w:p>
        </w:tc>
      </w:tr>
      <w:tr w:rsidR="005912AF" w:rsidRPr="00C67998" w:rsidTr="005912AF">
        <w:trPr>
          <w:cantSplit/>
        </w:trPr>
        <w:tc>
          <w:tcPr>
            <w:tcW w:w="709" w:type="dxa"/>
            <w:shd w:val="clear" w:color="auto" w:fill="auto"/>
          </w:tcPr>
          <w:p w:rsidR="005912AF" w:rsidRPr="00AF6604" w:rsidRDefault="005912AF" w:rsidP="005912AF">
            <w:pPr>
              <w:pStyle w:val="PPVTableText"/>
              <w:keepNext/>
              <w:rPr>
                <w:szCs w:val="20"/>
              </w:rPr>
            </w:pPr>
            <w:r w:rsidRPr="00AF6604">
              <w:rPr>
                <w:szCs w:val="20"/>
              </w:rPr>
              <w:t>6</w:t>
            </w:r>
          </w:p>
        </w:tc>
        <w:tc>
          <w:tcPr>
            <w:tcW w:w="3827" w:type="dxa"/>
            <w:shd w:val="clear" w:color="auto" w:fill="auto"/>
          </w:tcPr>
          <w:p w:rsidR="005912AF" w:rsidRPr="00AF6604" w:rsidRDefault="005912AF" w:rsidP="005912AF">
            <w:pPr>
              <w:pStyle w:val="PPVTableText"/>
              <w:keepNext/>
              <w:rPr>
                <w:szCs w:val="20"/>
              </w:rPr>
            </w:pPr>
            <w:r>
              <w:rPr>
                <w:szCs w:val="20"/>
              </w:rPr>
              <w:t>Increasing t</w:t>
            </w:r>
            <w:r w:rsidRPr="00AF6604">
              <w:rPr>
                <w:szCs w:val="20"/>
              </w:rPr>
              <w:t xml:space="preserve">he FAR to acknowledge that not every site is expected to develop by 2050 </w:t>
            </w:r>
          </w:p>
        </w:tc>
        <w:tc>
          <w:tcPr>
            <w:tcW w:w="4642" w:type="dxa"/>
            <w:shd w:val="clear" w:color="auto" w:fill="auto"/>
          </w:tcPr>
          <w:p w:rsidR="005912AF" w:rsidRPr="00AF6604" w:rsidRDefault="005912AF" w:rsidP="005912AF">
            <w:pPr>
              <w:pStyle w:val="PPVTableText"/>
              <w:keepNext/>
              <w:rPr>
                <w:szCs w:val="20"/>
              </w:rPr>
            </w:pPr>
            <w:r w:rsidRPr="00AF6604">
              <w:rPr>
                <w:szCs w:val="20"/>
              </w:rPr>
              <w:t xml:space="preserve">Assumption </w:t>
            </w:r>
            <w:r>
              <w:rPr>
                <w:szCs w:val="20"/>
              </w:rPr>
              <w:t>of 75 per cent</w:t>
            </w:r>
            <w:r w:rsidRPr="00AF6604">
              <w:rPr>
                <w:szCs w:val="20"/>
              </w:rPr>
              <w:t xml:space="preserve"> build out by 2050</w:t>
            </w:r>
          </w:p>
        </w:tc>
      </w:tr>
    </w:tbl>
    <w:p w:rsidR="005912AF" w:rsidRPr="00DA1162" w:rsidRDefault="005912AF" w:rsidP="005912AF">
      <w:pPr>
        <w:pStyle w:val="PPVSource"/>
      </w:pPr>
      <w:r>
        <w:t>Source:</w:t>
      </w:r>
      <w:r>
        <w:tab/>
        <w:t>Prepared by Review Panel</w:t>
      </w:r>
    </w:p>
    <w:p w:rsidR="00785416" w:rsidRDefault="005912AF" w:rsidP="005912AF">
      <w:pPr>
        <w:pStyle w:val="PPVBody"/>
      </w:pPr>
      <w:r>
        <w:t xml:space="preserve">The assumption that there would be 75 per cent build out by 2050 was the subject of particular criticism in submissions.  Ms Hodyl </w:t>
      </w:r>
      <w:r w:rsidR="0074522A">
        <w:t xml:space="preserve">explained she </w:t>
      </w:r>
      <w:r>
        <w:t xml:space="preserve">adopted the assumption after conversations with a range of people, who made estimates between 50 per cent and 100 per </w:t>
      </w:r>
      <w:r w:rsidR="0074522A">
        <w:lastRenderedPageBreak/>
        <w:t>cent.  (Valid) c</w:t>
      </w:r>
      <w:r>
        <w:t>riticisms were made that this was an arbitrary approach, not documented, and not backed by research or analysis.</w:t>
      </w:r>
    </w:p>
    <w:p w:rsidR="00785416" w:rsidRDefault="005912AF" w:rsidP="005912AF">
      <w:pPr>
        <w:pStyle w:val="PPVBody"/>
      </w:pPr>
      <w:r>
        <w:t>Ms Hodyl applied the 75 per cent build out assumption uniformly across all Precincts.  This is contrary to the population projections in the Population and Demographics report, which predicts that the Precincts closer to the CBD will develop earlier.  For example, Lorimer is predicted to reach full build out by 2037</w:t>
      </w:r>
      <w:r w:rsidRPr="00443877">
        <w:t>,</w:t>
      </w:r>
      <w:r>
        <w:t xml:space="preserve"> whereas Wirraway is not expected to reach full build out until after 2050.</w:t>
      </w:r>
    </w:p>
    <w:p w:rsidR="005912AF" w:rsidRDefault="005912AF" w:rsidP="005912AF">
      <w:pPr>
        <w:pStyle w:val="PPVBody"/>
      </w:pPr>
      <w:r>
        <w:t>Submissions also questioned the floor area assumptions for the different sized dwellings.</w:t>
      </w:r>
    </w:p>
    <w:p w:rsidR="005912AF" w:rsidRDefault="005912AF" w:rsidP="005912AF">
      <w:pPr>
        <w:pStyle w:val="Heading4"/>
      </w:pPr>
      <w:r>
        <w:t>Discussion</w:t>
      </w:r>
    </w:p>
    <w:p w:rsidR="00785416" w:rsidRDefault="005912AF" w:rsidP="005912AF">
      <w:pPr>
        <w:pStyle w:val="PPVBody"/>
      </w:pPr>
      <w:r>
        <w:t>The Review Panel accepts that the population target was not the sole criterion used to derive the FARs.  However, the population target has clearly limited the FARs.</w:t>
      </w:r>
      <w:r w:rsidRPr="00A9658D">
        <w:t xml:space="preserve"> </w:t>
      </w:r>
      <w:r>
        <w:t xml:space="preserve"> Ms Hodyl confirmed that it was not open to her </w:t>
      </w:r>
      <w:r w:rsidR="00AF55A5">
        <w:t xml:space="preserve">within her brief </w:t>
      </w:r>
      <w:r>
        <w:t>to plan for more than 80,000 persons when deriving the proposed FARs.  This was illustrated by the FAR proposed for Sandridge being reduced to compensate for the increased population resulting from the Montague core being extended.</w:t>
      </w:r>
    </w:p>
    <w:p w:rsidR="005912AF" w:rsidRDefault="005912AF" w:rsidP="005912AF">
      <w:pPr>
        <w:pStyle w:val="PPVBody"/>
      </w:pPr>
      <w:r>
        <w:t xml:space="preserve">The </w:t>
      </w:r>
      <w:r w:rsidRPr="004E44AE">
        <w:rPr>
          <w:i/>
        </w:rPr>
        <w:t>Urban Design Strategy</w:t>
      </w:r>
      <w:r w:rsidRPr="0031609B">
        <w:t xml:space="preserve"> indicate</w:t>
      </w:r>
      <w:r>
        <w:t>d</w:t>
      </w:r>
      <w:r>
        <w:rPr>
          <w:rStyle w:val="FootnoteReference"/>
        </w:rPr>
        <w:footnoteReference w:id="48"/>
      </w:r>
      <w:r>
        <w:t>, and Mr Sheppard agreed,</w:t>
      </w:r>
      <w:r w:rsidRPr="0031609B">
        <w:t xml:space="preserve"> that all </w:t>
      </w:r>
      <w:r>
        <w:t>building</w:t>
      </w:r>
      <w:r w:rsidRPr="0031609B">
        <w:t xml:space="preserve"> typologies</w:t>
      </w:r>
      <w:r>
        <w:t xml:space="preserve"> and preferred characters</w:t>
      </w:r>
      <w:r w:rsidRPr="0031609B">
        <w:t xml:space="preserve"> </w:t>
      </w:r>
      <w:r>
        <w:t xml:space="preserve">nominated for various subprecincts </w:t>
      </w:r>
      <w:r w:rsidRPr="0031609B">
        <w:t>can del</w:t>
      </w:r>
      <w:r>
        <w:t>iver residential densities with a FAR of at least 4:1, which is higher than the maximum FAR in some Precincts, particularly in non-core Wirraway.  It therefore seems that the nominated FARs were not derived from densities required to deliver the preferred building typologies and characters.</w:t>
      </w:r>
    </w:p>
    <w:p w:rsidR="005912AF" w:rsidRDefault="005912AF" w:rsidP="005912AF">
      <w:pPr>
        <w:pStyle w:val="PPVBody"/>
      </w:pPr>
      <w:r>
        <w:t>Using the population target as a limit (and as a starting point) has meant that the FARs are lower than those which could have been derived from an iterative process that took into account built form, amenity and infrastructure without a predetermined population target.  Indeed, modelling undertaken by Ms Hodyl demonstrate</w:t>
      </w:r>
      <w:r w:rsidR="0074522A">
        <w:t>d</w:t>
      </w:r>
      <w:r>
        <w:t xml:space="preserve"> that if the FAU scheme is taken up to deliver six per cent social housing, the population that could result will be significantly higher than </w:t>
      </w:r>
      <w:r w:rsidR="0074522A">
        <w:t xml:space="preserve">80,000 </w:t>
      </w:r>
      <w:r w:rsidR="00A90D8B">
        <w:t>–</w:t>
      </w:r>
      <w:r w:rsidR="0074522A">
        <w:t xml:space="preserve"> </w:t>
      </w:r>
      <w:r>
        <w:t>without exceeding the built form controls.</w:t>
      </w:r>
    </w:p>
    <w:p w:rsidR="005912AF" w:rsidRDefault="005912AF" w:rsidP="005912AF">
      <w:pPr>
        <w:pStyle w:val="Heading4"/>
      </w:pPr>
      <w:r>
        <w:t>Findings</w:t>
      </w:r>
    </w:p>
    <w:p w:rsidR="005912AF" w:rsidRPr="00913F98" w:rsidRDefault="005912AF" w:rsidP="005912AF">
      <w:pPr>
        <w:pStyle w:val="PPVBody"/>
      </w:pPr>
      <w:r>
        <w:t>The Review Panel finds:</w:t>
      </w:r>
    </w:p>
    <w:p w:rsidR="005912AF" w:rsidRPr="009F4D9F" w:rsidRDefault="005912AF" w:rsidP="005912AF">
      <w:pPr>
        <w:pStyle w:val="PPVBullet1"/>
      </w:pPr>
      <w:r>
        <w:t>the population target of 80,000 was a limiting factor in developing the FARs.</w:t>
      </w:r>
    </w:p>
    <w:p w:rsidR="005912AF" w:rsidRDefault="005912AF" w:rsidP="005912AF">
      <w:pPr>
        <w:pStyle w:val="Heading2"/>
      </w:pPr>
      <w:bookmarkStart w:id="274" w:name="_Toc519350377"/>
      <w:bookmarkStart w:id="275" w:name="_Toc519439739"/>
      <w:bookmarkStart w:id="276" w:name="_Ref519601990"/>
      <w:bookmarkStart w:id="277" w:name="_Toc519710271"/>
      <w:bookmarkStart w:id="278" w:name="_Toc519766831"/>
      <w:r>
        <w:t>Using the FAR as a density control</w:t>
      </w:r>
      <w:bookmarkEnd w:id="274"/>
      <w:bookmarkEnd w:id="275"/>
      <w:bookmarkEnd w:id="276"/>
      <w:bookmarkEnd w:id="277"/>
      <w:bookmarkEnd w:id="278"/>
    </w:p>
    <w:p w:rsidR="005912AF" w:rsidRPr="00170C10" w:rsidRDefault="005912AF" w:rsidP="005912AF">
      <w:pPr>
        <w:pStyle w:val="Heading4"/>
      </w:pPr>
      <w:r>
        <w:t>Context</w:t>
      </w:r>
    </w:p>
    <w:p w:rsidR="005912AF" w:rsidRDefault="005912AF" w:rsidP="005912AF">
      <w:pPr>
        <w:pStyle w:val="PPVBody"/>
      </w:pPr>
      <w:r>
        <w:t>One of the purposes of the FAR is to limit the density of development to achieve a population of 80,000 people.  Leaving aside the issue that the FAU potentially undermines this purpose (by allowing significantly more floorspace and therefore significantly more population), this section discusses whether the FAR is the most appropriate tool to control population and dwelling density.</w:t>
      </w:r>
    </w:p>
    <w:p w:rsidR="005912AF" w:rsidRDefault="005912AF" w:rsidP="005912AF">
      <w:pPr>
        <w:pStyle w:val="Heading4"/>
      </w:pPr>
      <w:r>
        <w:lastRenderedPageBreak/>
        <w:t>Submissions and evidence</w:t>
      </w:r>
    </w:p>
    <w:p w:rsidR="00785416" w:rsidRDefault="005912AF" w:rsidP="005912AF">
      <w:pPr>
        <w:pStyle w:val="PPVBody"/>
      </w:pPr>
      <w:r>
        <w:t xml:space="preserve">The FAR seeks to limit dwellings (and therefore population) by limiting the GFA devoted to dwellings.  The calculations that are used to derive the FARs were also used to derive dwelling density (dwellings per hectare).  </w:t>
      </w:r>
      <w:r>
        <w:fldChar w:fldCharType="begin"/>
      </w:r>
      <w:r>
        <w:instrText xml:space="preserve"> REF _Ref519593263 \h </w:instrText>
      </w:r>
      <w:r>
        <w:fldChar w:fldCharType="separate"/>
      </w:r>
      <w:r w:rsidR="00A307EC">
        <w:t xml:space="preserve">Table </w:t>
      </w:r>
      <w:r w:rsidR="00A307EC">
        <w:rPr>
          <w:noProof/>
        </w:rPr>
        <w:t>13</w:t>
      </w:r>
      <w:r>
        <w:fldChar w:fldCharType="end"/>
      </w:r>
      <w:r>
        <w:t xml:space="preserve"> shows the equivalent dwelling densities related to the FARs as set out in the </w:t>
      </w:r>
      <w:r w:rsidRPr="00913F98">
        <w:rPr>
          <w:i/>
        </w:rPr>
        <w:t>Urban Design Strategy</w:t>
      </w:r>
      <w:r>
        <w:t>.</w:t>
      </w:r>
    </w:p>
    <w:p w:rsidR="005912AF" w:rsidRDefault="005912AF" w:rsidP="005912AF">
      <w:pPr>
        <w:pStyle w:val="Caption"/>
      </w:pPr>
      <w:bookmarkStart w:id="279" w:name="_Ref519593263"/>
      <w:bookmarkStart w:id="280" w:name="_Toc519339178"/>
      <w:bookmarkStart w:id="281" w:name="_Toc519439826"/>
      <w:bookmarkStart w:id="282" w:name="_Toc519719138"/>
      <w:bookmarkStart w:id="283" w:name="_Toc519710361"/>
      <w:r>
        <w:t xml:space="preserve">Table </w:t>
      </w:r>
      <w:r>
        <w:rPr>
          <w:noProof/>
        </w:rPr>
        <w:fldChar w:fldCharType="begin"/>
      </w:r>
      <w:r>
        <w:rPr>
          <w:noProof/>
        </w:rPr>
        <w:instrText xml:space="preserve"> SEQ Table \* ARABIC </w:instrText>
      </w:r>
      <w:r>
        <w:rPr>
          <w:noProof/>
        </w:rPr>
        <w:fldChar w:fldCharType="separate"/>
      </w:r>
      <w:r w:rsidR="00A307EC">
        <w:rPr>
          <w:noProof/>
        </w:rPr>
        <w:t>13</w:t>
      </w:r>
      <w:r>
        <w:rPr>
          <w:noProof/>
        </w:rPr>
        <w:fldChar w:fldCharType="end"/>
      </w:r>
      <w:bookmarkEnd w:id="279"/>
      <w:r>
        <w:t>:</w:t>
      </w:r>
      <w:r>
        <w:tab/>
        <w:t>Relationship between recommended FARs and population and dwelling densities</w:t>
      </w:r>
      <w:bookmarkEnd w:id="280"/>
      <w:bookmarkEnd w:id="281"/>
      <w:bookmarkEnd w:id="282"/>
      <w:bookmarkEnd w:id="283"/>
    </w:p>
    <w:tbl>
      <w:tblPr>
        <w:tblW w:w="0" w:type="auto"/>
        <w:tblBorders>
          <w:bottom w:val="single" w:sz="12" w:space="0" w:color="215868"/>
          <w:insideH w:val="dotted" w:sz="4" w:space="0" w:color="auto"/>
        </w:tblBorders>
        <w:tblLayout w:type="fixed"/>
        <w:tblLook w:val="04A0" w:firstRow="1" w:lastRow="0" w:firstColumn="1" w:lastColumn="0" w:noHBand="0" w:noVBand="1"/>
      </w:tblPr>
      <w:tblGrid>
        <w:gridCol w:w="3936"/>
        <w:gridCol w:w="708"/>
        <w:gridCol w:w="709"/>
        <w:gridCol w:w="709"/>
        <w:gridCol w:w="708"/>
        <w:gridCol w:w="709"/>
        <w:gridCol w:w="709"/>
        <w:gridCol w:w="1098"/>
      </w:tblGrid>
      <w:tr w:rsidR="005912AF" w:rsidRPr="00AF7A4D" w:rsidTr="005912AF">
        <w:trPr>
          <w:cantSplit/>
          <w:tblHeader/>
        </w:trPr>
        <w:tc>
          <w:tcPr>
            <w:tcW w:w="3936" w:type="dxa"/>
            <w:tcBorders>
              <w:top w:val="nil"/>
              <w:bottom w:val="dotted" w:sz="4" w:space="0" w:color="auto"/>
            </w:tcBorders>
            <w:shd w:val="clear" w:color="auto" w:fill="215868"/>
            <w:vAlign w:val="bottom"/>
          </w:tcPr>
          <w:p w:rsidR="005912AF" w:rsidRPr="00AF7A4D" w:rsidRDefault="005912AF" w:rsidP="005912AF">
            <w:pPr>
              <w:pStyle w:val="PPVTableHeader"/>
            </w:pPr>
          </w:p>
        </w:tc>
        <w:tc>
          <w:tcPr>
            <w:tcW w:w="1417" w:type="dxa"/>
            <w:gridSpan w:val="2"/>
            <w:tcBorders>
              <w:top w:val="nil"/>
              <w:bottom w:val="dotted" w:sz="4" w:space="0" w:color="auto"/>
            </w:tcBorders>
            <w:shd w:val="clear" w:color="auto" w:fill="215868"/>
            <w:vAlign w:val="bottom"/>
          </w:tcPr>
          <w:p w:rsidR="005912AF" w:rsidRPr="00AF7A4D" w:rsidRDefault="005912AF" w:rsidP="005912AF">
            <w:pPr>
              <w:pStyle w:val="PPVTableHeader"/>
            </w:pPr>
            <w:r w:rsidRPr="00AF7A4D">
              <w:t>Wirraway</w:t>
            </w:r>
          </w:p>
        </w:tc>
        <w:tc>
          <w:tcPr>
            <w:tcW w:w="1417" w:type="dxa"/>
            <w:gridSpan w:val="2"/>
            <w:tcBorders>
              <w:top w:val="nil"/>
              <w:bottom w:val="dotted" w:sz="4" w:space="0" w:color="auto"/>
            </w:tcBorders>
            <w:shd w:val="clear" w:color="auto" w:fill="215868"/>
            <w:vAlign w:val="bottom"/>
          </w:tcPr>
          <w:p w:rsidR="005912AF" w:rsidRPr="00AF7A4D" w:rsidRDefault="005912AF" w:rsidP="005912AF">
            <w:pPr>
              <w:pStyle w:val="PPVTableHeader"/>
            </w:pPr>
            <w:r w:rsidRPr="00AF7A4D">
              <w:t>Sandridge</w:t>
            </w:r>
          </w:p>
        </w:tc>
        <w:tc>
          <w:tcPr>
            <w:tcW w:w="1418" w:type="dxa"/>
            <w:gridSpan w:val="2"/>
            <w:tcBorders>
              <w:top w:val="nil"/>
              <w:bottom w:val="dotted" w:sz="4" w:space="0" w:color="auto"/>
            </w:tcBorders>
            <w:shd w:val="clear" w:color="auto" w:fill="215868"/>
            <w:vAlign w:val="bottom"/>
          </w:tcPr>
          <w:p w:rsidR="005912AF" w:rsidRPr="00AF7A4D" w:rsidRDefault="005912AF" w:rsidP="005912AF">
            <w:pPr>
              <w:pStyle w:val="PPVTableHeader"/>
            </w:pPr>
            <w:r w:rsidRPr="00AF7A4D">
              <w:t>Montague</w:t>
            </w:r>
          </w:p>
        </w:tc>
        <w:tc>
          <w:tcPr>
            <w:tcW w:w="1098" w:type="dxa"/>
            <w:tcBorders>
              <w:top w:val="nil"/>
              <w:bottom w:val="dotted" w:sz="4" w:space="0" w:color="auto"/>
            </w:tcBorders>
            <w:shd w:val="clear" w:color="auto" w:fill="215868"/>
            <w:vAlign w:val="bottom"/>
          </w:tcPr>
          <w:p w:rsidR="005912AF" w:rsidRPr="00AF7A4D" w:rsidRDefault="005912AF" w:rsidP="005912AF">
            <w:pPr>
              <w:pStyle w:val="PPVTableHeader"/>
            </w:pPr>
            <w:r w:rsidRPr="00AF7A4D">
              <w:t>Lorimer</w:t>
            </w:r>
          </w:p>
        </w:tc>
      </w:tr>
      <w:tr w:rsidR="005912AF" w:rsidRPr="00AF7A4D" w:rsidTr="005912AF">
        <w:trPr>
          <w:cantSplit/>
        </w:trPr>
        <w:tc>
          <w:tcPr>
            <w:tcW w:w="3936" w:type="dxa"/>
            <w:tcBorders>
              <w:top w:val="dotted" w:sz="4" w:space="0" w:color="auto"/>
            </w:tcBorders>
            <w:shd w:val="clear" w:color="auto" w:fill="auto"/>
          </w:tcPr>
          <w:p w:rsidR="005912AF" w:rsidRPr="00AF6604" w:rsidRDefault="005912AF" w:rsidP="005912AF">
            <w:pPr>
              <w:pStyle w:val="PPVTableText"/>
              <w:rPr>
                <w:szCs w:val="20"/>
              </w:rPr>
            </w:pPr>
          </w:p>
        </w:tc>
        <w:tc>
          <w:tcPr>
            <w:tcW w:w="708"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Non-core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c>
          <w:tcPr>
            <w:tcW w:w="708"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Non-core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Non-core</w:t>
            </w:r>
          </w:p>
        </w:tc>
        <w:tc>
          <w:tcPr>
            <w:tcW w:w="1098"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r>
      <w:tr w:rsidR="005912AF" w:rsidRPr="00AF7A4D" w:rsidTr="005912AF">
        <w:trPr>
          <w:cantSplit/>
        </w:trPr>
        <w:tc>
          <w:tcPr>
            <w:tcW w:w="3936" w:type="dxa"/>
            <w:shd w:val="clear" w:color="auto" w:fill="auto"/>
          </w:tcPr>
          <w:p w:rsidR="005912AF" w:rsidRPr="00AF6604" w:rsidRDefault="005912AF" w:rsidP="005912AF">
            <w:pPr>
              <w:pStyle w:val="PPVTableText"/>
              <w:rPr>
                <w:szCs w:val="20"/>
              </w:rPr>
            </w:pPr>
            <w:r w:rsidRPr="00AF6604">
              <w:rPr>
                <w:szCs w:val="20"/>
              </w:rPr>
              <w:t>Maximum residential FAR</w:t>
            </w:r>
          </w:p>
        </w:tc>
        <w:tc>
          <w:tcPr>
            <w:tcW w:w="708" w:type="dxa"/>
            <w:shd w:val="clear" w:color="auto" w:fill="auto"/>
          </w:tcPr>
          <w:p w:rsidR="005912AF" w:rsidRPr="00AF6604" w:rsidRDefault="005912AF" w:rsidP="005912AF">
            <w:pPr>
              <w:pStyle w:val="PPVTableText"/>
              <w:jc w:val="center"/>
              <w:rPr>
                <w:szCs w:val="20"/>
              </w:rPr>
            </w:pPr>
            <w:r w:rsidRPr="00AF6604">
              <w:rPr>
                <w:szCs w:val="20"/>
              </w:rPr>
              <w:t>2.1</w:t>
            </w:r>
          </w:p>
        </w:tc>
        <w:tc>
          <w:tcPr>
            <w:tcW w:w="709" w:type="dxa"/>
            <w:shd w:val="clear" w:color="auto" w:fill="auto"/>
          </w:tcPr>
          <w:p w:rsidR="005912AF" w:rsidRPr="00AF6604" w:rsidRDefault="005912AF" w:rsidP="005912AF">
            <w:pPr>
              <w:pStyle w:val="PPVTableText"/>
              <w:jc w:val="center"/>
              <w:rPr>
                <w:szCs w:val="20"/>
              </w:rPr>
            </w:pPr>
            <w:r w:rsidRPr="00AF6604">
              <w:rPr>
                <w:szCs w:val="20"/>
              </w:rPr>
              <w:t>2.1</w:t>
            </w:r>
          </w:p>
        </w:tc>
        <w:tc>
          <w:tcPr>
            <w:tcW w:w="709" w:type="dxa"/>
            <w:shd w:val="clear" w:color="auto" w:fill="auto"/>
          </w:tcPr>
          <w:p w:rsidR="005912AF" w:rsidRPr="00AF6604" w:rsidRDefault="005912AF" w:rsidP="005912AF">
            <w:pPr>
              <w:pStyle w:val="PPVTableText"/>
              <w:jc w:val="center"/>
              <w:rPr>
                <w:szCs w:val="20"/>
              </w:rPr>
            </w:pPr>
            <w:r w:rsidRPr="00AF6604">
              <w:rPr>
                <w:szCs w:val="20"/>
              </w:rPr>
              <w:t>4.4</w:t>
            </w:r>
          </w:p>
        </w:tc>
        <w:tc>
          <w:tcPr>
            <w:tcW w:w="708" w:type="dxa"/>
            <w:shd w:val="clear" w:color="auto" w:fill="auto"/>
          </w:tcPr>
          <w:p w:rsidR="005912AF" w:rsidRPr="00AF6604" w:rsidRDefault="005912AF" w:rsidP="005912AF">
            <w:pPr>
              <w:pStyle w:val="PPVTableText"/>
              <w:jc w:val="center"/>
              <w:rPr>
                <w:szCs w:val="20"/>
              </w:rPr>
            </w:pPr>
            <w:r w:rsidRPr="00AF6604">
              <w:rPr>
                <w:szCs w:val="20"/>
              </w:rPr>
              <w:t>3.3</w:t>
            </w:r>
          </w:p>
        </w:tc>
        <w:tc>
          <w:tcPr>
            <w:tcW w:w="709" w:type="dxa"/>
            <w:shd w:val="clear" w:color="auto" w:fill="auto"/>
          </w:tcPr>
          <w:p w:rsidR="005912AF" w:rsidRPr="00AF6604" w:rsidRDefault="005912AF" w:rsidP="005912AF">
            <w:pPr>
              <w:pStyle w:val="PPVTableText"/>
              <w:jc w:val="center"/>
              <w:rPr>
                <w:szCs w:val="20"/>
              </w:rPr>
            </w:pPr>
            <w:r w:rsidRPr="00AF6604">
              <w:rPr>
                <w:szCs w:val="20"/>
              </w:rPr>
              <w:t>4.5</w:t>
            </w:r>
          </w:p>
        </w:tc>
        <w:tc>
          <w:tcPr>
            <w:tcW w:w="709" w:type="dxa"/>
            <w:shd w:val="clear" w:color="auto" w:fill="auto"/>
          </w:tcPr>
          <w:p w:rsidR="005912AF" w:rsidRPr="00AF6604" w:rsidRDefault="005912AF" w:rsidP="005912AF">
            <w:pPr>
              <w:pStyle w:val="PPVTableText"/>
              <w:jc w:val="center"/>
              <w:rPr>
                <w:szCs w:val="20"/>
              </w:rPr>
            </w:pPr>
            <w:r w:rsidRPr="00AF6604">
              <w:rPr>
                <w:szCs w:val="20"/>
              </w:rPr>
              <w:t>3.0</w:t>
            </w:r>
          </w:p>
        </w:tc>
        <w:tc>
          <w:tcPr>
            <w:tcW w:w="1098" w:type="dxa"/>
            <w:shd w:val="clear" w:color="auto" w:fill="auto"/>
          </w:tcPr>
          <w:p w:rsidR="005912AF" w:rsidRPr="00AF6604" w:rsidRDefault="005912AF" w:rsidP="005912AF">
            <w:pPr>
              <w:pStyle w:val="PPVTableText"/>
              <w:jc w:val="center"/>
              <w:rPr>
                <w:szCs w:val="20"/>
              </w:rPr>
            </w:pPr>
            <w:r w:rsidRPr="00AF6604">
              <w:rPr>
                <w:szCs w:val="20"/>
              </w:rPr>
              <w:t>3.6</w:t>
            </w:r>
          </w:p>
        </w:tc>
      </w:tr>
      <w:tr w:rsidR="005912AF" w:rsidRPr="00AF7A4D" w:rsidTr="005912AF">
        <w:trPr>
          <w:cantSplit/>
        </w:trPr>
        <w:tc>
          <w:tcPr>
            <w:tcW w:w="3936" w:type="dxa"/>
            <w:shd w:val="clear" w:color="auto" w:fill="auto"/>
          </w:tcPr>
          <w:p w:rsidR="005912AF" w:rsidRPr="00AF6604" w:rsidRDefault="005912AF" w:rsidP="005912AF">
            <w:pPr>
              <w:pStyle w:val="PPVTableText"/>
              <w:rPr>
                <w:szCs w:val="20"/>
              </w:rPr>
            </w:pPr>
            <w:r w:rsidRPr="00AF6604">
              <w:rPr>
                <w:szCs w:val="20"/>
              </w:rPr>
              <w:t xml:space="preserve">Dwelling </w:t>
            </w:r>
            <w:r>
              <w:rPr>
                <w:szCs w:val="20"/>
              </w:rPr>
              <w:t xml:space="preserve">per hectare </w:t>
            </w:r>
            <w:r w:rsidRPr="00AF6604">
              <w:rPr>
                <w:szCs w:val="20"/>
              </w:rPr>
              <w:t xml:space="preserve">densities by </w:t>
            </w:r>
            <w:r w:rsidR="00EE531A">
              <w:rPr>
                <w:szCs w:val="20"/>
              </w:rPr>
              <w:t>P</w:t>
            </w:r>
            <w:r w:rsidR="00FC563B">
              <w:rPr>
                <w:szCs w:val="20"/>
              </w:rPr>
              <w:t>recinct (based on future gross developable area</w:t>
            </w:r>
            <w:r w:rsidRPr="00AF6604">
              <w:rPr>
                <w:szCs w:val="20"/>
              </w:rPr>
              <w:t xml:space="preserve">) </w:t>
            </w:r>
          </w:p>
        </w:tc>
        <w:tc>
          <w:tcPr>
            <w:tcW w:w="708" w:type="dxa"/>
            <w:shd w:val="clear" w:color="auto" w:fill="auto"/>
          </w:tcPr>
          <w:p w:rsidR="005912AF" w:rsidRPr="00AF6604" w:rsidRDefault="005912AF" w:rsidP="005912AF">
            <w:pPr>
              <w:pStyle w:val="PPVTableText"/>
              <w:jc w:val="center"/>
              <w:rPr>
                <w:szCs w:val="20"/>
              </w:rPr>
            </w:pPr>
            <w:r w:rsidRPr="00AF6604">
              <w:rPr>
                <w:szCs w:val="20"/>
              </w:rPr>
              <w:t>139</w:t>
            </w:r>
          </w:p>
        </w:tc>
        <w:tc>
          <w:tcPr>
            <w:tcW w:w="709" w:type="dxa"/>
            <w:shd w:val="clear" w:color="auto" w:fill="auto"/>
          </w:tcPr>
          <w:p w:rsidR="005912AF" w:rsidRPr="00AF6604" w:rsidRDefault="005912AF" w:rsidP="005912AF">
            <w:pPr>
              <w:pStyle w:val="PPVTableText"/>
              <w:jc w:val="center"/>
              <w:rPr>
                <w:szCs w:val="20"/>
              </w:rPr>
            </w:pPr>
            <w:r w:rsidRPr="00AF6604">
              <w:rPr>
                <w:szCs w:val="20"/>
              </w:rPr>
              <w:t>131</w:t>
            </w:r>
          </w:p>
        </w:tc>
        <w:tc>
          <w:tcPr>
            <w:tcW w:w="709" w:type="dxa"/>
            <w:shd w:val="clear" w:color="auto" w:fill="auto"/>
          </w:tcPr>
          <w:p w:rsidR="005912AF" w:rsidRPr="00AF6604" w:rsidRDefault="005912AF" w:rsidP="005912AF">
            <w:pPr>
              <w:pStyle w:val="PPVTableText"/>
              <w:jc w:val="center"/>
              <w:rPr>
                <w:szCs w:val="20"/>
              </w:rPr>
            </w:pPr>
            <w:r w:rsidRPr="00AF6604">
              <w:rPr>
                <w:szCs w:val="20"/>
              </w:rPr>
              <w:t>311</w:t>
            </w:r>
          </w:p>
        </w:tc>
        <w:tc>
          <w:tcPr>
            <w:tcW w:w="708" w:type="dxa"/>
            <w:shd w:val="clear" w:color="auto" w:fill="auto"/>
          </w:tcPr>
          <w:p w:rsidR="005912AF" w:rsidRPr="00AF6604" w:rsidRDefault="005912AF" w:rsidP="005912AF">
            <w:pPr>
              <w:pStyle w:val="PPVTableText"/>
              <w:jc w:val="center"/>
              <w:rPr>
                <w:szCs w:val="20"/>
              </w:rPr>
            </w:pPr>
            <w:r w:rsidRPr="00AF6604">
              <w:rPr>
                <w:szCs w:val="20"/>
              </w:rPr>
              <w:t>154</w:t>
            </w:r>
          </w:p>
        </w:tc>
        <w:tc>
          <w:tcPr>
            <w:tcW w:w="709" w:type="dxa"/>
            <w:shd w:val="clear" w:color="auto" w:fill="auto"/>
          </w:tcPr>
          <w:p w:rsidR="005912AF" w:rsidRPr="00AF6604" w:rsidRDefault="005912AF" w:rsidP="005912AF">
            <w:pPr>
              <w:pStyle w:val="PPVTableText"/>
              <w:jc w:val="center"/>
              <w:rPr>
                <w:szCs w:val="20"/>
              </w:rPr>
            </w:pPr>
            <w:r w:rsidRPr="00AF6604">
              <w:rPr>
                <w:szCs w:val="20"/>
              </w:rPr>
              <w:t>301</w:t>
            </w:r>
          </w:p>
        </w:tc>
        <w:tc>
          <w:tcPr>
            <w:tcW w:w="709" w:type="dxa"/>
            <w:shd w:val="clear" w:color="auto" w:fill="auto"/>
          </w:tcPr>
          <w:p w:rsidR="005912AF" w:rsidRPr="00AF6604" w:rsidRDefault="005912AF" w:rsidP="005912AF">
            <w:pPr>
              <w:pStyle w:val="PPVTableText"/>
              <w:jc w:val="center"/>
              <w:rPr>
                <w:szCs w:val="20"/>
              </w:rPr>
            </w:pPr>
            <w:r w:rsidRPr="00AF6604">
              <w:rPr>
                <w:szCs w:val="20"/>
              </w:rPr>
              <w:t>198</w:t>
            </w:r>
          </w:p>
        </w:tc>
        <w:tc>
          <w:tcPr>
            <w:tcW w:w="1098" w:type="dxa"/>
            <w:shd w:val="clear" w:color="auto" w:fill="auto"/>
          </w:tcPr>
          <w:p w:rsidR="005912AF" w:rsidRPr="00AF6604" w:rsidRDefault="005912AF" w:rsidP="005912AF">
            <w:pPr>
              <w:pStyle w:val="PPVTableText"/>
              <w:jc w:val="center"/>
              <w:rPr>
                <w:szCs w:val="20"/>
              </w:rPr>
            </w:pPr>
            <w:r w:rsidRPr="00AF6604">
              <w:rPr>
                <w:szCs w:val="20"/>
              </w:rPr>
              <w:t>255</w:t>
            </w:r>
          </w:p>
        </w:tc>
      </w:tr>
    </w:tbl>
    <w:p w:rsidR="005912AF" w:rsidRPr="00DA1162" w:rsidRDefault="005912AF" w:rsidP="005912AF">
      <w:pPr>
        <w:pStyle w:val="PPVSource"/>
      </w:pPr>
      <w:r>
        <w:t>Source:</w:t>
      </w:r>
      <w:r>
        <w:tab/>
      </w:r>
      <w:r w:rsidRPr="0074522A">
        <w:rPr>
          <w:i/>
        </w:rPr>
        <w:t>Urban Design Strategy</w:t>
      </w:r>
      <w:r>
        <w:t>, Table 13</w:t>
      </w:r>
    </w:p>
    <w:p w:rsidR="005912AF" w:rsidRDefault="005912AF" w:rsidP="005912AF">
      <w:pPr>
        <w:pStyle w:val="PPVBody"/>
      </w:pPr>
      <w:r>
        <w:t>It is important to note that while the FARs have been adjusted upwards to allow for the assumption that only 75 per cent of development will be built out by 2050, the dwellin</w:t>
      </w:r>
      <w:r w:rsidR="0074522A">
        <w:t xml:space="preserve">g densities have not.  </w:t>
      </w:r>
      <w:r>
        <w:t>These dwelling densities were initially included in the exhibited version of Clause 22.XX.  One of the outcomes sought to be achieved by including dwelling densities was:</w:t>
      </w:r>
    </w:p>
    <w:p w:rsidR="005912AF" w:rsidRDefault="005912AF" w:rsidP="005912AF">
      <w:pPr>
        <w:pStyle w:val="PPVQuote"/>
      </w:pPr>
      <w:r w:rsidRPr="009F20CB">
        <w:t>Ensuring the available yield possible through a Floor Area Ratio is not delivered as large numbers of small dwellings that compromise the preferred dwelling diversity.</w:t>
      </w:r>
    </w:p>
    <w:p w:rsidR="005912AF" w:rsidRDefault="005912AF" w:rsidP="005912AF">
      <w:pPr>
        <w:pStyle w:val="PPVBody"/>
      </w:pPr>
      <w:r>
        <w:t>The dwelling densities were removed from the Part C version of Clause 22.XX, on the basis that dwelling densities and FARs were aimed at achieving the same thing, and the dwelling densities were therefore not required.</w:t>
      </w:r>
    </w:p>
    <w:p w:rsidR="005912AF" w:rsidRPr="005947A4" w:rsidRDefault="005912AF" w:rsidP="005912AF">
      <w:pPr>
        <w:pStyle w:val="PPVBody"/>
      </w:pPr>
      <w:r w:rsidRPr="00490C7E">
        <w:t>A number of s</w:t>
      </w:r>
      <w:r>
        <w:t>ubmitters, notably Mr Armsby (S</w:t>
      </w:r>
      <w:r w:rsidRPr="00490C7E">
        <w:t>58)</w:t>
      </w:r>
      <w:r>
        <w:t>,</w:t>
      </w:r>
      <w:r w:rsidRPr="00490C7E">
        <w:t xml:space="preserve"> pointed out that </w:t>
      </w:r>
      <w:r>
        <w:t xml:space="preserve">the approach of limiting density </w:t>
      </w:r>
      <w:r w:rsidRPr="00064C55">
        <w:t>through floor area rather than dwelling numbers per hectare was likely to lead to smaller dwellings with minimum floor area devoted to circulation spaces, as developers sought to maximise the number of dwellings possible for a given floor area.</w:t>
      </w:r>
      <w:r w:rsidR="006A0FB0" w:rsidRPr="00064C55">
        <w:t xml:space="preserve">  </w:t>
      </w:r>
      <w:r w:rsidR="00064C55">
        <w:t>Ms Wagenhoff (S</w:t>
      </w:r>
      <w:r w:rsidR="006A0FB0" w:rsidRPr="00064C55">
        <w:t>168) submitted that the use of a FAR may lead to a lack of housing diversity, particularly in Lorimer and Montague, as developers seek to maximum the yield of their sites.</w:t>
      </w:r>
    </w:p>
    <w:p w:rsidR="005912AF" w:rsidRPr="00545C53" w:rsidRDefault="005912AF" w:rsidP="005912AF">
      <w:pPr>
        <w:pStyle w:val="PPVBody"/>
      </w:pPr>
      <w:r>
        <w:t>In his closing, Mr Tweedie submitted:</w:t>
      </w:r>
    </w:p>
    <w:p w:rsidR="005912AF" w:rsidRPr="00545C53" w:rsidRDefault="005912AF" w:rsidP="005912AF">
      <w:pPr>
        <w:pStyle w:val="PPVQuote"/>
      </w:pPr>
      <w:r>
        <w:t>I</w:t>
      </w:r>
      <w:r w:rsidRPr="00545C53">
        <w:t>f the Review Panel considers that</w:t>
      </w:r>
      <w:r>
        <w:t xml:space="preserve"> [a]</w:t>
      </w:r>
      <w:r w:rsidRPr="00545C53">
        <w:t xml:space="preserve"> form of density related planning control should be developed for use as part of some alternative, future amendment, it is submitted that such a control would need to be (as a minimum):</w:t>
      </w:r>
    </w:p>
    <w:p w:rsidR="005912AF" w:rsidRDefault="005912AF" w:rsidP="005912AF">
      <w:pPr>
        <w:pStyle w:val="PPVQuoteBullet1"/>
      </w:pPr>
      <w:r>
        <w:t>realistic, and determined on the basis that development opportunities within Fishermans Bend should be optimised, and not unduly constrained</w:t>
      </w:r>
    </w:p>
    <w:p w:rsidR="005912AF" w:rsidRDefault="005912AF" w:rsidP="005912AF">
      <w:pPr>
        <w:pStyle w:val="PPVQuoteBullet1"/>
      </w:pPr>
      <w:r>
        <w:t>not determined from an arbitrary, 2050 population target of 80,000 people, or by reference to arbitrary assumptions about the rate of future development or the number of existing permits that will be acted on</w:t>
      </w:r>
    </w:p>
    <w:p w:rsidR="005912AF" w:rsidRPr="0055457D" w:rsidRDefault="005912AF" w:rsidP="005912AF">
      <w:pPr>
        <w:pStyle w:val="PPVQuoteBullet1"/>
      </w:pPr>
      <w:r>
        <w:t>discretionary, so that it can be used to guide decision making and not dictate fixed, inflexible development outcomes</w:t>
      </w:r>
    </w:p>
    <w:p w:rsidR="005912AF" w:rsidRDefault="005912AF" w:rsidP="005912AF">
      <w:pPr>
        <w:pStyle w:val="PPVQuoteBullet1"/>
      </w:pPr>
      <w:r>
        <w:lastRenderedPageBreak/>
        <w:t>deter</w:t>
      </w:r>
      <w:r w:rsidRPr="0055457D">
        <w:t>mined after an acceptable</w:t>
      </w:r>
      <w:r>
        <w:t xml:space="preserve"> built form/urban design control has been developed, rather than as a key determinant of those controls.</w:t>
      </w:r>
      <w:r>
        <w:rPr>
          <w:rStyle w:val="FootnoteReference"/>
        </w:rPr>
        <w:footnoteReference w:id="49"/>
      </w:r>
    </w:p>
    <w:p w:rsidR="005912AF" w:rsidRPr="007374D4" w:rsidRDefault="005912AF" w:rsidP="005912AF">
      <w:pPr>
        <w:pStyle w:val="PPVBody"/>
      </w:pPr>
      <w:r>
        <w:t>He noted that a density control which has these features has some potential to be a useful planning tool but said “</w:t>
      </w:r>
      <w:r w:rsidRPr="0078184A">
        <w:rPr>
          <w:i/>
        </w:rPr>
        <w:t>the current FAR Control is not</w:t>
      </w:r>
      <w:r>
        <w:t>”.</w:t>
      </w:r>
    </w:p>
    <w:p w:rsidR="005912AF" w:rsidRDefault="005912AF" w:rsidP="005912AF">
      <w:pPr>
        <w:pStyle w:val="Heading4"/>
      </w:pPr>
      <w:r>
        <w:t>Discussion</w:t>
      </w:r>
    </w:p>
    <w:p w:rsidR="005912AF" w:rsidRPr="00BD2CFC" w:rsidRDefault="005912AF" w:rsidP="005912AF">
      <w:pPr>
        <w:pStyle w:val="PPVBody"/>
      </w:pPr>
      <w:r>
        <w:t xml:space="preserve">The Review Panel </w:t>
      </w:r>
      <w:r w:rsidRPr="00BD2CFC">
        <w:t xml:space="preserve">accepts that there is rationale for seeking to control density in Fishermans Bend (which is explained in more detail in subsequent </w:t>
      </w:r>
      <w:r w:rsidR="0079402A">
        <w:t>C</w:t>
      </w:r>
      <w:r w:rsidRPr="00BD2CFC">
        <w:t>hapters).  However</w:t>
      </w:r>
      <w:r w:rsidR="00A90D8B">
        <w:t>,</w:t>
      </w:r>
      <w:r w:rsidRPr="00BD2CFC">
        <w:t xml:space="preserve"> it is not convinced that using FAR as a residential density control is wise.  Limiting the amount of floor space that a developer can devote to dwellings may lead to a decrease in:</w:t>
      </w:r>
    </w:p>
    <w:p w:rsidR="005912AF" w:rsidRPr="00BD2CFC" w:rsidRDefault="005912AF" w:rsidP="005912AF">
      <w:pPr>
        <w:pStyle w:val="PPVBullet1"/>
      </w:pPr>
      <w:r w:rsidRPr="00BD2CFC">
        <w:t>the number of dwellings, which is the intended effect</w:t>
      </w:r>
    </w:p>
    <w:p w:rsidR="005912AF" w:rsidRPr="00BD2CFC" w:rsidRDefault="005912AF" w:rsidP="005912AF">
      <w:pPr>
        <w:pStyle w:val="PPVBullet1"/>
      </w:pPr>
      <w:r w:rsidRPr="00BD2CFC">
        <w:t>the size of dwellings, which is an unintended effect</w:t>
      </w:r>
    </w:p>
    <w:p w:rsidR="005912AF" w:rsidRPr="00BD2CFC" w:rsidRDefault="005912AF" w:rsidP="005912AF">
      <w:pPr>
        <w:pStyle w:val="PPVBullet1"/>
      </w:pPr>
      <w:r w:rsidRPr="00BD2CFC">
        <w:t xml:space="preserve">the amount of common </w:t>
      </w:r>
      <w:r w:rsidR="003E3BDA">
        <w:t xml:space="preserve">and circulation </w:t>
      </w:r>
      <w:r w:rsidRPr="00BD2CFC">
        <w:t xml:space="preserve">space provided in association with dwellings (for example </w:t>
      </w:r>
      <w:r w:rsidRPr="00CE5AB8">
        <w:t>lobbies, corridors, and the like</w:t>
      </w:r>
      <w:r w:rsidRPr="00BD2CFC">
        <w:t>), which in an unintended effect.</w:t>
      </w:r>
    </w:p>
    <w:p w:rsidR="00785416" w:rsidRDefault="005912AF" w:rsidP="005912AF">
      <w:pPr>
        <w:pStyle w:val="PPVBody"/>
      </w:pPr>
      <w:r w:rsidRPr="00BD2CFC">
        <w:t>It runs the risk of forcing a developer to choose between, providing, say, one three</w:t>
      </w:r>
      <w:r w:rsidR="00A80B82">
        <w:t>-</w:t>
      </w:r>
      <w:r w:rsidRPr="00BD2CFC">
        <w:t>bedroom apartment or two single-bedroom apartments in the same floor space.  Directly limiting the number of dwellings avoids this choice.</w:t>
      </w:r>
    </w:p>
    <w:p w:rsidR="005912AF" w:rsidRDefault="005912AF" w:rsidP="005912AF">
      <w:pPr>
        <w:pStyle w:val="PPVBody"/>
      </w:pPr>
      <w:r w:rsidRPr="00BD2CFC">
        <w:t xml:space="preserve">A dwelling density control will only result in more floor space being delivered than intended if dwellings are larger than the </w:t>
      </w:r>
      <w:r w:rsidRPr="00BD2CFC">
        <w:rPr>
          <w:i/>
        </w:rPr>
        <w:t>Urban Design Strategy</w:t>
      </w:r>
      <w:r w:rsidRPr="00BD2CFC">
        <w:t xml:space="preserve"> assumed, or common spaces are more generous.  Neither of these outcomes would seem to be a bad thing.</w:t>
      </w:r>
    </w:p>
    <w:p w:rsidR="00785416" w:rsidRDefault="005912AF" w:rsidP="005912AF">
      <w:pPr>
        <w:pStyle w:val="PPVBody"/>
      </w:pPr>
      <w:r>
        <w:t>For this reason the Review Panel does not believe that the FAR is the best tool to control density.  It prefers a dwelling density tool (based on a number of dwellings per hectare).</w:t>
      </w:r>
    </w:p>
    <w:p w:rsidR="005912AF" w:rsidRDefault="005912AF" w:rsidP="005912AF">
      <w:pPr>
        <w:pStyle w:val="Heading4"/>
      </w:pPr>
      <w:r>
        <w:t>Findings</w:t>
      </w:r>
    </w:p>
    <w:p w:rsidR="005912AF" w:rsidRDefault="005912AF" w:rsidP="005912AF">
      <w:pPr>
        <w:pStyle w:val="PPVBody"/>
      </w:pPr>
      <w:r>
        <w:t>The Review Panel concludes:</w:t>
      </w:r>
    </w:p>
    <w:p w:rsidR="005912AF" w:rsidRDefault="00AF55A5" w:rsidP="005912AF">
      <w:pPr>
        <w:pStyle w:val="PPVBullet1"/>
      </w:pPr>
      <w:r>
        <w:t xml:space="preserve">the </w:t>
      </w:r>
      <w:r w:rsidR="005912AF">
        <w:t xml:space="preserve">limit on density should be </w:t>
      </w:r>
      <w:r>
        <w:t xml:space="preserve">based on </w:t>
      </w:r>
      <w:r w:rsidR="005912AF">
        <w:t>dwelling numbers per hectare</w:t>
      </w:r>
      <w:r>
        <w:t>, rather than FARs</w:t>
      </w:r>
      <w:r w:rsidR="005912AF">
        <w:t>.</w:t>
      </w:r>
    </w:p>
    <w:p w:rsidR="005912AF" w:rsidRPr="00A65026" w:rsidRDefault="005912AF" w:rsidP="005912AF">
      <w:pPr>
        <w:pStyle w:val="Heading2"/>
      </w:pPr>
      <w:bookmarkStart w:id="284" w:name="_Toc519350378"/>
      <w:bookmarkStart w:id="285" w:name="_Toc519439740"/>
      <w:bookmarkStart w:id="286" w:name="_Ref519676101"/>
      <w:bookmarkStart w:id="287" w:name="_Toc519710272"/>
      <w:bookmarkStart w:id="288" w:name="_Toc519766832"/>
      <w:r>
        <w:t xml:space="preserve">Using </w:t>
      </w:r>
      <w:r w:rsidRPr="00A65026">
        <w:t>FAR to influence the mix of uses on a site</w:t>
      </w:r>
      <w:bookmarkEnd w:id="284"/>
      <w:bookmarkEnd w:id="285"/>
      <w:bookmarkEnd w:id="286"/>
      <w:bookmarkEnd w:id="287"/>
      <w:bookmarkEnd w:id="288"/>
    </w:p>
    <w:p w:rsidR="005912AF" w:rsidRPr="00A65026" w:rsidRDefault="005912AF" w:rsidP="005912AF">
      <w:pPr>
        <w:pStyle w:val="Heading4"/>
      </w:pPr>
      <w:r w:rsidRPr="00A65026">
        <w:t>Context</w:t>
      </w:r>
    </w:p>
    <w:p w:rsidR="00785416" w:rsidRDefault="005912AF" w:rsidP="005912AF">
      <w:pPr>
        <w:pStyle w:val="PPVBody"/>
      </w:pPr>
      <w:r>
        <w:t xml:space="preserve">The Vision and draft Framework acknowledge the need to encourage commercial uses in Fishermans Bend, to ensure that the jobs targets are met and to ensure a truly vibrant mixed use precinct.  The draft Framework refers to the role that FAR can play in providing a land use mix including employment opportunities, and includes strategies of introducing a minimum FAR for employment floor area in activity cores, and allowing additional commercial floor area above the FARs to maximise employment opportunities.  There is recognition in the background documents and </w:t>
      </w:r>
      <w:r w:rsidR="00BD2CFC">
        <w:t xml:space="preserve">the </w:t>
      </w:r>
      <w:r>
        <w:t>MAC reports of the challenge presented by strong market demand for residential floorspace potentially crowding out commercial floorspace.</w:t>
      </w:r>
    </w:p>
    <w:p w:rsidR="00785416" w:rsidRDefault="005912AF" w:rsidP="005912AF">
      <w:pPr>
        <w:pStyle w:val="PPVBody"/>
      </w:pPr>
      <w:r>
        <w:lastRenderedPageBreak/>
        <w:t>C</w:t>
      </w:r>
      <w:r w:rsidRPr="00A65026">
        <w:t>ommercial floor</w:t>
      </w:r>
      <w:r>
        <w:t>space is included in the total maximum FARs</w:t>
      </w:r>
      <w:r w:rsidR="00AF55A5">
        <w:t xml:space="preserve"> in the Part C controls</w:t>
      </w:r>
      <w:r w:rsidRPr="00A65026">
        <w:t xml:space="preserve">.  </w:t>
      </w:r>
      <w:r>
        <w:t xml:space="preserve">While core areas nominally provide a specific allowance for commercial floorspace (by leaving a gap between the amount of </w:t>
      </w:r>
      <w:r w:rsidR="0079402A">
        <w:t>d</w:t>
      </w:r>
      <w:r>
        <w:t>welling FAR and the amount of Total FAR), there is no separate allowance for c</w:t>
      </w:r>
      <w:r w:rsidRPr="00A65026">
        <w:t xml:space="preserve">ommercial </w:t>
      </w:r>
      <w:r>
        <w:t xml:space="preserve">floorspace in </w:t>
      </w:r>
      <w:r w:rsidRPr="00A65026">
        <w:t>non-core areas.</w:t>
      </w:r>
    </w:p>
    <w:p w:rsidR="005912AF" w:rsidRDefault="005912AF" w:rsidP="005912AF">
      <w:pPr>
        <w:pStyle w:val="PPVBody"/>
      </w:pPr>
      <w:r>
        <w:t xml:space="preserve">As mentioned, while the Part A controls effectively allowed uncapped commercial floorspace in core areas, this was removed in the Part C version.  The Part C version took what was effectively a </w:t>
      </w:r>
      <w:r w:rsidRPr="00A65026">
        <w:rPr>
          <w:u w:val="single"/>
        </w:rPr>
        <w:t>minimum</w:t>
      </w:r>
      <w:r w:rsidRPr="00A65026">
        <w:t xml:space="preserve"> </w:t>
      </w:r>
      <w:r>
        <w:t xml:space="preserve">commercial floorspace </w:t>
      </w:r>
      <w:r w:rsidRPr="00A65026">
        <w:t>requirement in Clause 22.XX</w:t>
      </w:r>
      <w:r>
        <w:t>,</w:t>
      </w:r>
      <w:r w:rsidRPr="00A65026">
        <w:t xml:space="preserve"> </w:t>
      </w:r>
      <w:r>
        <w:t xml:space="preserve">and made it part of </w:t>
      </w:r>
      <w:r w:rsidRPr="00A65026">
        <w:t>a</w:t>
      </w:r>
      <w:r>
        <w:t xml:space="preserve"> </w:t>
      </w:r>
      <w:r w:rsidRPr="00A65026">
        <w:rPr>
          <w:u w:val="single"/>
        </w:rPr>
        <w:t>maximum</w:t>
      </w:r>
      <w:r w:rsidRPr="00A65026">
        <w:t xml:space="preserve"> </w:t>
      </w:r>
      <w:r>
        <w:t xml:space="preserve">FAR </w:t>
      </w:r>
      <w:r w:rsidRPr="00A65026">
        <w:t xml:space="preserve">in the </w:t>
      </w:r>
      <w:r>
        <w:t>CCZ</w:t>
      </w:r>
      <w:r w:rsidRPr="00A65026">
        <w:t>.</w:t>
      </w:r>
    </w:p>
    <w:p w:rsidR="00785416" w:rsidRDefault="005912AF" w:rsidP="005912AF">
      <w:pPr>
        <w:pStyle w:val="PPVBody"/>
      </w:pPr>
      <w:r>
        <w:t>The issue is whether the FAR will be effective in encouraging an appropriate land use mix, in particular the provision of commercial floorspace, in Fishermans Bend.</w:t>
      </w:r>
    </w:p>
    <w:p w:rsidR="005912AF" w:rsidRPr="00A65026" w:rsidRDefault="005912AF" w:rsidP="005912AF">
      <w:pPr>
        <w:pStyle w:val="Heading4"/>
      </w:pPr>
      <w:r w:rsidRPr="00A65026">
        <w:t>Submissions and evidence</w:t>
      </w:r>
    </w:p>
    <w:p w:rsidR="005912AF" w:rsidRPr="00A65026" w:rsidRDefault="005912AF" w:rsidP="005912AF">
      <w:pPr>
        <w:pStyle w:val="PPVBody"/>
      </w:pPr>
      <w:r>
        <w:t>The</w:t>
      </w:r>
      <w:r w:rsidRPr="00A65026">
        <w:t xml:space="preserve"> </w:t>
      </w:r>
      <w:r w:rsidRPr="002D1D6D">
        <w:rPr>
          <w:i/>
        </w:rPr>
        <w:t>Urban Design Strategy</w:t>
      </w:r>
      <w:r>
        <w:t xml:space="preserve"> stated:</w:t>
      </w:r>
    </w:p>
    <w:p w:rsidR="005912AF" w:rsidRDefault="005912AF" w:rsidP="005912AF">
      <w:pPr>
        <w:pStyle w:val="PPVQuote"/>
      </w:pPr>
      <w:r>
        <w:t>The average floor area per employee in the capital city zoned areas of the City of Melbourne (the Hoddle Grid, Southbank and the Docklands) is 31 square metres.  Taking into account car parking rates of one space per 100 employees, the total amount of floor area needed to deliver the 40,000 jobs is 1,612,000 square metres.</w:t>
      </w:r>
    </w:p>
    <w:p w:rsidR="005912AF" w:rsidRPr="00A65026" w:rsidRDefault="005912AF" w:rsidP="005912AF">
      <w:pPr>
        <w:pStyle w:val="PPVBody"/>
      </w:pPr>
      <w:r>
        <w:t>The</w:t>
      </w:r>
      <w:r w:rsidRPr="00A65026">
        <w:t xml:space="preserve"> </w:t>
      </w:r>
      <w:r w:rsidRPr="002D1D6D">
        <w:rPr>
          <w:i/>
        </w:rPr>
        <w:t>Urban Design Strategy</w:t>
      </w:r>
      <w:r>
        <w:t xml:space="preserve"> allocated the </w:t>
      </w:r>
      <w:r w:rsidRPr="00A65026">
        <w:t xml:space="preserve">1.612 million square metres of floor space </w:t>
      </w:r>
      <w:r>
        <w:t xml:space="preserve">required to accommodate the 40,000 jobs </w:t>
      </w:r>
      <w:r w:rsidRPr="00A65026">
        <w:t xml:space="preserve">between the </w:t>
      </w:r>
      <w:r>
        <w:t>P</w:t>
      </w:r>
      <w:r w:rsidRPr="00A65026">
        <w:t>recincts as follows:</w:t>
      </w:r>
    </w:p>
    <w:p w:rsidR="005912AF" w:rsidRPr="00050BC6" w:rsidRDefault="005912AF" w:rsidP="005912AF">
      <w:pPr>
        <w:pStyle w:val="PPVBullet1"/>
      </w:pPr>
      <w:r w:rsidRPr="00050BC6">
        <w:t>Wirraway</w:t>
      </w:r>
      <w:r w:rsidRPr="00050BC6">
        <w:tab/>
        <w:t>161,200 square metres</w:t>
      </w:r>
    </w:p>
    <w:p w:rsidR="005912AF" w:rsidRPr="00050BC6" w:rsidRDefault="005912AF" w:rsidP="005912AF">
      <w:pPr>
        <w:pStyle w:val="PPVBullet1"/>
      </w:pPr>
      <w:r w:rsidRPr="00050BC6">
        <w:t>Sandridge</w:t>
      </w:r>
      <w:r w:rsidRPr="00050BC6">
        <w:tab/>
        <w:t>1,047,800 square metres</w:t>
      </w:r>
    </w:p>
    <w:p w:rsidR="005912AF" w:rsidRPr="00050BC6" w:rsidRDefault="005912AF" w:rsidP="005912AF">
      <w:pPr>
        <w:pStyle w:val="PPVBullet1"/>
      </w:pPr>
      <w:r w:rsidRPr="00050BC6">
        <w:t>Montague</w:t>
      </w:r>
      <w:r w:rsidRPr="00050BC6">
        <w:tab/>
        <w:t>161,200 square metres</w:t>
      </w:r>
    </w:p>
    <w:p w:rsidR="005912AF" w:rsidRPr="00050BC6" w:rsidRDefault="005912AF" w:rsidP="005912AF">
      <w:pPr>
        <w:pStyle w:val="PPVBullet1"/>
      </w:pPr>
      <w:r w:rsidRPr="00050BC6">
        <w:t>Lorimer</w:t>
      </w:r>
      <w:r w:rsidRPr="00050BC6">
        <w:tab/>
      </w:r>
      <w:r w:rsidRPr="00050BC6">
        <w:tab/>
        <w:t>241,800 square metres.</w:t>
      </w:r>
    </w:p>
    <w:p w:rsidR="005912AF" w:rsidRDefault="005912AF" w:rsidP="005912AF">
      <w:pPr>
        <w:pStyle w:val="PPVBody"/>
      </w:pPr>
      <w:r>
        <w:t>As the Review Panel understands it, this was the process used to derive the floor area required to set the minimum commercial floorspace requirements in Clause 22.XX, and the non-dwelling FARs in the Part C version of the controls.</w:t>
      </w:r>
    </w:p>
    <w:p w:rsidR="005912AF" w:rsidRDefault="005912AF" w:rsidP="005912AF">
      <w:pPr>
        <w:pStyle w:val="PPVBody"/>
      </w:pPr>
      <w:r>
        <w:t>As noted in Chapter 6,</w:t>
      </w:r>
      <w:r w:rsidRPr="00A65026">
        <w:t xml:space="preserve"> Mr Szafraniec </w:t>
      </w:r>
      <w:r>
        <w:t>supported the contention</w:t>
      </w:r>
      <w:r w:rsidRPr="00A65026">
        <w:t xml:space="preserve"> that on average 31 square metres of floor space is required to support each job</w:t>
      </w:r>
      <w:r w:rsidRPr="00BD2CFC">
        <w:t>.</w:t>
      </w:r>
      <w:r w:rsidRPr="00BD2CFC">
        <w:rPr>
          <w:rStyle w:val="FootnoteReference"/>
        </w:rPr>
        <w:footnoteReference w:id="50"/>
      </w:r>
      <w:r w:rsidR="00BD2CFC" w:rsidRPr="00BD2CFC">
        <w:t xml:space="preserve">  This amount was not challenged.</w:t>
      </w:r>
    </w:p>
    <w:p w:rsidR="00785416" w:rsidRDefault="005912AF" w:rsidP="005912AF">
      <w:pPr>
        <w:pStyle w:val="PPVBody"/>
      </w:pPr>
      <w:r>
        <w:t>Ms Hodyl’s evidence was that while the minimum commercial FARs should remain in the local policy in Clause 22.XX, they should be expressed as mandatory minimums, and the policy strengthened to better ensure they are delivered.</w:t>
      </w:r>
      <w:r w:rsidR="00BD2CFC">
        <w:t xml:space="preserve"> </w:t>
      </w:r>
      <w:r w:rsidRPr="004A4CAC">
        <w:t xml:space="preserve"> </w:t>
      </w:r>
      <w:r>
        <w:t xml:space="preserve">Port Phillip submitted that the minimum commercial FAR </w:t>
      </w:r>
      <w:r w:rsidR="00BD2CFC">
        <w:t xml:space="preserve">should be specified in the CCZ </w:t>
      </w:r>
      <w:r>
        <w:t>Schedule, and subject to a requirement for a permit if it were not to be delivered.</w:t>
      </w:r>
    </w:p>
    <w:p w:rsidR="005912AF" w:rsidRDefault="005912AF" w:rsidP="005912AF">
      <w:pPr>
        <w:pStyle w:val="PPVBody"/>
      </w:pPr>
      <w:r>
        <w:t>Melbourne supported a cap on non-dwelling floor space, but for reasons associated with the use of the FAR mechanism to acquire land needed for public infrastructure, not because it considered that the amount of commercial floorspace in Fishermans Bend should be limited.</w:t>
      </w:r>
    </w:p>
    <w:p w:rsidR="005912AF" w:rsidRPr="00A65026" w:rsidRDefault="005912AF" w:rsidP="005912AF">
      <w:pPr>
        <w:pStyle w:val="Heading4"/>
      </w:pPr>
      <w:r w:rsidRPr="00A65026">
        <w:lastRenderedPageBreak/>
        <w:t>Discussion</w:t>
      </w:r>
    </w:p>
    <w:p w:rsidR="005912AF" w:rsidRDefault="005912AF" w:rsidP="005912AF">
      <w:pPr>
        <w:pStyle w:val="PPVBody"/>
      </w:pPr>
      <w:r w:rsidRPr="002F519E">
        <w:t>The Revie</w:t>
      </w:r>
      <w:r>
        <w:t xml:space="preserve">w Panel </w:t>
      </w:r>
      <w:r w:rsidRPr="002F519E">
        <w:t>accepts that there is a need to encourage commercial development</w:t>
      </w:r>
      <w:r w:rsidR="00BD2CFC">
        <w:t xml:space="preserve"> in Fishermans Bend</w:t>
      </w:r>
      <w:r>
        <w:t xml:space="preserve"> for the reasons set out in the context to this section of the report.  The Review Panel has a number of concerns with the way in which commercial floorspace is dealt with in the FARs (Part C version):</w:t>
      </w:r>
    </w:p>
    <w:p w:rsidR="005912AF" w:rsidRDefault="005912AF" w:rsidP="005912AF">
      <w:pPr>
        <w:pStyle w:val="PPVBullet1"/>
      </w:pPr>
      <w:r>
        <w:t>t</w:t>
      </w:r>
      <w:r w:rsidRPr="002F519E">
        <w:t xml:space="preserve">here is no policy justification in the Vision or </w:t>
      </w:r>
      <w:r>
        <w:t xml:space="preserve">draft </w:t>
      </w:r>
      <w:r w:rsidRPr="002F519E">
        <w:t>Framework for limiting commercial floorspace (separate to limits on overall development</w:t>
      </w:r>
      <w:r>
        <w:t xml:space="preserve"> to achieve character outcomes) – the draft </w:t>
      </w:r>
      <w:r w:rsidRPr="002F519E">
        <w:t>Framework</w:t>
      </w:r>
      <w:r>
        <w:t xml:space="preserve"> seeks to encourage employment uses, not limit them</w:t>
      </w:r>
    </w:p>
    <w:p w:rsidR="00785416" w:rsidRDefault="005912AF" w:rsidP="005912AF">
      <w:pPr>
        <w:pStyle w:val="PPVBullet1"/>
      </w:pPr>
      <w:r>
        <w:t>it makes no sense to take a preferred minimum commercial floorspace requirement in local policy (Clause 22.XX), and effectively convert the same amount of floorspace into a maximum in the CCZ</w:t>
      </w:r>
    </w:p>
    <w:p w:rsidR="005912AF" w:rsidRDefault="005912AF" w:rsidP="005912AF">
      <w:pPr>
        <w:pStyle w:val="PPVBullet1"/>
      </w:pPr>
      <w:r>
        <w:t>the floor area estimate used to derive the non-dwelling FARs was based on employment uses, but will be applied to all non-dwelling uses, including community or other uses, further reducing the amount of floorspace potentially available for employment generating uses (or potentially discouraging non-commercial community based uses)</w:t>
      </w:r>
    </w:p>
    <w:p w:rsidR="005912AF" w:rsidRDefault="005912AF" w:rsidP="005912AF">
      <w:pPr>
        <w:pStyle w:val="PPVBullet1"/>
      </w:pPr>
      <w:r>
        <w:t>the limit may work against employment uses that have a larger footprint than the 31 square metres per job allocated</w:t>
      </w:r>
    </w:p>
    <w:p w:rsidR="005912AF" w:rsidRDefault="005912AF" w:rsidP="005912AF">
      <w:pPr>
        <w:pStyle w:val="PPVBullet1"/>
      </w:pPr>
      <w:r>
        <w:t>the limit will apply on a site-by-site basis, potentially limiting the delivery of a stand-alone commercial building sufficiently large to be commercially viable</w:t>
      </w:r>
    </w:p>
    <w:p w:rsidR="005912AF" w:rsidRDefault="005912AF" w:rsidP="005912AF">
      <w:pPr>
        <w:pStyle w:val="PPVBullet1"/>
      </w:pPr>
      <w:r>
        <w:t>b</w:t>
      </w:r>
      <w:r w:rsidRPr="002F519E">
        <w:t xml:space="preserve">ecause the limit will apply on </w:t>
      </w:r>
      <w:r>
        <w:t>a</w:t>
      </w:r>
      <w:r w:rsidRPr="002F519E">
        <w:t xml:space="preserve"> site-by-site basis</w:t>
      </w:r>
      <w:r>
        <w:t>,</w:t>
      </w:r>
      <w:r w:rsidRPr="002F519E">
        <w:t xml:space="preserve"> any under</w:t>
      </w:r>
      <w:r>
        <w:t>-</w:t>
      </w:r>
      <w:r w:rsidRPr="002F519E">
        <w:t>delivery on a particular site will not be able to be made up by deliver</w:t>
      </w:r>
      <w:r>
        <w:t>y</w:t>
      </w:r>
      <w:r w:rsidRPr="002F519E">
        <w:t xml:space="preserve"> on an alternative site.</w:t>
      </w:r>
    </w:p>
    <w:p w:rsidR="005912AF" w:rsidRPr="002F519E" w:rsidRDefault="005912AF" w:rsidP="005912AF">
      <w:pPr>
        <w:pStyle w:val="PPVBody"/>
      </w:pPr>
      <w:r>
        <w:t>The Review Panel considers that in the Part C version of the controls, FAR is effectively used to limit commercial floorspace, rather than to encourage it</w:t>
      </w:r>
      <w:r w:rsidR="00BD2CFC">
        <w:t xml:space="preserve"> and it</w:t>
      </w:r>
      <w:r>
        <w:t xml:space="preserve"> does not support this approach.  It recommends that the approach reflected in the Part A version be taken forward, with some modification.</w:t>
      </w:r>
    </w:p>
    <w:p w:rsidR="005912AF" w:rsidRPr="002F519E" w:rsidRDefault="005912AF" w:rsidP="005912AF">
      <w:pPr>
        <w:pStyle w:val="Heading4"/>
      </w:pPr>
      <w:r w:rsidRPr="002F519E">
        <w:t>Finding</w:t>
      </w:r>
    </w:p>
    <w:p w:rsidR="005912AF" w:rsidRDefault="005912AF" w:rsidP="005912AF">
      <w:pPr>
        <w:pStyle w:val="PPVBody"/>
      </w:pPr>
      <w:r>
        <w:t>The Review Panel finds:</w:t>
      </w:r>
    </w:p>
    <w:p w:rsidR="005912AF" w:rsidRDefault="005912AF" w:rsidP="005912AF">
      <w:pPr>
        <w:pStyle w:val="PPVBullet1"/>
      </w:pPr>
      <w:r>
        <w:t>a maximum commercial FAR is inconsistent with the Vision and</w:t>
      </w:r>
      <w:r w:rsidRPr="002F519E">
        <w:t xml:space="preserve"> </w:t>
      </w:r>
      <w:r>
        <w:t xml:space="preserve">draft </w:t>
      </w:r>
      <w:r w:rsidRPr="002F519E">
        <w:t>Framework</w:t>
      </w:r>
      <w:r>
        <w:t xml:space="preserve"> and should be removed</w:t>
      </w:r>
    </w:p>
    <w:p w:rsidR="00785416" w:rsidRDefault="005912AF" w:rsidP="005912AF">
      <w:pPr>
        <w:pStyle w:val="PPVBullet1"/>
      </w:pPr>
      <w:r>
        <w:t>the proposal for unlimited commercial floorspace in core areas reflected in the exhibited and Part A versions of the controls should be taken forward</w:t>
      </w:r>
    </w:p>
    <w:p w:rsidR="005912AF" w:rsidRPr="002F519E" w:rsidRDefault="005912AF" w:rsidP="005912AF">
      <w:pPr>
        <w:pStyle w:val="PPVBullet1"/>
      </w:pPr>
      <w:r>
        <w:t>the minimum commercial FAR in Clause 22.XX should be retained, but referred to as a plot ratio control in keeping with existing VPP definitions.</w:t>
      </w:r>
    </w:p>
    <w:p w:rsidR="005912AF" w:rsidRDefault="005912AF" w:rsidP="005912AF">
      <w:pPr>
        <w:pStyle w:val="Heading2"/>
      </w:pPr>
      <w:bookmarkStart w:id="289" w:name="_Toc519350379"/>
      <w:bookmarkStart w:id="290" w:name="_Toc519439741"/>
      <w:bookmarkStart w:id="291" w:name="_Ref519601567"/>
      <w:bookmarkStart w:id="292" w:name="_Ref519602381"/>
      <w:bookmarkStart w:id="293" w:name="_Toc519710273"/>
      <w:bookmarkStart w:id="294" w:name="_Toc519766833"/>
      <w:r>
        <w:lastRenderedPageBreak/>
        <w:t>Using FAR to moderate built form</w:t>
      </w:r>
      <w:bookmarkEnd w:id="289"/>
      <w:bookmarkEnd w:id="290"/>
      <w:bookmarkEnd w:id="291"/>
      <w:bookmarkEnd w:id="292"/>
      <w:bookmarkEnd w:id="293"/>
      <w:bookmarkEnd w:id="294"/>
    </w:p>
    <w:p w:rsidR="005912AF" w:rsidRDefault="005912AF" w:rsidP="00126AA9">
      <w:pPr>
        <w:pStyle w:val="Heading4"/>
      </w:pPr>
      <w:r>
        <w:t>Context</w:t>
      </w:r>
    </w:p>
    <w:p w:rsidR="005912AF" w:rsidRDefault="005912AF" w:rsidP="00126AA9">
      <w:pPr>
        <w:pStyle w:val="PPVBody"/>
        <w:keepNext/>
      </w:pPr>
      <w:r>
        <w:t xml:space="preserve">The </w:t>
      </w:r>
      <w:r w:rsidRPr="00886483">
        <w:rPr>
          <w:i/>
        </w:rPr>
        <w:t>Urban Design Strategy</w:t>
      </w:r>
      <w:r>
        <w:t xml:space="preserve"> identified seven character typologies and present</w:t>
      </w:r>
      <w:r w:rsidR="00BD2CFC">
        <w:t>ed</w:t>
      </w:r>
      <w:r>
        <w:t xml:space="preserve"> illustrations and indicative FARs for each type, as shown in </w:t>
      </w:r>
      <w:r>
        <w:fldChar w:fldCharType="begin"/>
      </w:r>
      <w:r>
        <w:instrText xml:space="preserve"> REF _Ref519595522 \h </w:instrText>
      </w:r>
      <w:r>
        <w:fldChar w:fldCharType="separate"/>
      </w:r>
      <w:r w:rsidR="00A307EC" w:rsidRPr="00846C0A">
        <w:t xml:space="preserve">Table </w:t>
      </w:r>
      <w:r w:rsidR="00A307EC">
        <w:rPr>
          <w:noProof/>
        </w:rPr>
        <w:t>14</w:t>
      </w:r>
      <w:r>
        <w:fldChar w:fldCharType="end"/>
      </w:r>
      <w:r>
        <w:t>.</w:t>
      </w:r>
    </w:p>
    <w:p w:rsidR="005912AF" w:rsidRPr="0000550E" w:rsidRDefault="005912AF" w:rsidP="00126AA9">
      <w:pPr>
        <w:pStyle w:val="Caption"/>
      </w:pPr>
      <w:bookmarkStart w:id="295" w:name="_Ref519595522"/>
      <w:bookmarkStart w:id="296" w:name="_Toc519439827"/>
      <w:bookmarkStart w:id="297" w:name="_Toc519719139"/>
      <w:bookmarkStart w:id="298" w:name="_Toc519710362"/>
      <w:r w:rsidRPr="00846C0A">
        <w:t xml:space="preserve">Table </w:t>
      </w:r>
      <w:r w:rsidRPr="00846C0A">
        <w:rPr>
          <w:noProof/>
        </w:rPr>
        <w:fldChar w:fldCharType="begin"/>
      </w:r>
      <w:r w:rsidRPr="00846C0A">
        <w:rPr>
          <w:noProof/>
        </w:rPr>
        <w:instrText xml:space="preserve"> SEQ Table \* ARABIC </w:instrText>
      </w:r>
      <w:r w:rsidRPr="00846C0A">
        <w:rPr>
          <w:noProof/>
        </w:rPr>
        <w:fldChar w:fldCharType="separate"/>
      </w:r>
      <w:r w:rsidR="00A307EC">
        <w:rPr>
          <w:noProof/>
        </w:rPr>
        <w:t>14</w:t>
      </w:r>
      <w:r w:rsidRPr="00846C0A">
        <w:rPr>
          <w:noProof/>
        </w:rPr>
        <w:fldChar w:fldCharType="end"/>
      </w:r>
      <w:bookmarkEnd w:id="295"/>
      <w:r w:rsidRPr="00846C0A">
        <w:t>:</w:t>
      </w:r>
      <w:r w:rsidRPr="00846C0A">
        <w:tab/>
        <w:t xml:space="preserve">Character types from </w:t>
      </w:r>
      <w:r w:rsidRPr="00846C0A">
        <w:rPr>
          <w:i/>
        </w:rPr>
        <w:t>Urban Design Strategy</w:t>
      </w:r>
      <w:bookmarkEnd w:id="296"/>
      <w:bookmarkEnd w:id="297"/>
      <w:bookmarkEnd w:id="298"/>
    </w:p>
    <w:tbl>
      <w:tblPr>
        <w:tblW w:w="9072" w:type="dxa"/>
        <w:tblInd w:w="108" w:type="dxa"/>
        <w:tblBorders>
          <w:bottom w:val="single" w:sz="12" w:space="0" w:color="215868"/>
          <w:insideH w:val="dotted" w:sz="4" w:space="0" w:color="auto"/>
        </w:tblBorders>
        <w:tblLayout w:type="fixed"/>
        <w:tblLook w:val="04A0" w:firstRow="1" w:lastRow="0" w:firstColumn="1" w:lastColumn="0" w:noHBand="0" w:noVBand="1"/>
      </w:tblPr>
      <w:tblGrid>
        <w:gridCol w:w="1560"/>
        <w:gridCol w:w="2409"/>
        <w:gridCol w:w="2551"/>
        <w:gridCol w:w="2552"/>
      </w:tblGrid>
      <w:tr w:rsidR="005912AF" w:rsidRPr="00401C28" w:rsidTr="005912AF">
        <w:trPr>
          <w:cantSplit/>
          <w:tblHeader/>
        </w:trPr>
        <w:tc>
          <w:tcPr>
            <w:tcW w:w="1560" w:type="dxa"/>
            <w:tcBorders>
              <w:top w:val="nil"/>
              <w:bottom w:val="dotted" w:sz="4" w:space="0" w:color="auto"/>
            </w:tcBorders>
            <w:shd w:val="clear" w:color="auto" w:fill="215868"/>
            <w:vAlign w:val="bottom"/>
          </w:tcPr>
          <w:p w:rsidR="005912AF" w:rsidRPr="006A0F3A" w:rsidRDefault="005912AF" w:rsidP="00126AA9">
            <w:pPr>
              <w:pStyle w:val="PPVTableHeader"/>
              <w:keepNext/>
            </w:pPr>
          </w:p>
        </w:tc>
        <w:tc>
          <w:tcPr>
            <w:tcW w:w="2409" w:type="dxa"/>
            <w:tcBorders>
              <w:top w:val="nil"/>
              <w:bottom w:val="dotted" w:sz="4" w:space="0" w:color="auto"/>
            </w:tcBorders>
            <w:shd w:val="clear" w:color="auto" w:fill="215868"/>
            <w:vAlign w:val="bottom"/>
          </w:tcPr>
          <w:p w:rsidR="005912AF" w:rsidRPr="006A0F3A" w:rsidRDefault="005912AF" w:rsidP="00126AA9">
            <w:pPr>
              <w:pStyle w:val="PPVTableHeader"/>
              <w:keepNext/>
              <w:rPr>
                <w:rFonts w:cs="Times New Roman"/>
                <w:color w:val="000000"/>
              </w:rPr>
            </w:pPr>
          </w:p>
        </w:tc>
        <w:tc>
          <w:tcPr>
            <w:tcW w:w="5103" w:type="dxa"/>
            <w:gridSpan w:val="2"/>
            <w:tcBorders>
              <w:top w:val="nil"/>
              <w:bottom w:val="dotted" w:sz="4" w:space="0" w:color="auto"/>
            </w:tcBorders>
            <w:shd w:val="clear" w:color="auto" w:fill="215868"/>
            <w:vAlign w:val="bottom"/>
          </w:tcPr>
          <w:p w:rsidR="005912AF" w:rsidRPr="006A0F3A" w:rsidRDefault="005912AF" w:rsidP="00126AA9">
            <w:pPr>
              <w:pStyle w:val="PPVTableHeader"/>
              <w:keepNext/>
              <w:jc w:val="center"/>
            </w:pPr>
            <w:r>
              <w:t>Suitability</w:t>
            </w:r>
          </w:p>
        </w:tc>
      </w:tr>
      <w:tr w:rsidR="005912AF" w:rsidRPr="00401C28" w:rsidTr="005912AF">
        <w:trPr>
          <w:cantSplit/>
        </w:trPr>
        <w:tc>
          <w:tcPr>
            <w:tcW w:w="1560" w:type="dxa"/>
            <w:tcBorders>
              <w:top w:val="dotted" w:sz="4" w:space="0" w:color="auto"/>
            </w:tcBorders>
            <w:shd w:val="clear" w:color="auto" w:fill="215868" w:themeFill="accent5" w:themeFillShade="80"/>
            <w:vAlign w:val="center"/>
            <w:hideMark/>
          </w:tcPr>
          <w:p w:rsidR="005912AF" w:rsidRPr="006A0F3A" w:rsidRDefault="005912AF" w:rsidP="00126AA9">
            <w:pPr>
              <w:pStyle w:val="PPVTableHeader"/>
              <w:keepNext/>
            </w:pPr>
            <w:r w:rsidRPr="006A0F3A">
              <w:t> </w:t>
            </w:r>
            <w:r>
              <w:t>Character type</w:t>
            </w:r>
          </w:p>
        </w:tc>
        <w:tc>
          <w:tcPr>
            <w:tcW w:w="2409" w:type="dxa"/>
            <w:tcBorders>
              <w:top w:val="dotted" w:sz="4" w:space="0" w:color="auto"/>
            </w:tcBorders>
            <w:shd w:val="clear" w:color="auto" w:fill="215868" w:themeFill="accent5" w:themeFillShade="80"/>
            <w:vAlign w:val="center"/>
            <w:hideMark/>
          </w:tcPr>
          <w:p w:rsidR="005912AF" w:rsidRPr="006A0F3A" w:rsidRDefault="005912AF" w:rsidP="00126AA9">
            <w:pPr>
              <w:pStyle w:val="PPVTableHeader"/>
              <w:keepNext/>
              <w:jc w:val="center"/>
            </w:pPr>
            <w:r w:rsidRPr="006A0F3A">
              <w:t>FAR</w:t>
            </w:r>
            <w:r>
              <w:t xml:space="preserve"> </w:t>
            </w:r>
            <w:r w:rsidRPr="006A0F3A">
              <w:t>indicative Range</w:t>
            </w:r>
          </w:p>
        </w:tc>
        <w:tc>
          <w:tcPr>
            <w:tcW w:w="2551" w:type="dxa"/>
            <w:tcBorders>
              <w:top w:val="dotted" w:sz="4" w:space="0" w:color="auto"/>
            </w:tcBorders>
            <w:shd w:val="clear" w:color="auto" w:fill="215868" w:themeFill="accent5" w:themeFillShade="80"/>
            <w:vAlign w:val="center"/>
            <w:hideMark/>
          </w:tcPr>
          <w:p w:rsidR="005912AF" w:rsidRPr="006A0F3A" w:rsidRDefault="005912AF" w:rsidP="00126AA9">
            <w:pPr>
              <w:pStyle w:val="PPVTableHeader"/>
              <w:keepNext/>
              <w:jc w:val="center"/>
            </w:pPr>
            <w:r w:rsidRPr="006A0F3A">
              <w:t>Core</w:t>
            </w:r>
          </w:p>
        </w:tc>
        <w:tc>
          <w:tcPr>
            <w:tcW w:w="2552" w:type="dxa"/>
            <w:tcBorders>
              <w:top w:val="dotted" w:sz="4" w:space="0" w:color="auto"/>
            </w:tcBorders>
            <w:shd w:val="clear" w:color="auto" w:fill="215868" w:themeFill="accent5" w:themeFillShade="80"/>
            <w:vAlign w:val="center"/>
            <w:hideMark/>
          </w:tcPr>
          <w:p w:rsidR="005912AF" w:rsidRPr="006A0F3A" w:rsidRDefault="005912AF" w:rsidP="00126AA9">
            <w:pPr>
              <w:pStyle w:val="PPVTableHeader"/>
              <w:keepNext/>
              <w:jc w:val="center"/>
              <w:rPr>
                <w:rFonts w:cs="Arial"/>
              </w:rPr>
            </w:pPr>
            <w:r>
              <w:t>Non-core</w:t>
            </w:r>
          </w:p>
        </w:tc>
      </w:tr>
      <w:tr w:rsidR="005912AF" w:rsidRPr="00401C28" w:rsidTr="005912AF">
        <w:trPr>
          <w:cantSplit/>
        </w:trPr>
        <w:tc>
          <w:tcPr>
            <w:tcW w:w="1560" w:type="dxa"/>
            <w:shd w:val="clear" w:color="auto" w:fill="auto"/>
            <w:vAlign w:val="center"/>
            <w:hideMark/>
          </w:tcPr>
          <w:p w:rsidR="005912AF" w:rsidRPr="00AF6604" w:rsidRDefault="005912AF" w:rsidP="00126AA9">
            <w:pPr>
              <w:pStyle w:val="PPVBody"/>
              <w:keepNext/>
              <w:rPr>
                <w:rFonts w:cs="Arial"/>
                <w:b/>
                <w:sz w:val="20"/>
                <w:szCs w:val="20"/>
              </w:rPr>
            </w:pPr>
            <w:r w:rsidRPr="00AF6604">
              <w:rPr>
                <w:b/>
                <w:sz w:val="20"/>
                <w:szCs w:val="20"/>
              </w:rPr>
              <w:t>Narrow infill</w:t>
            </w:r>
          </w:p>
        </w:tc>
        <w:tc>
          <w:tcPr>
            <w:tcW w:w="2409" w:type="dxa"/>
            <w:shd w:val="clear" w:color="auto" w:fill="auto"/>
            <w:vAlign w:val="center"/>
            <w:hideMark/>
          </w:tcPr>
          <w:p w:rsidR="005912AF" w:rsidRPr="00AF6604" w:rsidRDefault="005912AF" w:rsidP="00126AA9">
            <w:pPr>
              <w:pStyle w:val="PPVBody"/>
              <w:keepNext/>
              <w:jc w:val="center"/>
              <w:rPr>
                <w:rFonts w:cs="Arial"/>
                <w:sz w:val="20"/>
                <w:szCs w:val="20"/>
              </w:rPr>
            </w:pPr>
            <w:r w:rsidRPr="00AF6604">
              <w:rPr>
                <w:sz w:val="20"/>
                <w:szCs w:val="20"/>
              </w:rPr>
              <w:t>2:1 to 4:1</w:t>
            </w:r>
          </w:p>
        </w:tc>
        <w:tc>
          <w:tcPr>
            <w:tcW w:w="2551" w:type="dxa"/>
            <w:shd w:val="clear" w:color="auto" w:fill="auto"/>
            <w:vAlign w:val="center"/>
            <w:hideMark/>
          </w:tcPr>
          <w:p w:rsidR="005912AF" w:rsidRPr="00AF6604" w:rsidRDefault="005912AF" w:rsidP="00126AA9">
            <w:pPr>
              <w:pStyle w:val="PPVBody"/>
              <w:keepNext/>
              <w:jc w:val="center"/>
              <w:rPr>
                <w:rFonts w:cs="Arial"/>
                <w:sz w:val="20"/>
                <w:szCs w:val="20"/>
              </w:rPr>
            </w:pPr>
            <w:r w:rsidRPr="00AF6604">
              <w:rPr>
                <w:sz w:val="20"/>
                <w:szCs w:val="20"/>
              </w:rPr>
              <w:t xml:space="preserve">all </w:t>
            </w:r>
            <w:r w:rsidR="00827876">
              <w:rPr>
                <w:sz w:val="20"/>
                <w:szCs w:val="20"/>
              </w:rPr>
              <w:t>p</w:t>
            </w:r>
            <w:r w:rsidRPr="00AF6604">
              <w:rPr>
                <w:sz w:val="20"/>
                <w:szCs w:val="20"/>
              </w:rPr>
              <w:t>recincts except Sandridge</w:t>
            </w:r>
          </w:p>
        </w:tc>
        <w:tc>
          <w:tcPr>
            <w:tcW w:w="2552" w:type="dxa"/>
            <w:shd w:val="clear" w:color="auto" w:fill="auto"/>
            <w:vAlign w:val="center"/>
            <w:hideMark/>
          </w:tcPr>
          <w:p w:rsidR="005912AF" w:rsidRPr="00AF6604" w:rsidRDefault="00827876" w:rsidP="00126AA9">
            <w:pPr>
              <w:pStyle w:val="PPVBody"/>
              <w:keepNext/>
              <w:jc w:val="center"/>
              <w:rPr>
                <w:rFonts w:cs="Arial"/>
                <w:sz w:val="20"/>
                <w:szCs w:val="20"/>
              </w:rPr>
            </w:pPr>
            <w:r>
              <w:rPr>
                <w:sz w:val="20"/>
                <w:szCs w:val="20"/>
              </w:rPr>
              <w:t>all p</w:t>
            </w:r>
            <w:r w:rsidR="005912AF" w:rsidRPr="00AF6604">
              <w:rPr>
                <w:sz w:val="20"/>
                <w:szCs w:val="20"/>
              </w:rPr>
              <w:t>recinct</w:t>
            </w:r>
            <w:r>
              <w:rPr>
                <w:sz w:val="20"/>
                <w:szCs w:val="20"/>
              </w:rPr>
              <w:t>s</w:t>
            </w:r>
          </w:p>
        </w:tc>
      </w:tr>
      <w:tr w:rsidR="005912AF" w:rsidRPr="00401C28" w:rsidTr="005912AF">
        <w:trPr>
          <w:cantSplit/>
        </w:trPr>
        <w:tc>
          <w:tcPr>
            <w:tcW w:w="1560" w:type="dxa"/>
            <w:shd w:val="clear" w:color="auto" w:fill="auto"/>
            <w:vAlign w:val="center"/>
            <w:hideMark/>
          </w:tcPr>
          <w:p w:rsidR="005912AF" w:rsidRPr="00AF6604" w:rsidRDefault="005912AF" w:rsidP="005912AF">
            <w:pPr>
              <w:pStyle w:val="PPVBody"/>
              <w:rPr>
                <w:rFonts w:cs="Arial"/>
                <w:b/>
                <w:sz w:val="20"/>
                <w:szCs w:val="20"/>
              </w:rPr>
            </w:pPr>
            <w:r w:rsidRPr="00AF6604">
              <w:rPr>
                <w:b/>
                <w:sz w:val="20"/>
                <w:szCs w:val="20"/>
              </w:rPr>
              <w:t>Row</w:t>
            </w:r>
          </w:p>
        </w:tc>
        <w:tc>
          <w:tcPr>
            <w:tcW w:w="2409"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2:1 to 4:1</w:t>
            </w:r>
          </w:p>
        </w:tc>
        <w:tc>
          <w:tcPr>
            <w:tcW w:w="2551"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 xml:space="preserve">all </w:t>
            </w:r>
            <w:r w:rsidR="00827876">
              <w:rPr>
                <w:sz w:val="20"/>
                <w:szCs w:val="20"/>
              </w:rPr>
              <w:t>p</w:t>
            </w:r>
            <w:r w:rsidRPr="00AF6604">
              <w:rPr>
                <w:sz w:val="20"/>
                <w:szCs w:val="20"/>
              </w:rPr>
              <w:t>recincts except Sandridge</w:t>
            </w:r>
          </w:p>
        </w:tc>
        <w:tc>
          <w:tcPr>
            <w:tcW w:w="2552"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 xml:space="preserve">all </w:t>
            </w:r>
            <w:r w:rsidR="00827876">
              <w:rPr>
                <w:sz w:val="20"/>
                <w:szCs w:val="20"/>
              </w:rPr>
              <w:t>p</w:t>
            </w:r>
            <w:r w:rsidRPr="00AF6604">
              <w:rPr>
                <w:sz w:val="20"/>
                <w:szCs w:val="20"/>
              </w:rPr>
              <w:t>recincts</w:t>
            </w:r>
          </w:p>
        </w:tc>
      </w:tr>
      <w:tr w:rsidR="005912AF" w:rsidRPr="00401C28" w:rsidTr="005912AF">
        <w:trPr>
          <w:cantSplit/>
        </w:trPr>
        <w:tc>
          <w:tcPr>
            <w:tcW w:w="1560" w:type="dxa"/>
            <w:shd w:val="clear" w:color="auto" w:fill="auto"/>
            <w:vAlign w:val="center"/>
            <w:hideMark/>
          </w:tcPr>
          <w:p w:rsidR="005912AF" w:rsidRPr="00AF6604" w:rsidRDefault="005912AF" w:rsidP="005912AF">
            <w:pPr>
              <w:pStyle w:val="PPVBody"/>
              <w:rPr>
                <w:rFonts w:cs="Arial"/>
                <w:b/>
                <w:sz w:val="20"/>
                <w:szCs w:val="20"/>
              </w:rPr>
            </w:pPr>
            <w:r w:rsidRPr="00AF6604">
              <w:rPr>
                <w:b/>
                <w:sz w:val="20"/>
                <w:szCs w:val="20"/>
              </w:rPr>
              <w:t>Shop</w:t>
            </w:r>
            <w:r>
              <w:rPr>
                <w:b/>
                <w:sz w:val="20"/>
                <w:szCs w:val="20"/>
              </w:rPr>
              <w:t>-</w:t>
            </w:r>
            <w:r w:rsidRPr="00AF6604">
              <w:rPr>
                <w:b/>
                <w:sz w:val="20"/>
                <w:szCs w:val="20"/>
              </w:rPr>
              <w:t>top</w:t>
            </w:r>
          </w:p>
        </w:tc>
        <w:tc>
          <w:tcPr>
            <w:tcW w:w="2409"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3:1 to 5:1</w:t>
            </w:r>
          </w:p>
        </w:tc>
        <w:tc>
          <w:tcPr>
            <w:tcW w:w="2551"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all precincts</w:t>
            </w:r>
          </w:p>
        </w:tc>
        <w:tc>
          <w:tcPr>
            <w:tcW w:w="2552"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 xml:space="preserve">all </w:t>
            </w:r>
            <w:r>
              <w:rPr>
                <w:sz w:val="20"/>
                <w:szCs w:val="20"/>
              </w:rPr>
              <w:t>p</w:t>
            </w:r>
            <w:r w:rsidRPr="00AF6604">
              <w:rPr>
                <w:sz w:val="20"/>
                <w:szCs w:val="20"/>
              </w:rPr>
              <w:t>recincts</w:t>
            </w:r>
          </w:p>
        </w:tc>
      </w:tr>
      <w:tr w:rsidR="005912AF" w:rsidRPr="00401C28" w:rsidTr="005912AF">
        <w:trPr>
          <w:cantSplit/>
        </w:trPr>
        <w:tc>
          <w:tcPr>
            <w:tcW w:w="1560" w:type="dxa"/>
            <w:shd w:val="clear" w:color="auto" w:fill="auto"/>
            <w:vAlign w:val="center"/>
            <w:hideMark/>
          </w:tcPr>
          <w:p w:rsidR="005912AF" w:rsidRPr="00AF6604" w:rsidRDefault="005912AF" w:rsidP="005912AF">
            <w:pPr>
              <w:pStyle w:val="PPVBody"/>
              <w:rPr>
                <w:rFonts w:cs="Arial"/>
                <w:b/>
                <w:sz w:val="20"/>
                <w:szCs w:val="20"/>
              </w:rPr>
            </w:pPr>
            <w:r w:rsidRPr="00AF6604">
              <w:rPr>
                <w:b/>
                <w:sz w:val="20"/>
                <w:szCs w:val="20"/>
              </w:rPr>
              <w:t>Courtyard</w:t>
            </w:r>
          </w:p>
        </w:tc>
        <w:tc>
          <w:tcPr>
            <w:tcW w:w="2409"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2:1 to 5:1</w:t>
            </w:r>
          </w:p>
        </w:tc>
        <w:tc>
          <w:tcPr>
            <w:tcW w:w="2551"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all precincts</w:t>
            </w:r>
          </w:p>
        </w:tc>
        <w:tc>
          <w:tcPr>
            <w:tcW w:w="2552"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all precincts</w:t>
            </w:r>
          </w:p>
        </w:tc>
      </w:tr>
      <w:tr w:rsidR="005912AF" w:rsidRPr="00401C28" w:rsidTr="005912AF">
        <w:trPr>
          <w:cantSplit/>
        </w:trPr>
        <w:tc>
          <w:tcPr>
            <w:tcW w:w="1560" w:type="dxa"/>
            <w:shd w:val="clear" w:color="auto" w:fill="auto"/>
            <w:vAlign w:val="center"/>
            <w:hideMark/>
          </w:tcPr>
          <w:p w:rsidR="005912AF" w:rsidRPr="00AF6604" w:rsidRDefault="005912AF" w:rsidP="005912AF">
            <w:pPr>
              <w:pStyle w:val="PPVBody"/>
              <w:rPr>
                <w:rFonts w:cs="Arial"/>
                <w:b/>
                <w:sz w:val="20"/>
                <w:szCs w:val="20"/>
              </w:rPr>
            </w:pPr>
            <w:r w:rsidRPr="00AF6604">
              <w:rPr>
                <w:b/>
                <w:sz w:val="20"/>
                <w:szCs w:val="20"/>
              </w:rPr>
              <w:t>Perimeter block</w:t>
            </w:r>
          </w:p>
        </w:tc>
        <w:tc>
          <w:tcPr>
            <w:tcW w:w="2409"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2:1 to 5:1</w:t>
            </w:r>
          </w:p>
        </w:tc>
        <w:tc>
          <w:tcPr>
            <w:tcW w:w="2551"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all precincts</w:t>
            </w:r>
          </w:p>
        </w:tc>
        <w:tc>
          <w:tcPr>
            <w:tcW w:w="2552"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all precincts</w:t>
            </w:r>
          </w:p>
        </w:tc>
      </w:tr>
      <w:tr w:rsidR="005912AF" w:rsidRPr="00401C28" w:rsidTr="005912AF">
        <w:trPr>
          <w:cantSplit/>
        </w:trPr>
        <w:tc>
          <w:tcPr>
            <w:tcW w:w="1560" w:type="dxa"/>
            <w:shd w:val="clear" w:color="auto" w:fill="auto"/>
            <w:vAlign w:val="center"/>
            <w:hideMark/>
          </w:tcPr>
          <w:p w:rsidR="005912AF" w:rsidRPr="00AF6604" w:rsidRDefault="005912AF" w:rsidP="005912AF">
            <w:pPr>
              <w:pStyle w:val="PPVBody"/>
              <w:rPr>
                <w:rFonts w:cs="Arial"/>
                <w:b/>
                <w:sz w:val="20"/>
                <w:szCs w:val="20"/>
              </w:rPr>
            </w:pPr>
            <w:r w:rsidRPr="00AF6604">
              <w:rPr>
                <w:b/>
                <w:sz w:val="20"/>
                <w:szCs w:val="20"/>
              </w:rPr>
              <w:t>Tower</w:t>
            </w:r>
          </w:p>
        </w:tc>
        <w:tc>
          <w:tcPr>
            <w:tcW w:w="2409"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3:1 to 18+:1 (depending on site size)</w:t>
            </w:r>
          </w:p>
        </w:tc>
        <w:tc>
          <w:tcPr>
            <w:tcW w:w="2551"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all precincts (preferred heights vary)</w:t>
            </w:r>
          </w:p>
        </w:tc>
        <w:tc>
          <w:tcPr>
            <w:tcW w:w="2552" w:type="dxa"/>
            <w:shd w:val="clear" w:color="auto" w:fill="auto"/>
            <w:vAlign w:val="center"/>
            <w:hideMark/>
          </w:tcPr>
          <w:p w:rsidR="005912AF" w:rsidRPr="00AF6604" w:rsidRDefault="005912AF" w:rsidP="005912AF">
            <w:pPr>
              <w:pStyle w:val="PPVBody"/>
              <w:jc w:val="center"/>
              <w:rPr>
                <w:rFonts w:cs="Arial"/>
                <w:sz w:val="20"/>
                <w:szCs w:val="20"/>
              </w:rPr>
            </w:pPr>
            <w:r w:rsidRPr="00AF6604">
              <w:rPr>
                <w:sz w:val="20"/>
                <w:szCs w:val="20"/>
              </w:rPr>
              <w:t>not supported in Montague and Wirraway</w:t>
            </w:r>
          </w:p>
        </w:tc>
      </w:tr>
      <w:tr w:rsidR="005912AF" w:rsidRPr="0000550E" w:rsidTr="005912AF">
        <w:trPr>
          <w:cantSplit/>
        </w:trPr>
        <w:tc>
          <w:tcPr>
            <w:tcW w:w="1560" w:type="dxa"/>
            <w:shd w:val="clear" w:color="auto" w:fill="auto"/>
            <w:vAlign w:val="center"/>
          </w:tcPr>
          <w:p w:rsidR="005912AF" w:rsidRPr="00AF6604" w:rsidRDefault="005912AF" w:rsidP="005912AF">
            <w:pPr>
              <w:pStyle w:val="PPVBody"/>
              <w:rPr>
                <w:b/>
                <w:sz w:val="20"/>
                <w:szCs w:val="20"/>
              </w:rPr>
            </w:pPr>
            <w:r w:rsidRPr="00AF6604">
              <w:rPr>
                <w:b/>
                <w:sz w:val="20"/>
                <w:szCs w:val="20"/>
              </w:rPr>
              <w:t>Hybrid</w:t>
            </w:r>
          </w:p>
        </w:tc>
        <w:tc>
          <w:tcPr>
            <w:tcW w:w="2409" w:type="dxa"/>
            <w:shd w:val="clear" w:color="auto" w:fill="auto"/>
            <w:vAlign w:val="center"/>
          </w:tcPr>
          <w:p w:rsidR="005912AF" w:rsidRPr="00AF6604" w:rsidRDefault="005912AF" w:rsidP="005912AF">
            <w:pPr>
              <w:pStyle w:val="PPVBody"/>
              <w:jc w:val="center"/>
              <w:rPr>
                <w:sz w:val="20"/>
                <w:szCs w:val="20"/>
              </w:rPr>
            </w:pPr>
            <w:r w:rsidRPr="00AF6604">
              <w:rPr>
                <w:sz w:val="20"/>
                <w:szCs w:val="20"/>
              </w:rPr>
              <w:t>2:1 to 10:1 (if including tower)</w:t>
            </w:r>
          </w:p>
        </w:tc>
        <w:tc>
          <w:tcPr>
            <w:tcW w:w="2551" w:type="dxa"/>
            <w:shd w:val="clear" w:color="auto" w:fill="auto"/>
            <w:vAlign w:val="center"/>
          </w:tcPr>
          <w:p w:rsidR="005912AF" w:rsidRPr="00AF6604" w:rsidRDefault="005912AF" w:rsidP="005912AF">
            <w:pPr>
              <w:pStyle w:val="PPVBody"/>
              <w:jc w:val="center"/>
              <w:rPr>
                <w:sz w:val="20"/>
                <w:szCs w:val="20"/>
              </w:rPr>
            </w:pPr>
            <w:r w:rsidRPr="00AF6604">
              <w:rPr>
                <w:sz w:val="20"/>
                <w:szCs w:val="20"/>
              </w:rPr>
              <w:t>all precincts</w:t>
            </w:r>
          </w:p>
        </w:tc>
        <w:tc>
          <w:tcPr>
            <w:tcW w:w="2552" w:type="dxa"/>
            <w:shd w:val="clear" w:color="auto" w:fill="auto"/>
            <w:vAlign w:val="center"/>
          </w:tcPr>
          <w:p w:rsidR="005912AF" w:rsidRPr="00AF6604" w:rsidRDefault="005912AF" w:rsidP="005912AF">
            <w:pPr>
              <w:pStyle w:val="PPVBody"/>
              <w:jc w:val="center"/>
              <w:rPr>
                <w:sz w:val="20"/>
                <w:szCs w:val="20"/>
              </w:rPr>
            </w:pPr>
            <w:r w:rsidRPr="00AF6604">
              <w:rPr>
                <w:sz w:val="20"/>
                <w:szCs w:val="20"/>
              </w:rPr>
              <w:t>all precincts</w:t>
            </w:r>
          </w:p>
        </w:tc>
      </w:tr>
    </w:tbl>
    <w:p w:rsidR="005912AF" w:rsidRPr="00295873" w:rsidRDefault="005912AF" w:rsidP="005912AF">
      <w:pPr>
        <w:pStyle w:val="PPVSource"/>
      </w:pPr>
      <w:r w:rsidRPr="00295873">
        <w:t xml:space="preserve">Source: </w:t>
      </w:r>
      <w:r w:rsidRPr="008C3707">
        <w:rPr>
          <w:i/>
        </w:rPr>
        <w:t>Urban Design Strategy</w:t>
      </w:r>
      <w:r w:rsidRPr="00295873">
        <w:t xml:space="preserve">, pages </w:t>
      </w:r>
      <w:r w:rsidR="00A80B82">
        <w:t>68–</w:t>
      </w:r>
      <w:r w:rsidRPr="00295873">
        <w:t>69</w:t>
      </w:r>
    </w:p>
    <w:p w:rsidR="00785416" w:rsidRDefault="005912AF" w:rsidP="005912AF">
      <w:pPr>
        <w:pStyle w:val="PPVBody"/>
      </w:pPr>
      <w:r>
        <w:fldChar w:fldCharType="begin"/>
      </w:r>
      <w:r>
        <w:instrText xml:space="preserve"> REF _Ref519351569 \h </w:instrText>
      </w:r>
      <w:r>
        <w:fldChar w:fldCharType="separate"/>
      </w:r>
      <w:r w:rsidR="00A307EC">
        <w:t xml:space="preserve">Figure </w:t>
      </w:r>
      <w:r w:rsidR="00A307EC">
        <w:rPr>
          <w:noProof/>
        </w:rPr>
        <w:t>4</w:t>
      </w:r>
      <w:r>
        <w:fldChar w:fldCharType="end"/>
      </w:r>
      <w:r w:rsidR="00BD2CFC">
        <w:t xml:space="preserve"> shows application of the</w:t>
      </w:r>
      <w:r>
        <w:t xml:space="preserve"> typologies from the </w:t>
      </w:r>
      <w:r w:rsidRPr="004E44AE">
        <w:rPr>
          <w:i/>
        </w:rPr>
        <w:t>Urban Design Strategy</w:t>
      </w:r>
      <w:r>
        <w:t xml:space="preserve">.  The character types in the table and figures in the </w:t>
      </w:r>
      <w:r w:rsidRPr="004E44AE">
        <w:rPr>
          <w:i/>
        </w:rPr>
        <w:t>Urban Design Strategy</w:t>
      </w:r>
      <w:r>
        <w:t xml:space="preserve"> use different terminology.</w:t>
      </w:r>
    </w:p>
    <w:p w:rsidR="005912AF" w:rsidRPr="000F1B00" w:rsidRDefault="005912AF" w:rsidP="005912AF">
      <w:pPr>
        <w:pStyle w:val="Caption"/>
      </w:pPr>
      <w:bookmarkStart w:id="299" w:name="_Ref519351569"/>
      <w:bookmarkStart w:id="300" w:name="_Toc519339198"/>
      <w:bookmarkStart w:id="301" w:name="_Toc519495128"/>
      <w:bookmarkStart w:id="302" w:name="_Toc519719107"/>
      <w:bookmarkStart w:id="303" w:name="_Toc519710375"/>
      <w:r>
        <w:t xml:space="preserve">Figure </w:t>
      </w:r>
      <w:r>
        <w:rPr>
          <w:noProof/>
        </w:rPr>
        <w:fldChar w:fldCharType="begin"/>
      </w:r>
      <w:r>
        <w:rPr>
          <w:noProof/>
        </w:rPr>
        <w:instrText xml:space="preserve"> SEQ Figure \* ARABIC </w:instrText>
      </w:r>
      <w:r>
        <w:rPr>
          <w:noProof/>
        </w:rPr>
        <w:fldChar w:fldCharType="separate"/>
      </w:r>
      <w:r w:rsidR="00A307EC">
        <w:rPr>
          <w:noProof/>
        </w:rPr>
        <w:t>4</w:t>
      </w:r>
      <w:r>
        <w:rPr>
          <w:noProof/>
        </w:rPr>
        <w:fldChar w:fldCharType="end"/>
      </w:r>
      <w:bookmarkEnd w:id="299"/>
      <w:r>
        <w:t>:</w:t>
      </w:r>
      <w:r>
        <w:tab/>
      </w:r>
      <w:r w:rsidRPr="004E44AE">
        <w:rPr>
          <w:i/>
        </w:rPr>
        <w:t>Urban Design Strategy</w:t>
      </w:r>
      <w:r>
        <w:t xml:space="preserve"> character types</w:t>
      </w:r>
      <w:bookmarkEnd w:id="300"/>
      <w:bookmarkEnd w:id="301"/>
      <w:bookmarkEnd w:id="302"/>
      <w:bookmarkEnd w:id="303"/>
    </w:p>
    <w:p w:rsidR="005912AF" w:rsidRDefault="005912AF" w:rsidP="005912AF">
      <w:pPr>
        <w:pStyle w:val="PPVBody"/>
        <w:keepNext/>
      </w:pPr>
      <w:r w:rsidRPr="00930AD9">
        <w:rPr>
          <w:noProof/>
        </w:rPr>
        <w:drawing>
          <wp:inline distT="0" distB="0" distL="0" distR="0" wp14:anchorId="7B200683" wp14:editId="16A6DC02">
            <wp:extent cx="5090395" cy="27103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42798"/>
                    <a:stretch/>
                  </pic:blipFill>
                  <pic:spPr bwMode="auto">
                    <a:xfrm>
                      <a:off x="0" y="0"/>
                      <a:ext cx="5093128" cy="2711849"/>
                    </a:xfrm>
                    <a:prstGeom prst="rect">
                      <a:avLst/>
                    </a:prstGeom>
                    <a:noFill/>
                    <a:ln>
                      <a:noFill/>
                    </a:ln>
                    <a:extLst>
                      <a:ext uri="{53640926-AAD7-44D8-BBD7-CCE9431645EC}">
                        <a14:shadowObscured xmlns:a14="http://schemas.microsoft.com/office/drawing/2010/main"/>
                      </a:ext>
                    </a:extLst>
                  </pic:spPr>
                </pic:pic>
              </a:graphicData>
            </a:graphic>
          </wp:inline>
        </w:drawing>
      </w:r>
    </w:p>
    <w:p w:rsidR="005912AF" w:rsidRPr="002E53A9" w:rsidRDefault="005912AF" w:rsidP="005912AF">
      <w:pPr>
        <w:pStyle w:val="PPVBody"/>
        <w:keepNext/>
        <w:jc w:val="left"/>
      </w:pPr>
      <w:r w:rsidRPr="002E53A9">
        <w:rPr>
          <w:noProof/>
        </w:rPr>
        <w:drawing>
          <wp:inline distT="0" distB="0" distL="0" distR="0" wp14:anchorId="1A52FB7E" wp14:editId="7C86BE2D">
            <wp:extent cx="200242" cy="14400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0242" cy="144000"/>
                    </a:xfrm>
                    <a:prstGeom prst="rect">
                      <a:avLst/>
                    </a:prstGeom>
                    <a:noFill/>
                    <a:ln>
                      <a:noFill/>
                    </a:ln>
                  </pic:spPr>
                </pic:pic>
              </a:graphicData>
            </a:graphic>
          </wp:inline>
        </w:drawing>
      </w:r>
      <w:r w:rsidR="00BD2CFC">
        <w:t xml:space="preserve"> </w:t>
      </w:r>
      <w:r w:rsidRPr="002E53A9">
        <w:t>Low</w:t>
      </w:r>
      <w:r>
        <w:t>-</w:t>
      </w:r>
      <w:r w:rsidRPr="002E53A9">
        <w:t xml:space="preserve">rise   </w:t>
      </w:r>
      <w:r w:rsidRPr="002E53A9">
        <w:rPr>
          <w:noProof/>
        </w:rPr>
        <w:drawing>
          <wp:inline distT="0" distB="0" distL="0" distR="0" wp14:anchorId="583AC765" wp14:editId="6200620E">
            <wp:extent cx="200242" cy="14400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0242" cy="144000"/>
                    </a:xfrm>
                    <a:prstGeom prst="rect">
                      <a:avLst/>
                    </a:prstGeom>
                    <a:noFill/>
                    <a:ln>
                      <a:noFill/>
                    </a:ln>
                  </pic:spPr>
                </pic:pic>
              </a:graphicData>
            </a:graphic>
          </wp:inline>
        </w:drawing>
      </w:r>
      <w:r w:rsidR="00BD2CFC">
        <w:t xml:space="preserve"> </w:t>
      </w:r>
      <w:r w:rsidRPr="002E53A9">
        <w:t xml:space="preserve">Low-mid-rise   </w:t>
      </w:r>
      <w:r w:rsidRPr="002E53A9">
        <w:rPr>
          <w:noProof/>
        </w:rPr>
        <w:drawing>
          <wp:inline distT="0" distB="0" distL="0" distR="0" wp14:anchorId="43BE904C" wp14:editId="00B28BF4">
            <wp:extent cx="200242" cy="144000"/>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242" cy="144000"/>
                    </a:xfrm>
                    <a:prstGeom prst="rect">
                      <a:avLst/>
                    </a:prstGeom>
                    <a:noFill/>
                    <a:ln>
                      <a:noFill/>
                    </a:ln>
                  </pic:spPr>
                </pic:pic>
              </a:graphicData>
            </a:graphic>
          </wp:inline>
        </w:drawing>
      </w:r>
      <w:r w:rsidR="00BD2CFC">
        <w:t xml:space="preserve"> </w:t>
      </w:r>
      <w:r w:rsidRPr="002E53A9">
        <w:t>Mid-rise (Montague)</w:t>
      </w:r>
      <w:r w:rsidRPr="002E53A9">
        <w:br/>
      </w:r>
      <w:r w:rsidRPr="002E53A9">
        <w:rPr>
          <w:noProof/>
        </w:rPr>
        <w:drawing>
          <wp:inline distT="0" distB="0" distL="0" distR="0" wp14:anchorId="5CAFC909" wp14:editId="5EC03D5A">
            <wp:extent cx="200242" cy="14400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0242" cy="144000"/>
                    </a:xfrm>
                    <a:prstGeom prst="rect">
                      <a:avLst/>
                    </a:prstGeom>
                    <a:noFill/>
                    <a:ln>
                      <a:noFill/>
                    </a:ln>
                  </pic:spPr>
                </pic:pic>
              </a:graphicData>
            </a:graphic>
          </wp:inline>
        </w:drawing>
      </w:r>
      <w:r w:rsidR="00BD2CFC">
        <w:t xml:space="preserve"> </w:t>
      </w:r>
      <w:r w:rsidRPr="002E53A9">
        <w:t xml:space="preserve">Hybrid development   </w:t>
      </w:r>
      <w:r w:rsidRPr="002E53A9">
        <w:rPr>
          <w:noProof/>
        </w:rPr>
        <w:drawing>
          <wp:inline distT="0" distB="0" distL="0" distR="0" wp14:anchorId="0FFE9E42" wp14:editId="360A076B">
            <wp:extent cx="200242" cy="14400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242" cy="144000"/>
                    </a:xfrm>
                    <a:prstGeom prst="rect">
                      <a:avLst/>
                    </a:prstGeom>
                    <a:noFill/>
                    <a:ln>
                      <a:noFill/>
                    </a:ln>
                  </pic:spPr>
                </pic:pic>
              </a:graphicData>
            </a:graphic>
          </wp:inline>
        </w:drawing>
      </w:r>
      <w:r w:rsidR="00BD2CFC">
        <w:t xml:space="preserve"> </w:t>
      </w:r>
      <w:r w:rsidRPr="002E53A9">
        <w:t>Tower development</w:t>
      </w:r>
    </w:p>
    <w:p w:rsidR="005912AF" w:rsidRDefault="005912AF" w:rsidP="005912AF">
      <w:pPr>
        <w:pStyle w:val="PPVSource"/>
      </w:pPr>
      <w:r w:rsidRPr="005A67BE">
        <w:rPr>
          <w:sz w:val="18"/>
          <w:szCs w:val="18"/>
        </w:rPr>
        <w:t xml:space="preserve">Source: </w:t>
      </w:r>
      <w:r w:rsidRPr="005A67BE">
        <w:rPr>
          <w:i/>
          <w:sz w:val="18"/>
          <w:szCs w:val="18"/>
        </w:rPr>
        <w:t xml:space="preserve">Urban Design Strategy, </w:t>
      </w:r>
      <w:r w:rsidRPr="005A67BE">
        <w:rPr>
          <w:sz w:val="18"/>
          <w:szCs w:val="18"/>
        </w:rPr>
        <w:t>Figure 42</w:t>
      </w:r>
    </w:p>
    <w:p w:rsidR="00785416" w:rsidRDefault="005912AF" w:rsidP="005912AF">
      <w:pPr>
        <w:pStyle w:val="PPVBody"/>
      </w:pPr>
      <w:bookmarkStart w:id="304" w:name="_Toc519339199"/>
      <w:r>
        <w:lastRenderedPageBreak/>
        <w:t xml:space="preserve">The Part A version of Clause 22.XX and the Part C DDOs set out a preferred character for each subprecinct, which is reflected in </w:t>
      </w:r>
      <w:r>
        <w:fldChar w:fldCharType="begin"/>
      </w:r>
      <w:r>
        <w:instrText xml:space="preserve"> REF _Ref519595604 \h </w:instrText>
      </w:r>
      <w:r>
        <w:fldChar w:fldCharType="separate"/>
      </w:r>
      <w:r w:rsidR="00A307EC">
        <w:t xml:space="preserve">Figure </w:t>
      </w:r>
      <w:r w:rsidR="00A307EC">
        <w:rPr>
          <w:noProof/>
        </w:rPr>
        <w:t>5</w:t>
      </w:r>
      <w:r>
        <w:fldChar w:fldCharType="end"/>
      </w:r>
      <w:r>
        <w:t xml:space="preserve"> (below).  These are intended to work in conjunction with the height controls set out in the DDOs.</w:t>
      </w:r>
    </w:p>
    <w:p w:rsidR="00785416" w:rsidRDefault="005912AF" w:rsidP="005912AF">
      <w:pPr>
        <w:pStyle w:val="Caption"/>
      </w:pPr>
      <w:bookmarkStart w:id="305" w:name="_Ref519595604"/>
      <w:bookmarkStart w:id="306" w:name="_Toc519495129"/>
      <w:bookmarkStart w:id="307" w:name="_Toc519719108"/>
      <w:bookmarkStart w:id="308" w:name="_Toc519710376"/>
      <w:r>
        <w:t xml:space="preserve">Figure </w:t>
      </w:r>
      <w:r>
        <w:rPr>
          <w:noProof/>
        </w:rPr>
        <w:fldChar w:fldCharType="begin"/>
      </w:r>
      <w:r>
        <w:rPr>
          <w:noProof/>
        </w:rPr>
        <w:instrText xml:space="preserve"> SEQ Figure \* ARABIC </w:instrText>
      </w:r>
      <w:r>
        <w:rPr>
          <w:noProof/>
        </w:rPr>
        <w:fldChar w:fldCharType="separate"/>
      </w:r>
      <w:r w:rsidR="00A307EC">
        <w:rPr>
          <w:noProof/>
        </w:rPr>
        <w:t>5</w:t>
      </w:r>
      <w:r>
        <w:rPr>
          <w:noProof/>
        </w:rPr>
        <w:fldChar w:fldCharType="end"/>
      </w:r>
      <w:bookmarkEnd w:id="305"/>
      <w:r>
        <w:t>:</w:t>
      </w:r>
      <w:r>
        <w:tab/>
        <w:t>Part C Character typology</w:t>
      </w:r>
      <w:bookmarkEnd w:id="304"/>
      <w:bookmarkEnd w:id="306"/>
      <w:bookmarkEnd w:id="307"/>
      <w:bookmarkEnd w:id="308"/>
    </w:p>
    <w:p w:rsidR="005912AF" w:rsidRDefault="005912AF" w:rsidP="005912AF">
      <w:pPr>
        <w:pStyle w:val="PPVBody"/>
        <w:keepNext/>
      </w:pPr>
      <w:r w:rsidRPr="00D45997">
        <w:rPr>
          <w:noProof/>
        </w:rPr>
        <w:drawing>
          <wp:inline distT="0" distB="0" distL="0" distR="0" wp14:anchorId="39CB6B9D" wp14:editId="4BEC3469">
            <wp:extent cx="5759170" cy="3244062"/>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7701"/>
                    <a:stretch/>
                  </pic:blipFill>
                  <pic:spPr bwMode="auto">
                    <a:xfrm>
                      <a:off x="0" y="0"/>
                      <a:ext cx="5759450" cy="3244220"/>
                    </a:xfrm>
                    <a:prstGeom prst="rect">
                      <a:avLst/>
                    </a:prstGeom>
                    <a:noFill/>
                    <a:ln>
                      <a:noFill/>
                    </a:ln>
                    <a:extLst>
                      <a:ext uri="{53640926-AAD7-44D8-BBD7-CCE9431645EC}">
                        <a14:shadowObscured xmlns:a14="http://schemas.microsoft.com/office/drawing/2010/main"/>
                      </a:ext>
                    </a:extLst>
                  </pic:spPr>
                </pic:pic>
              </a:graphicData>
            </a:graphic>
          </wp:inline>
        </w:drawing>
      </w:r>
    </w:p>
    <w:p w:rsidR="005912AF" w:rsidRDefault="005912AF" w:rsidP="005912AF">
      <w:pPr>
        <w:pStyle w:val="PPVSource"/>
      </w:pPr>
      <w:r w:rsidRPr="005A67BE">
        <w:rPr>
          <w:sz w:val="18"/>
          <w:szCs w:val="18"/>
        </w:rPr>
        <w:t>Source: Minister revised maps (D306)</w:t>
      </w:r>
    </w:p>
    <w:p w:rsidR="00785416" w:rsidRDefault="005912AF" w:rsidP="005912AF">
      <w:pPr>
        <w:pStyle w:val="PPVBody"/>
      </w:pPr>
      <w:r>
        <w:t xml:space="preserve">The </w:t>
      </w:r>
      <w:r w:rsidRPr="00756530">
        <w:rPr>
          <w:i/>
        </w:rPr>
        <w:t>Urban Design Strategy</w:t>
      </w:r>
      <w:r>
        <w:t xml:space="preserve"> states that FARs are intended to work togeth</w:t>
      </w:r>
      <w:r w:rsidR="00BD2CFC">
        <w:t>er with the built form controls</w:t>
      </w:r>
      <w:r>
        <w:t xml:space="preserve"> to deliver the desired typologies and characters in each Precinct.</w:t>
      </w:r>
    </w:p>
    <w:p w:rsidR="005912AF" w:rsidRDefault="005912AF" w:rsidP="005912AF">
      <w:pPr>
        <w:pStyle w:val="Heading4"/>
      </w:pPr>
      <w:r>
        <w:t>Submissions and evidence</w:t>
      </w:r>
    </w:p>
    <w:p w:rsidR="005912AF" w:rsidRDefault="005912AF" w:rsidP="005912AF">
      <w:pPr>
        <w:pStyle w:val="PPVBody"/>
      </w:pPr>
      <w:r w:rsidRPr="006556DA">
        <w:t xml:space="preserve">It </w:t>
      </w:r>
      <w:r w:rsidR="00BD2CFC">
        <w:t>was</w:t>
      </w:r>
      <w:r w:rsidRPr="006556DA">
        <w:t xml:space="preserve"> common ground </w:t>
      </w:r>
      <w:r>
        <w:t xml:space="preserve">among the various experts </w:t>
      </w:r>
      <w:r w:rsidRPr="006556DA">
        <w:t>that it is appropriate for the building form available pursuant to the FAR to sit within the building form available pursuant to the building envelope controls</w:t>
      </w:r>
      <w:r>
        <w:t>.  Th</w:t>
      </w:r>
      <w:r w:rsidRPr="006556DA">
        <w:t>is variation</w:t>
      </w:r>
      <w:r>
        <w:t xml:space="preserve"> allows for</w:t>
      </w:r>
      <w:r w:rsidRPr="006556DA">
        <w:t xml:space="preserve"> building diversity, avoids building to the maximum permissible envelope</w:t>
      </w:r>
      <w:r>
        <w:t>,</w:t>
      </w:r>
      <w:r w:rsidRPr="006556DA">
        <w:t xml:space="preserve"> and facilitates the provision of public benefits through the FAU.</w:t>
      </w:r>
      <w:r>
        <w:t xml:space="preserve">  What was contested was whether the degree of ‘fit’ between the FAR and the build</w:t>
      </w:r>
      <w:r w:rsidR="00BD2CFC">
        <w:t xml:space="preserve">ing envelope was </w:t>
      </w:r>
      <w:r w:rsidR="00BD2CFC" w:rsidRPr="00CD1B37">
        <w:t>appropriate.  The Review Panel posed the rhetorical question, w</w:t>
      </w:r>
      <w:r w:rsidRPr="00CD1B37">
        <w:t>hen does a loose fit become too loose?</w:t>
      </w:r>
    </w:p>
    <w:p w:rsidR="005912AF" w:rsidRDefault="005912AF" w:rsidP="005912AF">
      <w:pPr>
        <w:pStyle w:val="PPVBody"/>
      </w:pPr>
      <w:r>
        <w:t>The Minister’s Part A submission noted:</w:t>
      </w:r>
    </w:p>
    <w:p w:rsidR="005912AF" w:rsidRDefault="005912AF" w:rsidP="005912AF">
      <w:pPr>
        <w:pStyle w:val="PPVQuote"/>
      </w:pPr>
      <w:r>
        <w:t>A function of the DDO is the built form envelope which works with the FAR controls within the CCZ, ensuring the scale, height and setbacks protect internal amenity and deliver a high quality public realm.  This is enhanced by encouraging developments to create publicly accessible, private and communal open spaces.</w:t>
      </w:r>
      <w:r>
        <w:rPr>
          <w:rStyle w:val="FootnoteReference"/>
        </w:rPr>
        <w:footnoteReference w:id="51"/>
      </w:r>
    </w:p>
    <w:p w:rsidR="005912AF" w:rsidRDefault="005912AF" w:rsidP="005912AF">
      <w:pPr>
        <w:pStyle w:val="PPVBody"/>
      </w:pPr>
      <w:r>
        <w:t xml:space="preserve">The Minister submitted in Part C that the </w:t>
      </w:r>
      <w:r w:rsidRPr="006556DA">
        <w:t>modelling undertaken by Ms Hodyl and Mr Sheppard demonstrate</w:t>
      </w:r>
      <w:r>
        <w:t>d</w:t>
      </w:r>
      <w:r w:rsidRPr="006556DA">
        <w:t xml:space="preserve"> that of the tested sites</w:t>
      </w:r>
      <w:r>
        <w:t>, which</w:t>
      </w:r>
      <w:r w:rsidRPr="006556DA">
        <w:t xml:space="preserve"> </w:t>
      </w:r>
      <w:r>
        <w:t xml:space="preserve">totalled </w:t>
      </w:r>
      <w:r w:rsidRPr="006556DA">
        <w:t xml:space="preserve">more than 100, all but a </w:t>
      </w:r>
      <w:r w:rsidRPr="006556DA">
        <w:lastRenderedPageBreak/>
        <w:t>handful achieve</w:t>
      </w:r>
      <w:r w:rsidR="00E320A5">
        <w:t>d</w:t>
      </w:r>
      <w:r w:rsidRPr="006556DA">
        <w:t xml:space="preserve"> the F</w:t>
      </w:r>
      <w:r>
        <w:t>AR</w:t>
      </w:r>
      <w:r w:rsidRPr="006556DA">
        <w:t xml:space="preserve"> for their site, including with the provision of open space, streets and lanes.</w:t>
      </w:r>
      <w:r w:rsidRPr="00C4453F">
        <w:rPr>
          <w:rStyle w:val="FootnoteReference"/>
        </w:rPr>
        <w:footnoteReference w:id="52"/>
      </w:r>
      <w:r>
        <w:t xml:space="preserve">  The Minister submitted </w:t>
      </w:r>
      <w:r w:rsidRPr="006556DA">
        <w:t xml:space="preserve">that many of the sites </w:t>
      </w:r>
      <w:r>
        <w:t>could</w:t>
      </w:r>
      <w:r w:rsidRPr="006556DA">
        <w:t xml:space="preserve"> accommodate FAU.</w:t>
      </w:r>
      <w:r>
        <w:rPr>
          <w:rStyle w:val="FootnoteReference"/>
        </w:rPr>
        <w:footnoteReference w:id="53"/>
      </w:r>
    </w:p>
    <w:p w:rsidR="005912AF" w:rsidRPr="00E44A1B" w:rsidRDefault="005912AF" w:rsidP="005912AF">
      <w:pPr>
        <w:pStyle w:val="PPVBody"/>
      </w:pPr>
      <w:r w:rsidRPr="00E44A1B">
        <w:t xml:space="preserve">Mr Sheppard did not consider that substantially reducing the </w:t>
      </w:r>
      <w:r>
        <w:t xml:space="preserve">FARs was </w:t>
      </w:r>
      <w:r w:rsidRPr="00E44A1B">
        <w:t xml:space="preserve">a responsible way to respond to Melbourne’s </w:t>
      </w:r>
      <w:r>
        <w:t>strategic planning imperatives:</w:t>
      </w:r>
    </w:p>
    <w:p w:rsidR="005912AF" w:rsidRPr="00E44A1B" w:rsidRDefault="005912AF" w:rsidP="005912AF">
      <w:pPr>
        <w:pStyle w:val="PPVQuote"/>
      </w:pPr>
      <w:r w:rsidRPr="00E44A1B">
        <w:t xml:space="preserve">This is particularly pertinent in Wirraway, where a relatively low density of 2.1:1 is proposed outside the core area, and the primary reason appears to be a character choice and/or the notion of family-friendly housing </w:t>
      </w:r>
      <w:r>
        <w:t>…</w:t>
      </w:r>
      <w:r w:rsidRPr="00E44A1B">
        <w:t>.</w:t>
      </w:r>
      <w:r>
        <w:t xml:space="preserve">  </w:t>
      </w:r>
      <w:r w:rsidRPr="00E44A1B">
        <w:t xml:space="preserve">The southern edge of Wirraway is also affected by the desire to transition to the established neighbourhood beyond. </w:t>
      </w:r>
      <w:r>
        <w:t xml:space="preserve"> </w:t>
      </w:r>
      <w:r w:rsidRPr="00E44A1B">
        <w:t>However, this only affects a small proportion of</w:t>
      </w:r>
      <w:r>
        <w:t xml:space="preserve"> the non-core land in Wirraway.</w:t>
      </w:r>
      <w:r>
        <w:rPr>
          <w:rStyle w:val="FootnoteReference"/>
        </w:rPr>
        <w:footnoteReference w:id="54"/>
      </w:r>
    </w:p>
    <w:p w:rsidR="005912AF" w:rsidRDefault="005912AF" w:rsidP="005912AF">
      <w:r>
        <w:t xml:space="preserve">Mr Sheppard sought to demonstrate that other development models could deliver greater yield within the proposed character typology, although he acknowledged that for some of these models </w:t>
      </w:r>
      <w:r w:rsidRPr="002B4EC8">
        <w:rPr>
          <w:i/>
        </w:rPr>
        <w:t xml:space="preserve">“there would need to be a mechanism for consolidating </w:t>
      </w:r>
      <w:r>
        <w:rPr>
          <w:i/>
        </w:rPr>
        <w:t xml:space="preserve">[sites] </w:t>
      </w:r>
      <w:r w:rsidRPr="002B4EC8">
        <w:rPr>
          <w:i/>
        </w:rPr>
        <w:t>or equitably sharing the development benefits”</w:t>
      </w:r>
      <w:r w:rsidRPr="006556DA">
        <w:t xml:space="preserve"> between the lots where taller and lower forms are to be built.</w:t>
      </w:r>
      <w:r w:rsidRPr="00820B43">
        <w:rPr>
          <w:rStyle w:val="FootnoteReference"/>
        </w:rPr>
        <w:footnoteReference w:id="55"/>
      </w:r>
    </w:p>
    <w:p w:rsidR="005912AF" w:rsidRDefault="005912AF" w:rsidP="005912AF">
      <w:pPr>
        <w:pStyle w:val="PPVBody"/>
      </w:pPr>
      <w:r w:rsidRPr="006556DA">
        <w:t xml:space="preserve">Mr Sheppard and Ms Heggen </w:t>
      </w:r>
      <w:r>
        <w:t xml:space="preserve">criticised the fit between the FARs and the built form controls, particularly the building heights, as being too loose.  They, along with Mr McGurn, pointed to the fact that on many sites, the FAR effectively limited heights to well below the preferred building heights in the DDOs.  Mr Sheppard produced modelling to demonstrate this.  Their evidence was </w:t>
      </w:r>
      <w:r w:rsidRPr="006556DA">
        <w:t xml:space="preserve">that the degree of </w:t>
      </w:r>
      <w:r w:rsidRPr="00756530">
        <w:t>discrepancy</w:t>
      </w:r>
      <w:r w:rsidRPr="006556DA">
        <w:t xml:space="preserve"> between the building form available pursuant to the FAR and the building form available pursuant to the height controls </w:t>
      </w:r>
      <w:r>
        <w:t xml:space="preserve">was </w:t>
      </w:r>
      <w:r w:rsidRPr="006556DA">
        <w:t>too great</w:t>
      </w:r>
      <w:r>
        <w:t>, and that the FAR operated as an unnecessary limit on built form</w:t>
      </w:r>
      <w:r w:rsidRPr="006556DA">
        <w:t>.</w:t>
      </w:r>
    </w:p>
    <w:p w:rsidR="005912AF" w:rsidRDefault="005912AF" w:rsidP="005912AF">
      <w:pPr>
        <w:pStyle w:val="PPVBody"/>
      </w:pPr>
      <w:r w:rsidRPr="006556DA">
        <w:t xml:space="preserve">Mr Sheppard </w:t>
      </w:r>
      <w:r>
        <w:t xml:space="preserve">gave evidence </w:t>
      </w:r>
      <w:r w:rsidRPr="006556DA">
        <w:t xml:space="preserve">that there is no </w:t>
      </w:r>
      <w:r>
        <w:t>‘rule of thumb’</w:t>
      </w:r>
      <w:r w:rsidRPr="006556DA">
        <w:t xml:space="preserve"> for the degree of fit between FAR and height</w:t>
      </w:r>
      <w:r>
        <w:t>.  However,</w:t>
      </w:r>
      <w:r w:rsidRPr="006556DA">
        <w:t xml:space="preserve"> absent some other explanation for the extent of the variation, </w:t>
      </w:r>
      <w:r w:rsidR="00E320A5">
        <w:t xml:space="preserve">he contended </w:t>
      </w:r>
      <w:r w:rsidRPr="006556DA">
        <w:t>it might be thought that a large variation suggest</w:t>
      </w:r>
      <w:r w:rsidR="00E320A5">
        <w:t>ed</w:t>
      </w:r>
      <w:r w:rsidRPr="006556DA">
        <w:t xml:space="preserve"> </w:t>
      </w:r>
      <w:r w:rsidR="00E320A5">
        <w:t>either the heights were too high, or the FAR was</w:t>
      </w:r>
      <w:r w:rsidRPr="006556DA">
        <w:t xml:space="preserve"> too low.</w:t>
      </w:r>
    </w:p>
    <w:p w:rsidR="005912AF" w:rsidRPr="006556DA" w:rsidRDefault="005912AF" w:rsidP="005912AF">
      <w:pPr>
        <w:pStyle w:val="PPVBody"/>
      </w:pPr>
      <w:r>
        <w:t>The Review Panel produced a chart (D325) that presented the relationship between the FARs and the heights for each subprecinct, based on data supplied by the Minister.  In SIN 21 (D351) the Minister corrected the earlier information supplied, noting 11 changes or corrections</w:t>
      </w:r>
      <w:r w:rsidR="00E320A5">
        <w:t>, and</w:t>
      </w:r>
      <w:r>
        <w:t xml:space="preserve"> submitted:</w:t>
      </w:r>
    </w:p>
    <w:p w:rsidR="005912AF" w:rsidRDefault="005912AF" w:rsidP="005912AF">
      <w:pPr>
        <w:pStyle w:val="PPVQuote"/>
      </w:pPr>
      <w:r w:rsidRPr="006556DA">
        <w:t xml:space="preserve">At first blush, Document 325 prepared by the Review Panel might appear to support the conclusion reached by Mr Sheppard and Ms Heggen about the </w:t>
      </w:r>
      <w:r w:rsidRPr="00BF4991">
        <w:t>discrepancy between the FAR and the building envelope controls.</w:t>
      </w:r>
      <w:r>
        <w:t xml:space="preserve"> </w:t>
      </w:r>
      <w:r w:rsidRPr="00BF4991">
        <w:t xml:space="preserve"> It should be appreciated that a diagram of this kind illustrates only the relationship between FAR and </w:t>
      </w:r>
      <w:r>
        <w:t>subprecinct</w:t>
      </w:r>
      <w:r w:rsidRPr="00BF4991">
        <w:t xml:space="preserve">s on the one hand and height and </w:t>
      </w:r>
      <w:r>
        <w:t>subprecinct</w:t>
      </w:r>
      <w:r w:rsidRPr="00BF4991">
        <w:t>s on the other …</w:t>
      </w:r>
      <w:r>
        <w:rPr>
          <w:rStyle w:val="FootnoteReference"/>
        </w:rPr>
        <w:footnoteReference w:id="56"/>
      </w:r>
    </w:p>
    <w:p w:rsidR="005912AF" w:rsidRDefault="005912AF" w:rsidP="005912AF">
      <w:pPr>
        <w:pStyle w:val="PPVBody"/>
      </w:pPr>
      <w:r>
        <w:lastRenderedPageBreak/>
        <w:fldChar w:fldCharType="begin"/>
      </w:r>
      <w:r>
        <w:instrText xml:space="preserve"> REF _Ref519590775 \h </w:instrText>
      </w:r>
      <w:r>
        <w:fldChar w:fldCharType="separate"/>
      </w:r>
      <w:r w:rsidR="00A307EC">
        <w:t xml:space="preserve">Figure </w:t>
      </w:r>
      <w:r w:rsidR="00A307EC">
        <w:rPr>
          <w:noProof/>
        </w:rPr>
        <w:t>6</w:t>
      </w:r>
      <w:r>
        <w:fldChar w:fldCharType="end"/>
      </w:r>
      <w:r>
        <w:t xml:space="preserve"> is the Review Panel’s chart produced in D325, adjusted to take into account the additional information provided in SIN 21 (D351).</w:t>
      </w:r>
    </w:p>
    <w:p w:rsidR="005912AF" w:rsidRDefault="005912AF" w:rsidP="005912AF">
      <w:pPr>
        <w:pStyle w:val="Caption"/>
      </w:pPr>
      <w:bookmarkStart w:id="309" w:name="_Ref519590775"/>
      <w:bookmarkStart w:id="310" w:name="_Toc519710377"/>
      <w:bookmarkStart w:id="311" w:name="_Toc519719109"/>
      <w:r>
        <w:t xml:space="preserve">Figure </w:t>
      </w:r>
      <w:r>
        <w:rPr>
          <w:noProof/>
        </w:rPr>
        <w:fldChar w:fldCharType="begin"/>
      </w:r>
      <w:r>
        <w:rPr>
          <w:noProof/>
        </w:rPr>
        <w:instrText xml:space="preserve"> SEQ Figure \* ARABIC </w:instrText>
      </w:r>
      <w:r>
        <w:rPr>
          <w:noProof/>
        </w:rPr>
        <w:fldChar w:fldCharType="separate"/>
      </w:r>
      <w:r w:rsidR="00A307EC">
        <w:rPr>
          <w:noProof/>
        </w:rPr>
        <w:t>6</w:t>
      </w:r>
      <w:r>
        <w:rPr>
          <w:noProof/>
        </w:rPr>
        <w:fldChar w:fldCharType="end"/>
      </w:r>
      <w:bookmarkEnd w:id="309"/>
      <w:r>
        <w:t>:</w:t>
      </w:r>
      <w:r>
        <w:tab/>
        <w:t xml:space="preserve">FARs and heights for each </w:t>
      </w:r>
      <w:bookmarkEnd w:id="310"/>
      <w:r w:rsidR="00EE531A">
        <w:t>sub</w:t>
      </w:r>
      <w:r>
        <w:t>precinct</w:t>
      </w:r>
      <w:bookmarkEnd w:id="311"/>
    </w:p>
    <w:p w:rsidR="005912AF" w:rsidRDefault="005912AF" w:rsidP="005912AF">
      <w:pPr>
        <w:pStyle w:val="PPVBody"/>
      </w:pPr>
      <w:r>
        <w:rPr>
          <w:noProof/>
        </w:rPr>
        <w:drawing>
          <wp:inline distT="0" distB="0" distL="0" distR="0" wp14:anchorId="3FA379D6" wp14:editId="7D85CA79">
            <wp:extent cx="5980932" cy="3898900"/>
            <wp:effectExtent l="0" t="0" r="127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81451" cy="3899238"/>
                    </a:xfrm>
                    <a:prstGeom prst="rect">
                      <a:avLst/>
                    </a:prstGeom>
                    <a:noFill/>
                  </pic:spPr>
                </pic:pic>
              </a:graphicData>
            </a:graphic>
          </wp:inline>
        </w:drawing>
      </w:r>
    </w:p>
    <w:p w:rsidR="005912AF" w:rsidRPr="00C84E8A" w:rsidRDefault="005912AF" w:rsidP="005912AF">
      <w:pPr>
        <w:pStyle w:val="PPVSource"/>
      </w:pPr>
      <w:r w:rsidRPr="00846C0A">
        <w:t>Source: Prepared by the Review Panel from information provided by the Minister in D351</w:t>
      </w:r>
    </w:p>
    <w:p w:rsidR="00126AA9" w:rsidRDefault="00126AA9" w:rsidP="00126AA9">
      <w:r>
        <w:t>The Minister submitted that t</w:t>
      </w:r>
      <w:r w:rsidRPr="006556DA">
        <w:t xml:space="preserve">he virtue of the FAR, height and typology combination embodied in the </w:t>
      </w:r>
      <w:r>
        <w:t>draft Amendment</w:t>
      </w:r>
      <w:r w:rsidRPr="006556DA">
        <w:t xml:space="preserve"> is that </w:t>
      </w:r>
      <w:r>
        <w:t xml:space="preserve">diverse built form </w:t>
      </w:r>
      <w:r w:rsidRPr="006556DA">
        <w:t xml:space="preserve">outcomes can be delivered on individual sites rather than relying on </w:t>
      </w:r>
      <w:r>
        <w:t xml:space="preserve">site </w:t>
      </w:r>
      <w:r w:rsidRPr="006556DA">
        <w:t>consolidation or some other tool.</w:t>
      </w:r>
      <w:r>
        <w:t xml:space="preserve">  He submitted:</w:t>
      </w:r>
    </w:p>
    <w:p w:rsidR="00126AA9" w:rsidRDefault="00126AA9" w:rsidP="00126AA9">
      <w:pPr>
        <w:pStyle w:val="PPVBullet1"/>
      </w:pPr>
      <w:r>
        <w:t>n</w:t>
      </w:r>
      <w:r w:rsidRPr="00263AEE">
        <w:t xml:space="preserve">othing should be read into the variation between the </w:t>
      </w:r>
      <w:r>
        <w:t xml:space="preserve">tallest </w:t>
      </w:r>
      <w:r w:rsidRPr="00263AEE">
        <w:t>maximum heights</w:t>
      </w:r>
      <w:r>
        <w:t xml:space="preserve"> (plotted in green) and the lowest </w:t>
      </w:r>
      <w:r w:rsidRPr="00263AEE">
        <w:t>minimum heights</w:t>
      </w:r>
      <w:r>
        <w:t xml:space="preserve"> (plotted in red) as the lower heights </w:t>
      </w:r>
      <w:r w:rsidRPr="00263AEE">
        <w:t>are explained by shadow or low</w:t>
      </w:r>
      <w:r>
        <w:t>-</w:t>
      </w:r>
      <w:r w:rsidRPr="00263AEE">
        <w:t>rise interface cond</w:t>
      </w:r>
      <w:r>
        <w:t>itions dictating lower heights</w:t>
      </w:r>
      <w:r w:rsidRPr="00820B43">
        <w:rPr>
          <w:rStyle w:val="FootnoteReference"/>
        </w:rPr>
        <w:footnoteReference w:id="57"/>
      </w:r>
    </w:p>
    <w:p w:rsidR="00126AA9" w:rsidRPr="006556DA" w:rsidRDefault="00126AA9" w:rsidP="00126AA9">
      <w:pPr>
        <w:pStyle w:val="PPVBullet1"/>
      </w:pPr>
      <w:r>
        <w:t>t</w:t>
      </w:r>
      <w:r w:rsidRPr="006556DA">
        <w:t xml:space="preserve">he general pattern which emerges from a study of Document 325 is that the areas with the greatest </w:t>
      </w:r>
      <w:r>
        <w:t>‘</w:t>
      </w:r>
      <w:r w:rsidRPr="002B4EC8">
        <w:t>looseness</w:t>
      </w:r>
      <w:r>
        <w:t>’ of fit</w:t>
      </w:r>
      <w:r w:rsidRPr="006556DA">
        <w:t xml:space="preserve"> are </w:t>
      </w:r>
      <w:r>
        <w:t>subprecinct</w:t>
      </w:r>
      <w:r w:rsidRPr="006556DA">
        <w:t>s where hybrid development is sought.</w:t>
      </w:r>
      <w:r>
        <w:t xml:space="preserve">  </w:t>
      </w:r>
      <w:r w:rsidRPr="006556DA">
        <w:t>If hybrid development is to be delivered on a site</w:t>
      </w:r>
      <w:r>
        <w:t>-</w:t>
      </w:r>
      <w:r w:rsidRPr="006556DA">
        <w:t>by</w:t>
      </w:r>
      <w:r>
        <w:t>-</w:t>
      </w:r>
      <w:r w:rsidRPr="006556DA">
        <w:t xml:space="preserve">site basis, rather than the block by block basis </w:t>
      </w:r>
      <w:r>
        <w:t xml:space="preserve">as </w:t>
      </w:r>
      <w:r w:rsidRPr="006556DA">
        <w:t xml:space="preserve">described by Mr Sheppard, this extent of </w:t>
      </w:r>
      <w:r>
        <w:t>‘non-alignment’</w:t>
      </w:r>
      <w:r w:rsidRPr="006556DA">
        <w:t xml:space="preserve"> between FA</w:t>
      </w:r>
      <w:r>
        <w:t>R and height will be necessary.</w:t>
      </w:r>
      <w:r w:rsidRPr="00820B43">
        <w:rPr>
          <w:rStyle w:val="FootnoteReference"/>
        </w:rPr>
        <w:footnoteReference w:id="58"/>
      </w:r>
    </w:p>
    <w:p w:rsidR="005912AF" w:rsidRDefault="005912AF" w:rsidP="005912AF">
      <w:pPr>
        <w:pStyle w:val="PPVBody"/>
        <w:rPr>
          <w:rFonts w:cs="Times New Roman"/>
          <w:sz w:val="22"/>
          <w:szCs w:val="22"/>
        </w:rPr>
      </w:pPr>
      <w:r>
        <w:t xml:space="preserve">Mr Sheppard’s view was </w:t>
      </w:r>
      <w:r w:rsidRPr="0036706A">
        <w:t>that amenity impacts c</w:t>
      </w:r>
      <w:r w:rsidR="00E320A5">
        <w:t>ould</w:t>
      </w:r>
      <w:r w:rsidRPr="0036706A">
        <w:t xml:space="preserve"> be managed through building envelope, rather than den</w:t>
      </w:r>
      <w:r>
        <w:t>sity controls, and that it was</w:t>
      </w:r>
      <w:r w:rsidRPr="0036706A">
        <w:t xml:space="preserve"> not necessary to limit population and density for amenity reasons.</w:t>
      </w:r>
      <w:r>
        <w:rPr>
          <w:rStyle w:val="FootnoteReference"/>
        </w:rPr>
        <w:footnoteReference w:id="59"/>
      </w:r>
      <w:r>
        <w:t xml:space="preserve">  He said that this was </w:t>
      </w:r>
      <w:r w:rsidRPr="0031609B">
        <w:t xml:space="preserve">confirmed by </w:t>
      </w:r>
      <w:r w:rsidRPr="00B705D6">
        <w:rPr>
          <w:i/>
        </w:rPr>
        <w:t>Lessons from Higher Density Development (2016),</w:t>
      </w:r>
      <w:r w:rsidRPr="0031609B">
        <w:t xml:space="preserve"> a study for the Greater London Authority, which note</w:t>
      </w:r>
      <w:r>
        <w:t>d</w:t>
      </w:r>
      <w:r w:rsidRPr="0031609B">
        <w:t xml:space="preserve"> that there </w:t>
      </w:r>
      <w:r w:rsidR="00E320A5">
        <w:t>we</w:t>
      </w:r>
      <w:r w:rsidRPr="0031609B">
        <w:t xml:space="preserve">re </w:t>
      </w:r>
      <w:r w:rsidRPr="0031609B">
        <w:lastRenderedPageBreak/>
        <w:t>no intrinsic issues with higher density developments, but internal and external amenity issues require</w:t>
      </w:r>
      <w:r w:rsidR="00E320A5">
        <w:t>d</w:t>
      </w:r>
      <w:r w:rsidRPr="0031609B">
        <w:t xml:space="preserve"> more thought to deal with as density increases</w:t>
      </w:r>
      <w:r w:rsidRPr="0036706A">
        <w:rPr>
          <w:rFonts w:cs="Times New Roman"/>
          <w:sz w:val="22"/>
          <w:szCs w:val="22"/>
        </w:rPr>
        <w:t>.</w:t>
      </w:r>
      <w:r w:rsidRPr="00D27DA1">
        <w:rPr>
          <w:rStyle w:val="FootnoteReference"/>
          <w:i/>
        </w:rPr>
        <w:t xml:space="preserve"> </w:t>
      </w:r>
      <w:r w:rsidRPr="00820B43">
        <w:rPr>
          <w:rStyle w:val="FootnoteReference"/>
          <w:i/>
        </w:rPr>
        <w:footnoteReference w:id="60"/>
      </w:r>
    </w:p>
    <w:p w:rsidR="005912AF" w:rsidRDefault="005912AF" w:rsidP="005912AF">
      <w:pPr>
        <w:pStyle w:val="PPVBody"/>
      </w:pPr>
      <w:r>
        <w:t>The Minister rejected</w:t>
      </w:r>
      <w:r w:rsidRPr="006556DA">
        <w:t xml:space="preserve"> </w:t>
      </w:r>
      <w:r>
        <w:t>criticisms</w:t>
      </w:r>
      <w:r w:rsidRPr="006556DA">
        <w:t xml:space="preserve"> of the </w:t>
      </w:r>
      <w:r>
        <w:t>overly loose fit between the FARs and the heights and other built form controls on the basis that:</w:t>
      </w:r>
      <w:r>
        <w:rPr>
          <w:rStyle w:val="FootnoteReference"/>
        </w:rPr>
        <w:footnoteReference w:id="61"/>
      </w:r>
    </w:p>
    <w:p w:rsidR="005912AF" w:rsidRPr="005B53CD" w:rsidRDefault="005912AF" w:rsidP="005912AF">
      <w:pPr>
        <w:pStyle w:val="PPVBullet1"/>
      </w:pPr>
      <w:r w:rsidRPr="005B53CD">
        <w:t>the evidence of Ms Hodyl explained that the process for crafting the combination of typology, height and density was an investigative and iterative process which sought to achieve the character outcomes sought</w:t>
      </w:r>
    </w:p>
    <w:p w:rsidR="005912AF" w:rsidRPr="005B53CD" w:rsidRDefault="005912AF" w:rsidP="005912AF">
      <w:pPr>
        <w:pStyle w:val="PPVBullet1"/>
      </w:pPr>
      <w:r w:rsidRPr="005B53CD">
        <w:t>various witnesses for the landowners, including Mr Sheppard in particular, conceded that density was not the exclusive consideration in the development of the built form controls</w:t>
      </w:r>
    </w:p>
    <w:p w:rsidR="005912AF" w:rsidRDefault="005912AF" w:rsidP="005912AF">
      <w:pPr>
        <w:pStyle w:val="PPVBullet1"/>
      </w:pPr>
      <w:r w:rsidRPr="005B53CD">
        <w:t xml:space="preserve">it is not consistent with a proper understanding of the way in which statements of preferred character, typology, FAR and height work together to achieve the distinctive character sought for each </w:t>
      </w:r>
      <w:r>
        <w:t>subprecinct</w:t>
      </w:r>
      <w:r w:rsidRPr="005B53CD">
        <w:t>.</w:t>
      </w:r>
    </w:p>
    <w:p w:rsidR="005912AF" w:rsidRDefault="005912AF" w:rsidP="005912AF">
      <w:pPr>
        <w:pStyle w:val="PPVBody"/>
      </w:pPr>
      <w:r>
        <w:t>In closing, Mr Tweedie submitted:</w:t>
      </w:r>
    </w:p>
    <w:p w:rsidR="005912AF" w:rsidRDefault="005912AF" w:rsidP="005912AF">
      <w:pPr>
        <w:pStyle w:val="PPVQuote"/>
        <w:rPr>
          <w:rFonts w:cs="Times New Roman"/>
          <w:sz w:val="22"/>
          <w:szCs w:val="22"/>
        </w:rPr>
      </w:pPr>
      <w:r>
        <w:t xml:space="preserve">The FAR Control is not needed. </w:t>
      </w:r>
      <w:r w:rsidR="00E320A5">
        <w:t>…</w:t>
      </w:r>
      <w:r>
        <w:t xml:space="preserve"> It is an unnecessary complication, impediment and distraction to the development of a series of built form controls and policies that can be implemented through one or more DDOs and/or local policy provisions that can ensure that Fishermans Bend delivers a high quality, liveable built environment.</w:t>
      </w:r>
      <w:r>
        <w:rPr>
          <w:rStyle w:val="FootnoteReference"/>
        </w:rPr>
        <w:footnoteReference w:id="62"/>
      </w:r>
    </w:p>
    <w:p w:rsidR="005912AF" w:rsidRDefault="005912AF" w:rsidP="005912AF">
      <w:pPr>
        <w:pStyle w:val="Heading4"/>
      </w:pPr>
      <w:r>
        <w:t>Discussion</w:t>
      </w:r>
    </w:p>
    <w:p w:rsidR="005912AF" w:rsidRDefault="005912AF" w:rsidP="005912AF">
      <w:pPr>
        <w:pStyle w:val="PPVBody"/>
      </w:pPr>
      <w:r>
        <w:t xml:space="preserve">The preferred character statements were revised during the Hearing, and the revised character typologies presented by the Minister in the Part C DDOs towards the end of the Hearing are different to those exhibited in the MSSs.  In a number of subprecincts the proposed character typology is expressed in fundamentally different language.  This appears to be a function of </w:t>
      </w:r>
      <w:r w:rsidR="00300895">
        <w:t xml:space="preserve">earlier </w:t>
      </w:r>
      <w:r>
        <w:t>poor drafting rather than a substantial change in what was intended.</w:t>
      </w:r>
    </w:p>
    <w:p w:rsidR="005912AF" w:rsidRDefault="005912AF" w:rsidP="005912AF">
      <w:pPr>
        <w:pStyle w:val="PPVBody"/>
      </w:pPr>
      <w:r w:rsidRPr="00443877">
        <w:t xml:space="preserve">It is important to note that while the character typologies vary between </w:t>
      </w:r>
      <w:r>
        <w:t>subprecinct</w:t>
      </w:r>
      <w:r w:rsidRPr="00443877">
        <w:t xml:space="preserve">s, the FAR varies only between core and non-core areas.  Until the Review Panel asked </w:t>
      </w:r>
      <w:r w:rsidR="00E320A5">
        <w:t xml:space="preserve">for </w:t>
      </w:r>
      <w:r w:rsidRPr="00443877">
        <w:t xml:space="preserve">the </w:t>
      </w:r>
      <w:r>
        <w:t>subprecinct</w:t>
      </w:r>
      <w:r w:rsidRPr="00443877">
        <w:t>s to be mapped against the core and non-core areas (D294), there was no documentation of how these areas differed.</w:t>
      </w:r>
    </w:p>
    <w:p w:rsidR="005912AF" w:rsidRDefault="005912AF" w:rsidP="005912AF">
      <w:pPr>
        <w:pStyle w:val="PPVBody"/>
      </w:pPr>
      <w:r>
        <w:t>It is one thing to accept the general proposition (which was uncontested) that different Precincts should have different characters.  However</w:t>
      </w:r>
      <w:r w:rsidR="00A90D8B">
        <w:t>,</w:t>
      </w:r>
      <w:r>
        <w:t xml:space="preserve"> it is another proposition entirely to conclude that the FARs are appropriately calibrated with the built form controls, building typologies and preferred character statements, and that this will ensure the delivery of the different characters sought.</w:t>
      </w:r>
    </w:p>
    <w:p w:rsidR="005912AF" w:rsidRDefault="005912AF" w:rsidP="005912AF">
      <w:pPr>
        <w:pStyle w:val="PPVBody"/>
      </w:pPr>
      <w:r>
        <w:t>The Review Panel does not take issue with the broad submissions that higher hybrid forms will need to have a looser fit between the FAR and the maximum heights.  The issue is whether this fit makes sense across all of the subprecincts.</w:t>
      </w:r>
    </w:p>
    <w:p w:rsidR="005912AF" w:rsidRDefault="005912AF" w:rsidP="005912AF">
      <w:pPr>
        <w:pStyle w:val="PPVBody"/>
      </w:pPr>
      <w:r>
        <w:lastRenderedPageBreak/>
        <w:t xml:space="preserve">While it is broadly the case that the maximum heights are aligned with the revised character typologies (as can be seen in </w:t>
      </w:r>
      <w:r>
        <w:fldChar w:fldCharType="begin"/>
      </w:r>
      <w:r>
        <w:instrText xml:space="preserve"> REF _Ref519590775 \h </w:instrText>
      </w:r>
      <w:r>
        <w:fldChar w:fldCharType="separate"/>
      </w:r>
      <w:r w:rsidR="00A307EC">
        <w:t xml:space="preserve">Figure </w:t>
      </w:r>
      <w:r w:rsidR="00A307EC">
        <w:rPr>
          <w:noProof/>
        </w:rPr>
        <w:t>6</w:t>
      </w:r>
      <w:r>
        <w:fldChar w:fldCharType="end"/>
      </w:r>
      <w:r>
        <w:t xml:space="preserve"> above), there is no clear relationship between the FARs and the typologies, or the typologies and the ‘fit’.  For example, Subprecinct 4 in Sandridge core is ‘Low</w:t>
      </w:r>
      <w:r w:rsidR="00165DB1">
        <w:t>-</w:t>
      </w:r>
      <w:r>
        <w:t>mid-rise’ but has a higher FAR and taller maximum height than some ‘Mid-rise’ subprecincts.</w:t>
      </w:r>
    </w:p>
    <w:p w:rsidR="00785416" w:rsidRDefault="005912AF" w:rsidP="005912AF">
      <w:pPr>
        <w:pStyle w:val="PPVBody"/>
      </w:pPr>
      <w:r w:rsidRPr="00982284">
        <w:fldChar w:fldCharType="begin"/>
      </w:r>
      <w:r w:rsidRPr="00982284">
        <w:instrText xml:space="preserve"> REF _Ref519596857 \h </w:instrText>
      </w:r>
      <w:r>
        <w:instrText xml:space="preserve"> \* MERGEFORMAT </w:instrText>
      </w:r>
      <w:r w:rsidRPr="00982284">
        <w:fldChar w:fldCharType="separate"/>
      </w:r>
      <w:r w:rsidR="00A307EC">
        <w:t xml:space="preserve">Figure </w:t>
      </w:r>
      <w:r w:rsidR="00A307EC">
        <w:rPr>
          <w:noProof/>
        </w:rPr>
        <w:t>7</w:t>
      </w:r>
      <w:r w:rsidRPr="00982284">
        <w:fldChar w:fldCharType="end"/>
      </w:r>
      <w:r w:rsidRPr="00982284">
        <w:t xml:space="preserve"> is the Review Panel version of Figure 9 from SIN 21.  </w:t>
      </w:r>
      <w:r>
        <w:t>It</w:t>
      </w:r>
      <w:r w:rsidRPr="00982284">
        <w:t xml:space="preserve"> shows the height</w:t>
      </w:r>
      <w:r>
        <w:t xml:space="preserve"> permitted under the FAR for a building that covers 100 per cent of a site, as a percentage of the tallest maximum height in the subprecinct.</w:t>
      </w:r>
    </w:p>
    <w:p w:rsidR="00785416" w:rsidRDefault="005912AF" w:rsidP="005912AF">
      <w:pPr>
        <w:pStyle w:val="PPVBody"/>
      </w:pPr>
      <w:r>
        <w:t>While it is true that the subprecincts with the tallest maximum heights have the loosest fit, there is a great deal of variation between subprecincts with the same typology.  Within the mid-rise typology, the looseness of fit ranges from 18 per cent for Subprecinct W2 in Wirraway, to 79 per cent for Montague M2 and M4.</w:t>
      </w:r>
    </w:p>
    <w:p w:rsidR="005912AF" w:rsidRDefault="005912AF" w:rsidP="005912AF">
      <w:pPr>
        <w:pStyle w:val="Caption"/>
      </w:pPr>
      <w:bookmarkStart w:id="312" w:name="_Ref519596857"/>
      <w:bookmarkStart w:id="313" w:name="_Toc519339201"/>
      <w:bookmarkStart w:id="314" w:name="_Ref519343889"/>
      <w:bookmarkStart w:id="315" w:name="_Toc519495131"/>
      <w:bookmarkStart w:id="316" w:name="_Toc519719110"/>
      <w:bookmarkStart w:id="317" w:name="_Toc519710378"/>
      <w:r>
        <w:t xml:space="preserve">Figure </w:t>
      </w:r>
      <w:r>
        <w:rPr>
          <w:noProof/>
        </w:rPr>
        <w:fldChar w:fldCharType="begin"/>
      </w:r>
      <w:r>
        <w:rPr>
          <w:noProof/>
        </w:rPr>
        <w:instrText xml:space="preserve"> SEQ Figure \* ARABIC </w:instrText>
      </w:r>
      <w:r>
        <w:rPr>
          <w:noProof/>
        </w:rPr>
        <w:fldChar w:fldCharType="separate"/>
      </w:r>
      <w:r w:rsidR="00A307EC">
        <w:rPr>
          <w:noProof/>
        </w:rPr>
        <w:t>7</w:t>
      </w:r>
      <w:r>
        <w:rPr>
          <w:noProof/>
        </w:rPr>
        <w:fldChar w:fldCharType="end"/>
      </w:r>
      <w:bookmarkEnd w:id="312"/>
      <w:r>
        <w:t>:</w:t>
      </w:r>
      <w:r>
        <w:tab/>
        <w:t>Height permitted under the FAR for a building that covers 100 per cent of a site as a percentage of the tallest maximum height in the subprecincts</w:t>
      </w:r>
      <w:bookmarkEnd w:id="313"/>
      <w:bookmarkEnd w:id="314"/>
      <w:bookmarkEnd w:id="315"/>
      <w:bookmarkEnd w:id="316"/>
      <w:bookmarkEnd w:id="317"/>
    </w:p>
    <w:p w:rsidR="005912AF" w:rsidRDefault="005912AF" w:rsidP="005912AF">
      <w:pPr>
        <w:pStyle w:val="PPVBody"/>
        <w:keepNext/>
      </w:pPr>
      <w:r>
        <w:rPr>
          <w:noProof/>
        </w:rPr>
        <w:drawing>
          <wp:inline distT="0" distB="0" distL="0" distR="0" wp14:anchorId="10B58BF5" wp14:editId="1FC6DD32">
            <wp:extent cx="5811591" cy="36385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2069" cy="3638849"/>
                    </a:xfrm>
                    <a:prstGeom prst="rect">
                      <a:avLst/>
                    </a:prstGeom>
                    <a:noFill/>
                  </pic:spPr>
                </pic:pic>
              </a:graphicData>
            </a:graphic>
          </wp:inline>
        </w:drawing>
      </w:r>
    </w:p>
    <w:p w:rsidR="005912AF" w:rsidRPr="00C84E8A" w:rsidRDefault="005912AF" w:rsidP="005912AF">
      <w:pPr>
        <w:pStyle w:val="PPVBody"/>
        <w:rPr>
          <w:sz w:val="20"/>
          <w:szCs w:val="20"/>
        </w:rPr>
      </w:pPr>
      <w:r w:rsidRPr="005C4882">
        <w:rPr>
          <w:sz w:val="20"/>
          <w:szCs w:val="20"/>
        </w:rPr>
        <w:t>Source: Prepared by the Review Panel from information provided by the Minister in D351</w:t>
      </w:r>
    </w:p>
    <w:p w:rsidR="005912AF" w:rsidRDefault="005912AF" w:rsidP="005912AF">
      <w:pPr>
        <w:pStyle w:val="PPVBody"/>
      </w:pPr>
      <w:r>
        <w:t>Having reviewed the relationship between the FARs, the typologies and the heights, it is clear to the Review Panel that the FARs are not particularly well calibrated with the preferred character or built form outcomes.  FARs may follow a pattern of distribution across the subprecincts that is broadly consistent with the preferred character, but the actual values specified are not consistent.</w:t>
      </w:r>
    </w:p>
    <w:p w:rsidR="005912AF" w:rsidRDefault="005912AF" w:rsidP="005912AF">
      <w:pPr>
        <w:pStyle w:val="PPVBody"/>
      </w:pPr>
      <w:r>
        <w:t>The Review Panel considers that there are a number of reasons for this:</w:t>
      </w:r>
    </w:p>
    <w:p w:rsidR="005912AF" w:rsidRDefault="005912AF" w:rsidP="005912AF">
      <w:pPr>
        <w:pStyle w:val="PPVBullet1"/>
      </w:pPr>
      <w:r>
        <w:t>The 80,000 population target limited the total amount of floorspace (FAR) to be allocated, so that even if an area was capable of more development within the character type identified, it would not be allocated that FAR (or if it were allocated the FAR, it was at the expense of some other area).</w:t>
      </w:r>
    </w:p>
    <w:p w:rsidR="00785416" w:rsidRDefault="005912AF" w:rsidP="005912AF">
      <w:pPr>
        <w:pStyle w:val="PPVBullet1"/>
      </w:pPr>
      <w:r>
        <w:lastRenderedPageBreak/>
        <w:t>The subprecincts did not feature in the allocation of the FARs.  FARs were split between core and non-core areas and not between different subprecincts.  This suggests that the FARs are not being used to deliver the varied typologies sought between the different subprecincts.</w:t>
      </w:r>
    </w:p>
    <w:p w:rsidR="00785416" w:rsidRDefault="005912AF" w:rsidP="005912AF">
      <w:pPr>
        <w:pStyle w:val="PPVBody"/>
      </w:pPr>
      <w:r>
        <w:t>The Review Panel accepts the evidence of Mr Sheppard and Ms Hodyl that a properly calibrated density control, working in conjunction with built form envelopes, creates built form diversity and avoids the building envelopes on each site being ‘filled up’.  It accepts their evidence that a density control can work with built form controls to assist in delivering the varied building typologies sought for each subprecinct, and contribute to delivering the preferred character outcomes sought for Fishermans Bend.</w:t>
      </w:r>
    </w:p>
    <w:p w:rsidR="00785416" w:rsidRDefault="005912AF" w:rsidP="005912AF">
      <w:pPr>
        <w:pStyle w:val="PPVBody"/>
      </w:pPr>
      <w:r>
        <w:t>The Review Panel considers that a preferable tool for achieving these outcomes is a dwelling density control, in conjunction with clearly expressed preferred character statements, building typologies and built form outcomes in the DDOs.</w:t>
      </w:r>
    </w:p>
    <w:p w:rsidR="005912AF" w:rsidRDefault="005912AF" w:rsidP="005912AF">
      <w:pPr>
        <w:pStyle w:val="PPVBody"/>
      </w:pPr>
      <w:r>
        <w:t xml:space="preserve">As noted in Chapter </w:t>
      </w:r>
      <w:r>
        <w:fldChar w:fldCharType="begin"/>
      </w:r>
      <w:r>
        <w:instrText xml:space="preserve"> REF _Ref519597637 \r \h </w:instrText>
      </w:r>
      <w:r>
        <w:fldChar w:fldCharType="separate"/>
      </w:r>
      <w:r w:rsidR="00A307EC">
        <w:t>7.2</w:t>
      </w:r>
      <w:r>
        <w:fldChar w:fldCharType="end"/>
      </w:r>
      <w:r>
        <w:t xml:space="preserve">, the </w:t>
      </w:r>
      <w:r w:rsidRPr="004E44AE">
        <w:rPr>
          <w:i/>
        </w:rPr>
        <w:t>Urban Design Strategy</w:t>
      </w:r>
      <w:r w:rsidRPr="0031609B">
        <w:t xml:space="preserve"> indicate</w:t>
      </w:r>
      <w:r>
        <w:t>d</w:t>
      </w:r>
      <w:r w:rsidRPr="0031609B">
        <w:t xml:space="preserve"> that</w:t>
      </w:r>
      <w:r>
        <w:t xml:space="preserve"> many of the typologies sought to be delivered in Fishermans Bend can achieve higher densities that those allowed under some of the FARs.  This was supported by Mr Sheppard’s evidence that all of the preferred typologies </w:t>
      </w:r>
      <w:r w:rsidRPr="0031609B">
        <w:t>can del</w:t>
      </w:r>
      <w:r>
        <w:t xml:space="preserve">iver residential densities with a FAR of at least 4:1, which is higher than the maximum FAR in all Precincts other than Lorimer, Montague core and Sandridge core (refer to </w:t>
      </w:r>
      <w:r>
        <w:fldChar w:fldCharType="begin"/>
      </w:r>
      <w:r>
        <w:instrText xml:space="preserve"> REF _Ref519339987 \h </w:instrText>
      </w:r>
      <w:r>
        <w:fldChar w:fldCharType="separate"/>
      </w:r>
      <w:r w:rsidR="00A307EC" w:rsidRPr="00846C0A">
        <w:t xml:space="preserve">Table </w:t>
      </w:r>
      <w:r w:rsidR="00A307EC">
        <w:rPr>
          <w:noProof/>
        </w:rPr>
        <w:t>9</w:t>
      </w:r>
      <w:r>
        <w:fldChar w:fldCharType="end"/>
      </w:r>
      <w:r>
        <w:t>).  There is therefore scope to increase the densities without compromising building</w:t>
      </w:r>
      <w:r w:rsidRPr="0031609B">
        <w:t xml:space="preserve"> typologies</w:t>
      </w:r>
      <w:r>
        <w:t xml:space="preserve"> and preferred characters</w:t>
      </w:r>
      <w:r w:rsidRPr="0031609B">
        <w:t xml:space="preserve"> </w:t>
      </w:r>
      <w:r>
        <w:t>sought for various subprecincts.</w:t>
      </w:r>
    </w:p>
    <w:p w:rsidR="005912AF" w:rsidRDefault="005912AF" w:rsidP="005912AF">
      <w:pPr>
        <w:pStyle w:val="Heading4"/>
      </w:pPr>
      <w:r>
        <w:t>Findings</w:t>
      </w:r>
    </w:p>
    <w:p w:rsidR="005912AF" w:rsidRDefault="005912AF" w:rsidP="005912AF">
      <w:pPr>
        <w:pStyle w:val="PPVBody"/>
      </w:pPr>
      <w:r>
        <w:t>The Review Panel finds:</w:t>
      </w:r>
    </w:p>
    <w:p w:rsidR="005912AF" w:rsidRDefault="005912AF" w:rsidP="005912AF">
      <w:pPr>
        <w:pStyle w:val="PPVBullet1"/>
      </w:pPr>
      <w:r>
        <w:t>the FARs do not seem to have been set to achieve a particular character (and if this were the case then FAU would need to be restricted)</w:t>
      </w:r>
    </w:p>
    <w:p w:rsidR="005912AF" w:rsidRDefault="005912AF" w:rsidP="005912AF">
      <w:pPr>
        <w:pStyle w:val="PPVBullet1"/>
      </w:pPr>
      <w:r>
        <w:t>a better way to manage character would be to set out clear and explicit typologies and character statements in the DDOs</w:t>
      </w:r>
    </w:p>
    <w:p w:rsidR="005912AF" w:rsidRPr="004F22B8" w:rsidRDefault="005912AF" w:rsidP="005912AF">
      <w:pPr>
        <w:pStyle w:val="PPVBullet1"/>
      </w:pPr>
      <w:r>
        <w:t xml:space="preserve">with the possible exception of Lorimer, Montague core and Sandridge core, </w:t>
      </w:r>
      <w:r w:rsidRPr="004F22B8">
        <w:t xml:space="preserve">there is scope to increase the densities </w:t>
      </w:r>
      <w:r>
        <w:t xml:space="preserve">in all Precincts </w:t>
      </w:r>
      <w:r w:rsidRPr="004F22B8">
        <w:t xml:space="preserve">without compromising the building typologies and preferred characters sought for the various </w:t>
      </w:r>
      <w:r>
        <w:t>subprecinct</w:t>
      </w:r>
      <w:r w:rsidRPr="004F22B8">
        <w:t>s.</w:t>
      </w:r>
    </w:p>
    <w:p w:rsidR="005912AF" w:rsidRDefault="005912AF" w:rsidP="005912AF">
      <w:pPr>
        <w:pStyle w:val="Heading2"/>
      </w:pPr>
      <w:bookmarkStart w:id="318" w:name="_Toc519350380"/>
      <w:bookmarkStart w:id="319" w:name="_Toc519439742"/>
      <w:bookmarkStart w:id="320" w:name="_Ref519601645"/>
      <w:bookmarkStart w:id="321" w:name="_Ref519688139"/>
      <w:bookmarkStart w:id="322" w:name="_Toc519710274"/>
      <w:bookmarkStart w:id="323" w:name="_Toc519766834"/>
      <w:r>
        <w:t>Using FAR to avoid compensation</w:t>
      </w:r>
      <w:bookmarkEnd w:id="318"/>
      <w:bookmarkEnd w:id="319"/>
      <w:bookmarkEnd w:id="320"/>
      <w:bookmarkEnd w:id="321"/>
      <w:bookmarkEnd w:id="322"/>
      <w:bookmarkEnd w:id="323"/>
    </w:p>
    <w:p w:rsidR="005912AF" w:rsidRDefault="005912AF" w:rsidP="005912AF">
      <w:pPr>
        <w:pStyle w:val="Heading4"/>
      </w:pPr>
      <w:r>
        <w:t>Context</w:t>
      </w:r>
    </w:p>
    <w:p w:rsidR="005912AF" w:rsidRDefault="005912AF" w:rsidP="005912AF">
      <w:pPr>
        <w:pStyle w:val="PPVBody"/>
      </w:pPr>
      <w:r>
        <w:t xml:space="preserve">A further use of the </w:t>
      </w:r>
      <w:r w:rsidRPr="00214017">
        <w:t>FAR was to support the delivery of open space and roads without needing to compensate the imp</w:t>
      </w:r>
      <w:r w:rsidR="00214017">
        <w:t xml:space="preserve">acted landowner (see </w:t>
      </w:r>
      <w:r w:rsidRPr="00214017">
        <w:t>Chapter 13.4 for more detail).  Thi</w:t>
      </w:r>
      <w:r w:rsidR="00214017">
        <w:t xml:space="preserve">s has now been abandoned (see </w:t>
      </w:r>
      <w:r w:rsidRPr="00214017">
        <w:t>Chapter 1.6(vi) for more detail).</w:t>
      </w:r>
    </w:p>
    <w:p w:rsidR="005912AF" w:rsidRDefault="005912AF" w:rsidP="005912AF">
      <w:pPr>
        <w:pStyle w:val="Heading4"/>
      </w:pPr>
      <w:r>
        <w:t>Submissions and evidence</w:t>
      </w:r>
    </w:p>
    <w:p w:rsidR="005912AF" w:rsidRDefault="005912AF" w:rsidP="005912AF">
      <w:pPr>
        <w:pStyle w:val="PPVBody"/>
      </w:pPr>
      <w:r w:rsidRPr="00823BFE">
        <w:t xml:space="preserve">The </w:t>
      </w:r>
      <w:r w:rsidRPr="004E44AE">
        <w:rPr>
          <w:i/>
        </w:rPr>
        <w:t>Urban Design Strategy</w:t>
      </w:r>
      <w:r>
        <w:t xml:space="preserve"> is explicit about its expectations of why no compensation would be needed with regard to land required for pub</w:t>
      </w:r>
      <w:r w:rsidR="00214017">
        <w:t>lic purposes such as open space, as explained in</w:t>
      </w:r>
      <w:r w:rsidR="000E0848">
        <w:t xml:space="preserve"> </w:t>
      </w:r>
      <w:r w:rsidR="000E0848">
        <w:fldChar w:fldCharType="begin"/>
      </w:r>
      <w:r w:rsidR="000E0848">
        <w:instrText xml:space="preserve"> REF _Ref519718964 \h </w:instrText>
      </w:r>
      <w:r w:rsidR="000E0848">
        <w:fldChar w:fldCharType="separate"/>
      </w:r>
      <w:r w:rsidR="00A307EC">
        <w:t xml:space="preserve">Figure </w:t>
      </w:r>
      <w:r w:rsidR="00A307EC">
        <w:rPr>
          <w:noProof/>
        </w:rPr>
        <w:t>8</w:t>
      </w:r>
      <w:r w:rsidR="000E0848">
        <w:fldChar w:fldCharType="end"/>
      </w:r>
      <w:r w:rsidR="00214017">
        <w:t>.</w:t>
      </w:r>
    </w:p>
    <w:p w:rsidR="005912AF" w:rsidRPr="00FE78D7" w:rsidRDefault="005912AF" w:rsidP="005912AF">
      <w:pPr>
        <w:pStyle w:val="Caption"/>
      </w:pPr>
      <w:bookmarkStart w:id="324" w:name="_Ref519718964"/>
      <w:bookmarkStart w:id="325" w:name="_Toc519339202"/>
      <w:bookmarkStart w:id="326" w:name="_Toc519495132"/>
      <w:bookmarkStart w:id="327" w:name="_Toc519719111"/>
      <w:bookmarkStart w:id="328" w:name="_Toc519710379"/>
      <w:r>
        <w:lastRenderedPageBreak/>
        <w:t xml:space="preserve">Figure </w:t>
      </w:r>
      <w:r>
        <w:rPr>
          <w:noProof/>
        </w:rPr>
        <w:fldChar w:fldCharType="begin"/>
      </w:r>
      <w:r>
        <w:rPr>
          <w:noProof/>
        </w:rPr>
        <w:instrText xml:space="preserve"> SEQ Figure \* ARABIC </w:instrText>
      </w:r>
      <w:r>
        <w:rPr>
          <w:noProof/>
        </w:rPr>
        <w:fldChar w:fldCharType="separate"/>
      </w:r>
      <w:r w:rsidR="00A307EC">
        <w:rPr>
          <w:noProof/>
        </w:rPr>
        <w:t>8</w:t>
      </w:r>
      <w:r>
        <w:rPr>
          <w:noProof/>
        </w:rPr>
        <w:fldChar w:fldCharType="end"/>
      </w:r>
      <w:bookmarkEnd w:id="324"/>
      <w:r>
        <w:t>:</w:t>
      </w:r>
      <w:r>
        <w:tab/>
      </w:r>
      <w:r w:rsidR="00B57642">
        <w:t xml:space="preserve">Urban Design Strategy explanation </w:t>
      </w:r>
      <w:r>
        <w:t>of why no compensation is needed</w:t>
      </w:r>
      <w:bookmarkEnd w:id="325"/>
      <w:bookmarkEnd w:id="326"/>
      <w:bookmarkEnd w:id="327"/>
      <w:bookmarkEnd w:id="328"/>
    </w:p>
    <w:p w:rsidR="005912AF" w:rsidRDefault="005912AF" w:rsidP="005912AF">
      <w:pPr>
        <w:pStyle w:val="PPVBody"/>
        <w:keepNext/>
      </w:pPr>
      <w:r>
        <w:rPr>
          <w:noProof/>
        </w:rPr>
        <w:drawing>
          <wp:inline distT="0" distB="0" distL="0" distR="0" wp14:anchorId="2B207A91" wp14:editId="180AD762">
            <wp:extent cx="4142072" cy="2587996"/>
            <wp:effectExtent l="0" t="0" r="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42072" cy="2587996"/>
                    </a:xfrm>
                    <a:prstGeom prst="rect">
                      <a:avLst/>
                    </a:prstGeom>
                  </pic:spPr>
                </pic:pic>
              </a:graphicData>
            </a:graphic>
          </wp:inline>
        </w:drawing>
      </w:r>
    </w:p>
    <w:p w:rsidR="005912AF" w:rsidRDefault="005912AF" w:rsidP="005912AF">
      <w:pPr>
        <w:pStyle w:val="PPVSource"/>
      </w:pPr>
      <w:r>
        <w:t xml:space="preserve">Source: </w:t>
      </w:r>
      <w:r w:rsidRPr="00532635">
        <w:rPr>
          <w:i/>
        </w:rPr>
        <w:t>Urban Design Strategy</w:t>
      </w:r>
      <w:r>
        <w:t>, page 80</w:t>
      </w:r>
    </w:p>
    <w:p w:rsidR="00785416" w:rsidRDefault="005912AF" w:rsidP="005912AF">
      <w:pPr>
        <w:pStyle w:val="PPVBody"/>
      </w:pPr>
      <w:r>
        <w:t xml:space="preserve">The basis of this approach </w:t>
      </w:r>
      <w:r w:rsidR="00214017">
        <w:t>wa</w:t>
      </w:r>
      <w:r>
        <w:t>s that by setting aside land for the stated purposes, the landowner suffered no loss in the overall development potential of their land.  This approach was roundly criticised as being an unfair and unlawful mechanism for the acquisition of private land</w:t>
      </w:r>
      <w:r w:rsidR="00214017">
        <w:t xml:space="preserve"> and</w:t>
      </w:r>
      <w:r>
        <w:t xml:space="preserve"> was abandoned by the Minister in the Part C controls.</w:t>
      </w:r>
    </w:p>
    <w:p w:rsidR="005912AF" w:rsidRDefault="005912AF" w:rsidP="005912AF">
      <w:pPr>
        <w:pStyle w:val="Heading4"/>
      </w:pPr>
      <w:r>
        <w:t>Discussion</w:t>
      </w:r>
    </w:p>
    <w:p w:rsidR="00785416" w:rsidRDefault="005912AF" w:rsidP="005912AF">
      <w:pPr>
        <w:pStyle w:val="PPVBody"/>
      </w:pPr>
      <w:r>
        <w:t xml:space="preserve">While a FAR mechanism </w:t>
      </w:r>
      <w:r w:rsidR="00894EB7">
        <w:t xml:space="preserve">(or other forms of density control) </w:t>
      </w:r>
      <w:r>
        <w:t xml:space="preserve">based on gross developable area may not eliminate the need for compensation, it may well </w:t>
      </w:r>
      <w:r w:rsidR="00894EB7">
        <w:t>result in the remaining part of the site being more valuable</w:t>
      </w:r>
      <w:r w:rsidR="0053278E">
        <w:t xml:space="preserve"> than it would be if part of the land was not set aside.</w:t>
      </w:r>
      <w:r>
        <w:t xml:space="preserve">  The </w:t>
      </w:r>
      <w:r w:rsidR="00894EB7">
        <w:t xml:space="preserve">density </w:t>
      </w:r>
      <w:r>
        <w:t xml:space="preserve">applies to the gross developable area of the site, including the area required for public purposes.  If the </w:t>
      </w:r>
      <w:r w:rsidR="00894EB7">
        <w:t xml:space="preserve">density </w:t>
      </w:r>
      <w:r>
        <w:t>can still be achieved on the remaining part of the site, after the land needed for public purposes had been set aside, then the value of the remaining part of the site will be higher (as it has the same development potential as the gross site area).</w:t>
      </w:r>
    </w:p>
    <w:p w:rsidR="005912AF" w:rsidRDefault="005912AF" w:rsidP="005912AF">
      <w:pPr>
        <w:pStyle w:val="Heading4"/>
      </w:pPr>
      <w:r>
        <w:t>Findings</w:t>
      </w:r>
    </w:p>
    <w:p w:rsidR="005912AF" w:rsidRDefault="005912AF" w:rsidP="005912AF">
      <w:pPr>
        <w:pStyle w:val="PPVBody"/>
      </w:pPr>
      <w:r>
        <w:t>The Review Panel finds:</w:t>
      </w:r>
    </w:p>
    <w:p w:rsidR="005912AF" w:rsidRDefault="005912AF" w:rsidP="005912AF">
      <w:pPr>
        <w:pStyle w:val="PPVBullet1"/>
      </w:pPr>
      <w:r>
        <w:t>the FAR may reduce compensation where part of a site is required for public purposes, even if it does not eliminate compensation, but a dwelling density control could perform the same function equally as effectively.</w:t>
      </w:r>
    </w:p>
    <w:p w:rsidR="005912AF" w:rsidRDefault="005912AF" w:rsidP="005912AF">
      <w:pPr>
        <w:pStyle w:val="Heading2"/>
      </w:pPr>
      <w:bookmarkStart w:id="329" w:name="_Toc519350381"/>
      <w:bookmarkStart w:id="330" w:name="_Toc519439743"/>
      <w:bookmarkStart w:id="331" w:name="_Toc519710275"/>
      <w:bookmarkStart w:id="332" w:name="_Toc519766835"/>
      <w:r>
        <w:t>Using FAR to underpin FAU</w:t>
      </w:r>
      <w:bookmarkEnd w:id="329"/>
      <w:bookmarkEnd w:id="330"/>
      <w:bookmarkEnd w:id="331"/>
      <w:bookmarkEnd w:id="332"/>
    </w:p>
    <w:p w:rsidR="005912AF" w:rsidRPr="00170C10" w:rsidRDefault="005912AF" w:rsidP="005912AF">
      <w:pPr>
        <w:pStyle w:val="Heading4"/>
      </w:pPr>
      <w:r>
        <w:t>Context</w:t>
      </w:r>
    </w:p>
    <w:p w:rsidR="00785416" w:rsidRDefault="005912AF" w:rsidP="005912AF">
      <w:pPr>
        <w:pStyle w:val="PPVBody"/>
      </w:pPr>
      <w:r>
        <w:t>The Part C FAU scheme allow</w:t>
      </w:r>
      <w:r w:rsidR="00214017">
        <w:t>ed</w:t>
      </w:r>
      <w:r>
        <w:t xml:space="preserve"> additional dwellings over and above those that than c</w:t>
      </w:r>
      <w:r w:rsidR="00214017">
        <w:t>ould</w:t>
      </w:r>
      <w:r>
        <w:t xml:space="preserve"> be delivered within the base dwelling FAR, in return for a public benefit in the form of social housing.</w:t>
      </w:r>
      <w:r>
        <w:rPr>
          <w:rStyle w:val="FootnoteReference"/>
        </w:rPr>
        <w:footnoteReference w:id="63"/>
      </w:r>
      <w:r>
        <w:t xml:space="preserve">  The FAU scheme in the Part A version contemplated additional open space and community facilities as a public benefit that would entitl</w:t>
      </w:r>
      <w:r w:rsidR="00214017">
        <w:t xml:space="preserve">e the developer to an uplift.  </w:t>
      </w:r>
      <w:r>
        <w:t xml:space="preserve">Any </w:t>
      </w:r>
      <w:r>
        <w:lastRenderedPageBreak/>
        <w:t>uplift scheme of this type requires a base limit on the development of a site, above which extra development is permitted in return for the delivery of a public benefit.</w:t>
      </w:r>
    </w:p>
    <w:p w:rsidR="005912AF" w:rsidRDefault="005912AF" w:rsidP="005912AF">
      <w:pPr>
        <w:pStyle w:val="PPVBody"/>
      </w:pPr>
      <w:r>
        <w:t xml:space="preserve">The document titled </w:t>
      </w:r>
      <w:r w:rsidRPr="00B711A4">
        <w:rPr>
          <w:i/>
        </w:rPr>
        <w:t xml:space="preserve">How to </w:t>
      </w:r>
      <w:r>
        <w:rPr>
          <w:i/>
        </w:rPr>
        <w:t>c</w:t>
      </w:r>
      <w:r w:rsidRPr="00B711A4">
        <w:rPr>
          <w:i/>
        </w:rPr>
        <w:t xml:space="preserve">alculate </w:t>
      </w:r>
      <w:r>
        <w:rPr>
          <w:i/>
        </w:rPr>
        <w:t>f</w:t>
      </w:r>
      <w:r w:rsidRPr="00B711A4">
        <w:rPr>
          <w:i/>
        </w:rPr>
        <w:t xml:space="preserve">loor </w:t>
      </w:r>
      <w:r>
        <w:rPr>
          <w:i/>
        </w:rPr>
        <w:t>a</w:t>
      </w:r>
      <w:r w:rsidRPr="00B711A4">
        <w:rPr>
          <w:i/>
        </w:rPr>
        <w:t xml:space="preserve">rea </w:t>
      </w:r>
      <w:r>
        <w:rPr>
          <w:i/>
        </w:rPr>
        <w:t>u</w:t>
      </w:r>
      <w:r w:rsidRPr="00B711A4">
        <w:rPr>
          <w:i/>
        </w:rPr>
        <w:t xml:space="preserve">plifts and </w:t>
      </w:r>
      <w:r>
        <w:rPr>
          <w:i/>
        </w:rPr>
        <w:t>p</w:t>
      </w:r>
      <w:r w:rsidRPr="00B711A4">
        <w:rPr>
          <w:i/>
        </w:rPr>
        <w:t xml:space="preserve">ublic </w:t>
      </w:r>
      <w:r>
        <w:rPr>
          <w:i/>
        </w:rPr>
        <w:t>b</w:t>
      </w:r>
      <w:r w:rsidRPr="00B711A4">
        <w:rPr>
          <w:i/>
        </w:rPr>
        <w:t>enefits in Fishermans Bend</w:t>
      </w:r>
      <w:r>
        <w:t xml:space="preserve"> </w:t>
      </w:r>
      <w:r w:rsidRPr="00877104">
        <w:t xml:space="preserve">exhibited with </w:t>
      </w:r>
      <w:r w:rsidRPr="00214017">
        <w:t>the draft Amendment</w:t>
      </w:r>
      <w:r w:rsidRPr="00877104">
        <w:t xml:space="preserve"> </w:t>
      </w:r>
      <w:r>
        <w:t xml:space="preserve">(the FAU note) </w:t>
      </w:r>
      <w:r w:rsidRPr="00877104">
        <w:t>set</w:t>
      </w:r>
      <w:r>
        <w:t>s</w:t>
      </w:r>
      <w:r w:rsidRPr="00877104">
        <w:t xml:space="preserve"> ou</w:t>
      </w:r>
      <w:r>
        <w:t>t the principles for delivering a public benefit in the form of social housing:</w:t>
      </w:r>
      <w:r w:rsidRPr="00D10087">
        <w:rPr>
          <w:rStyle w:val="FootnoteReference"/>
        </w:rPr>
        <w:footnoteReference w:id="64"/>
      </w:r>
    </w:p>
    <w:p w:rsidR="005912AF" w:rsidRDefault="005912AF" w:rsidP="005912AF">
      <w:pPr>
        <w:pStyle w:val="PPVBullet1"/>
      </w:pPr>
      <w:r>
        <w:t xml:space="preserve">for each </w:t>
      </w:r>
      <w:r w:rsidRPr="005A5753">
        <w:t>affordable housing unit</w:t>
      </w:r>
      <w:r>
        <w:t xml:space="preserve"> delivered,</w:t>
      </w:r>
      <w:r w:rsidRPr="005A5753">
        <w:t xml:space="preserve"> </w:t>
      </w:r>
      <w:r>
        <w:t>e</w:t>
      </w:r>
      <w:r w:rsidRPr="005A5753">
        <w:t>ight additional dwellings</w:t>
      </w:r>
      <w:r>
        <w:t xml:space="preserve"> can be built</w:t>
      </w:r>
    </w:p>
    <w:p w:rsidR="005912AF" w:rsidRDefault="005912AF" w:rsidP="005912AF">
      <w:pPr>
        <w:pStyle w:val="PPVBullet1"/>
      </w:pPr>
      <w:r w:rsidRPr="005A5753">
        <w:t xml:space="preserve">the affordable housing unit mix </w:t>
      </w:r>
      <w:r>
        <w:t>should replicate</w:t>
      </w:r>
      <w:r w:rsidRPr="005A5753">
        <w:t xml:space="preserve"> (</w:t>
      </w:r>
      <w:r>
        <w:t xml:space="preserve">in terms of </w:t>
      </w:r>
      <w:r w:rsidRPr="005A5753">
        <w:t xml:space="preserve">size etc) the </w:t>
      </w:r>
      <w:r>
        <w:t xml:space="preserve">private </w:t>
      </w:r>
      <w:r w:rsidRPr="005A5753">
        <w:t>dwelling mix</w:t>
      </w:r>
      <w:r>
        <w:t>.</w:t>
      </w:r>
    </w:p>
    <w:p w:rsidR="005912AF" w:rsidRDefault="005912AF" w:rsidP="005912AF">
      <w:pPr>
        <w:pStyle w:val="PPVBody"/>
      </w:pPr>
      <w:r>
        <w:t>Access to the FAU scheme is not automatic.  For a development to exceed the FAR:</w:t>
      </w:r>
    </w:p>
    <w:p w:rsidR="005912AF" w:rsidRDefault="00214017" w:rsidP="005912AF">
      <w:pPr>
        <w:pStyle w:val="PPVBullet1"/>
      </w:pPr>
      <w:r>
        <w:t>t</w:t>
      </w:r>
      <w:r w:rsidR="005912AF">
        <w:t xml:space="preserve">he development must provide a public benefit, secured by a </w:t>
      </w:r>
      <w:r>
        <w:t>s</w:t>
      </w:r>
      <w:r w:rsidR="005912AF">
        <w:t>173 agreement.</w:t>
      </w:r>
      <w:r w:rsidR="005912AF" w:rsidRPr="00820B43">
        <w:rPr>
          <w:rStyle w:val="FootnoteReference"/>
        </w:rPr>
        <w:footnoteReference w:id="65"/>
      </w:r>
    </w:p>
    <w:p w:rsidR="005912AF" w:rsidRPr="00214017" w:rsidRDefault="00214017" w:rsidP="005912AF">
      <w:pPr>
        <w:pStyle w:val="PPVBullet1"/>
      </w:pPr>
      <w:r w:rsidRPr="00214017">
        <w:t>t</w:t>
      </w:r>
      <w:r w:rsidR="005912AF" w:rsidRPr="00214017">
        <w:t xml:space="preserve">he development must be within </w:t>
      </w:r>
      <w:r w:rsidRPr="00214017">
        <w:t>the</w:t>
      </w:r>
      <w:r w:rsidR="005912AF" w:rsidRPr="00214017">
        <w:t xml:space="preserve"> height limits set out in the DDO</w:t>
      </w:r>
    </w:p>
    <w:p w:rsidR="005912AF" w:rsidRDefault="00214017" w:rsidP="005912AF">
      <w:pPr>
        <w:pStyle w:val="PPVBullet1"/>
      </w:pPr>
      <w:r>
        <w:t>t</w:t>
      </w:r>
      <w:r w:rsidR="005912AF">
        <w:t>he development must meet m</w:t>
      </w:r>
      <w:r>
        <w:t>andatory overshadowing controls</w:t>
      </w:r>
    </w:p>
    <w:p w:rsidR="005912AF" w:rsidRDefault="00214017" w:rsidP="005912AF">
      <w:pPr>
        <w:pStyle w:val="PPVBullet1"/>
      </w:pPr>
      <w:r>
        <w:t>th</w:t>
      </w:r>
      <w:r w:rsidR="005912AF">
        <w:t>e development should be in keeping with the character proposed for the relevant subprecinct.</w:t>
      </w:r>
    </w:p>
    <w:p w:rsidR="005912AF" w:rsidRDefault="005912AF" w:rsidP="005912AF">
      <w:pPr>
        <w:pStyle w:val="PPVBody"/>
      </w:pPr>
      <w:r>
        <w:t xml:space="preserve">This section addresses the interpretation </w:t>
      </w:r>
      <w:r w:rsidR="00214017">
        <w:t xml:space="preserve">and implications </w:t>
      </w:r>
      <w:r>
        <w:t xml:space="preserve">of the FAU for development and population in Fishermans Bend, including whether FAU should be capped.  The effectiveness </w:t>
      </w:r>
      <w:r w:rsidRPr="00214017">
        <w:t xml:space="preserve">of the FAU as a </w:t>
      </w:r>
      <w:r w:rsidR="00214017">
        <w:t>tool</w:t>
      </w:r>
      <w:r w:rsidRPr="00214017">
        <w:t xml:space="preserve"> to deliver affordable housing outcomes is addressed in Chapter 8.5.</w:t>
      </w:r>
    </w:p>
    <w:p w:rsidR="00785416" w:rsidRDefault="00894EB7" w:rsidP="00894EB7">
      <w:pPr>
        <w:pStyle w:val="PPVBody"/>
      </w:pPr>
      <w:r>
        <w:t>FAU is available for social housing, not for affordable housing more broadly.  The draft Amendment propose</w:t>
      </w:r>
      <w:r w:rsidR="00E65266">
        <w:t>d</w:t>
      </w:r>
      <w:r>
        <w:t xml:space="preserve"> a target of </w:t>
      </w:r>
      <w:r w:rsidR="00DF3472">
        <w:t>six</w:t>
      </w:r>
      <w:r>
        <w:t xml:space="preserve"> per cent affordable housing across Fishermans Bend.  It d</w:t>
      </w:r>
      <w:r w:rsidR="00E65266">
        <w:t>id</w:t>
      </w:r>
      <w:r>
        <w:t xml:space="preserve"> not set a separate target for social housing.  </w:t>
      </w:r>
      <w:r w:rsidR="0053278E">
        <w:t>Ms Hodyl modelled the imp</w:t>
      </w:r>
      <w:r w:rsidR="00B607EB">
        <w:t>a</w:t>
      </w:r>
      <w:r w:rsidR="0053278E">
        <w:t>ct of FAU by assuming that the entire six per</w:t>
      </w:r>
      <w:r w:rsidR="00B607EB">
        <w:t xml:space="preserve"> </w:t>
      </w:r>
      <w:r w:rsidR="0053278E">
        <w:t>c</w:t>
      </w:r>
      <w:r w:rsidR="00B607EB">
        <w:t>ent</w:t>
      </w:r>
      <w:r w:rsidR="0053278E">
        <w:t xml:space="preserve"> affordable housing target would be social housing</w:t>
      </w:r>
      <w:r w:rsidR="00B607EB">
        <w:t xml:space="preserve">.  In the absence of a specific social housing target the Review Panel has adopted the same assumption. </w:t>
      </w:r>
      <w:r w:rsidR="0053278E">
        <w:t xml:space="preserve"> </w:t>
      </w:r>
      <w:r>
        <w:t>In reality, some of the affordable housing is likely to be forms other than social housing that does not generate an FAU.</w:t>
      </w:r>
    </w:p>
    <w:p w:rsidR="005912AF" w:rsidRDefault="005912AF" w:rsidP="005912AF">
      <w:pPr>
        <w:pStyle w:val="Heading4"/>
      </w:pPr>
      <w:r>
        <w:t>Submissions and evidence</w:t>
      </w:r>
    </w:p>
    <w:p w:rsidR="005912AF" w:rsidRDefault="005912AF" w:rsidP="005912AF">
      <w:pPr>
        <w:pStyle w:val="PPVBody"/>
      </w:pPr>
      <w:r w:rsidRPr="00FC63F6">
        <w:t xml:space="preserve">The </w:t>
      </w:r>
      <w:r w:rsidRPr="004E44AE">
        <w:rPr>
          <w:i/>
        </w:rPr>
        <w:t>Urban Design Strategy</w:t>
      </w:r>
      <w:r>
        <w:t xml:space="preserve"> (Page 71) </w:t>
      </w:r>
      <w:r w:rsidR="00214017">
        <w:t>noted</w:t>
      </w:r>
      <w:r>
        <w:t xml:space="preserve"> that:</w:t>
      </w:r>
    </w:p>
    <w:p w:rsidR="005912AF" w:rsidRPr="00D00498" w:rsidRDefault="005912AF" w:rsidP="005912AF">
      <w:pPr>
        <w:pStyle w:val="PPVQuote"/>
      </w:pPr>
      <w:r>
        <w:t>The FAU scheme should be targeted to achieve the delivery of 2,500 affordable housing units across the Fishermans Bend area.</w:t>
      </w:r>
    </w:p>
    <w:p w:rsidR="005912AF" w:rsidRPr="007901A4" w:rsidRDefault="005912AF" w:rsidP="005912AF">
      <w:pPr>
        <w:pStyle w:val="PPVBody"/>
      </w:pPr>
      <w:r>
        <w:t xml:space="preserve">This target was presented in the Hearing as </w:t>
      </w:r>
      <w:r w:rsidRPr="007901A4">
        <w:t xml:space="preserve">2,214 affordable </w:t>
      </w:r>
      <w:r>
        <w:t>dwelling</w:t>
      </w:r>
      <w:r w:rsidRPr="007901A4">
        <w:t>s</w:t>
      </w:r>
      <w:r>
        <w:t xml:space="preserve">.  </w:t>
      </w:r>
      <w:r w:rsidRPr="007901A4">
        <w:t xml:space="preserve">Ms Hodyl modelled whether there was sufficient room in the proposed built form envelopes to accommodate the target 2,214 </w:t>
      </w:r>
      <w:r>
        <w:t>dwellings</w:t>
      </w:r>
      <w:r w:rsidRPr="007901A4">
        <w:t xml:space="preserve">, plus the additional 17,712 private ‘uplift’ </w:t>
      </w:r>
      <w:r>
        <w:t>dwellings</w:t>
      </w:r>
      <w:r w:rsidRPr="007901A4">
        <w:t xml:space="preserve"> </w:t>
      </w:r>
      <w:r>
        <w:t>to which a developer was entitled as a result of providing the social housing (2,214 x 8)</w:t>
      </w:r>
      <w:r w:rsidRPr="007901A4">
        <w:t>.  Her modelling demonstrated that there</w:t>
      </w:r>
      <w:r w:rsidR="00276AA9">
        <w:t xml:space="preserve"> was</w:t>
      </w:r>
      <w:r w:rsidRPr="007901A4">
        <w:t xml:space="preserve"> generally enough room in the built form envelopes on enough sites to accommodate the </w:t>
      </w:r>
      <w:r>
        <w:t>social housing</w:t>
      </w:r>
      <w:r w:rsidRPr="007901A4">
        <w:t xml:space="preserve"> </w:t>
      </w:r>
      <w:r>
        <w:t>dwellings</w:t>
      </w:r>
      <w:r w:rsidRPr="007901A4">
        <w:t xml:space="preserve">, plus the private ‘uplift’ </w:t>
      </w:r>
      <w:r>
        <w:t>dwellings</w:t>
      </w:r>
      <w:r w:rsidRPr="007901A4">
        <w:t>.</w:t>
      </w:r>
    </w:p>
    <w:p w:rsidR="005912AF" w:rsidRDefault="005912AF" w:rsidP="005912AF">
      <w:pPr>
        <w:pStyle w:val="PPVBody"/>
      </w:pPr>
      <w:r w:rsidRPr="0096439F">
        <w:t xml:space="preserve">Melbourne submitted that if the FAU scheme delivered </w:t>
      </w:r>
      <w:r>
        <w:t>six</w:t>
      </w:r>
      <w:r w:rsidRPr="0096439F">
        <w:t xml:space="preserve"> per cent social housing across Fishermans Bend, the social housing dwellings plus the private </w:t>
      </w:r>
      <w:r>
        <w:t xml:space="preserve">‘uplift’ </w:t>
      </w:r>
      <w:r w:rsidRPr="0096439F">
        <w:t>dwellings would effectively double the 2050 population estimate</w:t>
      </w:r>
      <w:r>
        <w:t xml:space="preserve"> in Lorimer</w:t>
      </w:r>
      <w:r w:rsidRPr="0096439F">
        <w:t xml:space="preserve">.  It submitted that FAU should be capped to ensure the population does not significantly exceed the 2050 estimate and </w:t>
      </w:r>
      <w:r w:rsidRPr="0096439F">
        <w:lastRenderedPageBreak/>
        <w:t xml:space="preserve">compromise the preferred character and built form outcomes sought under the Vision and the </w:t>
      </w:r>
      <w:r>
        <w:t xml:space="preserve">draft </w:t>
      </w:r>
      <w:r w:rsidRPr="0096439F">
        <w:t>Framework.</w:t>
      </w:r>
    </w:p>
    <w:p w:rsidR="005912AF" w:rsidRDefault="005912AF" w:rsidP="005912AF">
      <w:pPr>
        <w:pStyle w:val="PPVBody"/>
      </w:pPr>
      <w:r>
        <w:t xml:space="preserve">In response to Melbourne’s concerns, Ms Hodyl undertook an analysis of the population implications for Lorimer if FAU were to </w:t>
      </w:r>
      <w:r w:rsidRPr="00CD1B37">
        <w:t>deliver six per cent social housing.  She</w:t>
      </w:r>
      <w:r>
        <w:t xml:space="preserve"> concluded that in a 100 per cent build out scenario, this could lead to a population of 28,300 – more than double the projected population of 12,000 people by 2050.  Her evidence was:</w:t>
      </w:r>
    </w:p>
    <w:p w:rsidR="005912AF" w:rsidRDefault="005912AF" w:rsidP="005912AF">
      <w:pPr>
        <w:pStyle w:val="PPVQuote"/>
      </w:pPr>
      <w:r>
        <w:t>This scale of residential density is not supported in Lorimer and it is not the intention of the use of the FAU control … This also highlights the need to explore, in addition to utilising the FAU, other mechanisms for the delivery of affordable housing (for example inclusionary housing) to minimise the potential impacts on amenity in Lorimer.</w:t>
      </w:r>
      <w:r w:rsidRPr="00820B43">
        <w:rPr>
          <w:rStyle w:val="FootnoteReference"/>
          <w:i w:val="0"/>
        </w:rPr>
        <w:footnoteReference w:id="66"/>
      </w:r>
    </w:p>
    <w:p w:rsidR="005912AF" w:rsidRDefault="005912AF" w:rsidP="005912AF">
      <w:pPr>
        <w:pStyle w:val="PPVBody"/>
      </w:pPr>
      <w:r>
        <w:t xml:space="preserve">Ms Hodyl conceded in cross examination by both Mr Montebello and Ms Forsyth that the FAU scheme could lead to outcomes that were </w:t>
      </w:r>
      <w:r w:rsidR="00276AA9">
        <w:t xml:space="preserve">vastly </w:t>
      </w:r>
      <w:r>
        <w:t>different from the Vision.  She did not, however, go so far as to agree with Ms Forsyth that FAU should be capped to avoid these types of outcomes.</w:t>
      </w:r>
    </w:p>
    <w:p w:rsidR="005912AF" w:rsidRDefault="005912AF" w:rsidP="005912AF">
      <w:pPr>
        <w:pStyle w:val="PPVBody"/>
      </w:pPr>
      <w:r>
        <w:t xml:space="preserve">Landowners challenged the restriction of the FAU to </w:t>
      </w:r>
      <w:r w:rsidR="00276AA9">
        <w:t xml:space="preserve">(now) only </w:t>
      </w:r>
      <w:r>
        <w:t>social housing</w:t>
      </w:r>
      <w:r w:rsidR="00276AA9">
        <w:t xml:space="preserve"> as expressed in the Part C controls by the Minister, with Mr Tweedie submitting</w:t>
      </w:r>
      <w:r>
        <w:t>:</w:t>
      </w:r>
      <w:r>
        <w:rPr>
          <w:rStyle w:val="FootnoteReference"/>
        </w:rPr>
        <w:footnoteReference w:id="67"/>
      </w:r>
    </w:p>
    <w:p w:rsidR="005912AF" w:rsidRDefault="005912AF" w:rsidP="005912AF">
      <w:pPr>
        <w:pStyle w:val="PPVQuote"/>
      </w:pPr>
      <w:r>
        <w:t>There appears to be no good reason to exclude the ability to allow for increased development yield on land in exchange for the delivery of other forms of public benefit, including:</w:t>
      </w:r>
    </w:p>
    <w:p w:rsidR="005912AF" w:rsidRPr="006236F3" w:rsidRDefault="005912AF" w:rsidP="005912AF">
      <w:pPr>
        <w:pStyle w:val="PPVQuoteBullet1"/>
      </w:pPr>
      <w:r w:rsidRPr="006236F3">
        <w:t>public open space</w:t>
      </w:r>
    </w:p>
    <w:p w:rsidR="005912AF" w:rsidRPr="006236F3" w:rsidRDefault="005912AF" w:rsidP="005912AF">
      <w:pPr>
        <w:pStyle w:val="PPVQuoteBullet1"/>
      </w:pPr>
      <w:r w:rsidRPr="006236F3">
        <w:t>roads and laneways</w:t>
      </w:r>
    </w:p>
    <w:p w:rsidR="005912AF" w:rsidRPr="006236F3" w:rsidRDefault="005912AF" w:rsidP="005912AF">
      <w:pPr>
        <w:pStyle w:val="PPVQuoteBullet1"/>
      </w:pPr>
      <w:r w:rsidRPr="006236F3">
        <w:t>commercial floor space, and/or</w:t>
      </w:r>
    </w:p>
    <w:p w:rsidR="005912AF" w:rsidRPr="006236F3" w:rsidRDefault="005912AF" w:rsidP="005912AF">
      <w:pPr>
        <w:pStyle w:val="PPVQuoteBullet1"/>
      </w:pPr>
      <w:r w:rsidRPr="006236F3">
        <w:t>other community infrastructure (such as schools, community hubs etc).</w:t>
      </w:r>
    </w:p>
    <w:p w:rsidR="005912AF" w:rsidRDefault="005912AF" w:rsidP="005912AF">
      <w:pPr>
        <w:pStyle w:val="PPVQuote"/>
      </w:pPr>
      <w:r>
        <w:t>The Review Panel will note that, originally, the Minister opposed using the FAU to secure the delivery of public open space and/or roads or laneways on the basis that the FAR mechanism would achieve this without inequity to any landowner.  Now that the Minister has finally accepted that this was a false proposition, and abandoned his original FAR based mechanism to acquire open space and roads/laneways, why should this not be an option under the FAU or any alternative form of “uplift” scheme?</w:t>
      </w:r>
    </w:p>
    <w:p w:rsidR="00785416" w:rsidRDefault="005912AF" w:rsidP="005912AF">
      <w:pPr>
        <w:pStyle w:val="PPVBody"/>
      </w:pPr>
      <w:r>
        <w:t xml:space="preserve">The Minister submitted that the decision to accept a public benefit in the form of social housing </w:t>
      </w:r>
      <w:r w:rsidR="00276AA9">
        <w:t xml:space="preserve">only </w:t>
      </w:r>
      <w:r>
        <w:t>in exchange for an uplift should</w:t>
      </w:r>
      <w:r w:rsidR="00276AA9">
        <w:t xml:space="preserve"> be</w:t>
      </w:r>
      <w:r>
        <w:t xml:space="preserve"> entirely at the discretion of the responsible authority (in consultation with the proposed receiving agency for the social housing).  He submitted that a decision to accept or refuse a proposal to provide social housing in return for an uplift should not be subject to review in VCAT, as it would be inappropriate to ‘force’ the </w:t>
      </w:r>
      <w:r w:rsidR="00276AA9">
        <w:t>r</w:t>
      </w:r>
      <w:r>
        <w:t xml:space="preserve">esponsible </w:t>
      </w:r>
      <w:r w:rsidR="00276AA9">
        <w:t>a</w:t>
      </w:r>
      <w:r>
        <w:t>uthority to accept social housing if it was not needed, or if a suitable receiving agency to own and manage the social housing could not be identified.</w:t>
      </w:r>
    </w:p>
    <w:p w:rsidR="005912AF" w:rsidRDefault="005912AF" w:rsidP="005912AF">
      <w:pPr>
        <w:pStyle w:val="PPVBody"/>
      </w:pPr>
      <w:r>
        <w:t>Mr Tweedie’s closing submission challenged the claim that FAU should not be subject to VCAT review</w:t>
      </w:r>
      <w:r>
        <w:rPr>
          <w:rStyle w:val="FootnoteReference"/>
        </w:rPr>
        <w:footnoteReference w:id="68"/>
      </w:r>
      <w:r>
        <w:t>:</w:t>
      </w:r>
    </w:p>
    <w:p w:rsidR="005912AF" w:rsidRPr="00E1247D" w:rsidRDefault="005912AF" w:rsidP="005912AF">
      <w:pPr>
        <w:pStyle w:val="PPVQuote"/>
      </w:pPr>
      <w:r w:rsidRPr="00E1247D">
        <w:lastRenderedPageBreak/>
        <w:t>The public benefit to be delivered must, by definition, be one which is “to the satisfaction of the responsible authority”.  Consequently (and despite assertions to the contrary by the Minister)</w:t>
      </w:r>
      <w:r w:rsidRPr="00820B43">
        <w:rPr>
          <w:rStyle w:val="FootnoteReference"/>
          <w:i w:val="0"/>
        </w:rPr>
        <w:footnoteReference w:id="69"/>
      </w:r>
      <w:r w:rsidRPr="00E1247D">
        <w:t xml:space="preserve"> under the proposed controls, there can be no real doubt that any decision by a responsible authority as to whether the proposed provision of social housing justif</w:t>
      </w:r>
      <w:r>
        <w:t>ies</w:t>
      </w:r>
      <w:r w:rsidRPr="00E1247D">
        <w:t xml:space="preserve"> a proposed FAU will be able to be reviewed by VCAT under s 149 of the Act.</w:t>
      </w:r>
      <w:r w:rsidRPr="00820B43">
        <w:rPr>
          <w:rStyle w:val="FootnoteReference"/>
          <w:i w:val="0"/>
        </w:rPr>
        <w:footnoteReference w:id="70"/>
      </w:r>
    </w:p>
    <w:p w:rsidR="005912AF" w:rsidRDefault="005912AF" w:rsidP="005912AF">
      <w:pPr>
        <w:pStyle w:val="PPVQuote"/>
      </w:pPr>
      <w:r>
        <w:t>This, in and of itself, is a good thing.  However, the continued assertions of the Minister that this is not the case simply illustrate the current deficiencies of the controls as drafted.  It should be obvious to everyone what exactly is being proposed here.</w:t>
      </w:r>
    </w:p>
    <w:p w:rsidR="005912AF" w:rsidRDefault="005912AF" w:rsidP="005912AF">
      <w:pPr>
        <w:pStyle w:val="Heading4"/>
      </w:pPr>
      <w:r>
        <w:t>Discussion</w:t>
      </w:r>
    </w:p>
    <w:p w:rsidR="005912AF" w:rsidRDefault="005912AF" w:rsidP="005912AF">
      <w:pPr>
        <w:pStyle w:val="PPVBody"/>
      </w:pPr>
      <w:r>
        <w:t>An uplift scheme requires a base limit on the development of a site, above which extra development is permitted in return for the delivery of a public benefit.  The issue is whether the uplift allowed under the FAU scheme is appropriate.</w:t>
      </w:r>
    </w:p>
    <w:p w:rsidR="00785416" w:rsidRDefault="005912AF" w:rsidP="005912AF">
      <w:pPr>
        <w:pStyle w:val="Heading5"/>
      </w:pPr>
      <w:r>
        <w:t xml:space="preserve">The potential built form and population outcomes </w:t>
      </w:r>
      <w:r w:rsidRPr="00544450">
        <w:t>of the FAU scheme</w:t>
      </w:r>
    </w:p>
    <w:p w:rsidR="005912AF" w:rsidRPr="00CD1B37" w:rsidRDefault="005912AF" w:rsidP="005912AF">
      <w:pPr>
        <w:pStyle w:val="PPVBody"/>
      </w:pPr>
      <w:r w:rsidRPr="00CD1B37">
        <w:t>The FAU scheme has significant implications for population and built form in Fishermans Bend.</w:t>
      </w:r>
    </w:p>
    <w:p w:rsidR="005912AF" w:rsidRPr="00CD1B37" w:rsidRDefault="005912AF" w:rsidP="005912AF">
      <w:pPr>
        <w:pStyle w:val="PPVBody"/>
      </w:pPr>
      <w:r w:rsidRPr="00CD1B37">
        <w:t>The ratio of eight private ‘uplift’ dwellings to each social housing dwelling means that for every six social h</w:t>
      </w:r>
      <w:r w:rsidR="00276AA9" w:rsidRPr="00CD1B37">
        <w:t>ousing dwellings, 48 private up</w:t>
      </w:r>
      <w:r w:rsidRPr="00CD1B37">
        <w:t>lift dwellings can be provided.  In other words, 54 additional dwellings would be provided for every 100 dwellings if the six per cent was taken to be six per cent of the base dwellings.  This means that FAU potentially delivers an additional 54 per cent the floor area over and above the base FAR.</w:t>
      </w:r>
      <w:r w:rsidR="00E65266" w:rsidRPr="00CD1B37">
        <w:t xml:space="preserve">  This is not to be confused with the six per cent policy for affordable housing.</w:t>
      </w:r>
    </w:p>
    <w:p w:rsidR="005912AF" w:rsidRPr="00CD1B37" w:rsidRDefault="005912AF" w:rsidP="005912AF">
      <w:pPr>
        <w:pStyle w:val="PPVBody"/>
      </w:pPr>
      <w:r w:rsidRPr="00CD1B37">
        <w:t xml:space="preserve">If the target of six per cent refers to six per cent of </w:t>
      </w:r>
      <w:r w:rsidRPr="00CD1B37">
        <w:rPr>
          <w:u w:val="single"/>
        </w:rPr>
        <w:t>all</w:t>
      </w:r>
      <w:r w:rsidRPr="00CD1B37">
        <w:t xml:space="preserve"> new dwellings, and FAU was the only delivery mechanism, then for every 100 dwellings there would be:</w:t>
      </w:r>
    </w:p>
    <w:p w:rsidR="005912AF" w:rsidRPr="00CD1B37" w:rsidRDefault="005912AF" w:rsidP="005912AF">
      <w:pPr>
        <w:pStyle w:val="PPVBullet1"/>
      </w:pPr>
      <w:r w:rsidRPr="00CD1B37">
        <w:t>six social housing dwellings</w:t>
      </w:r>
    </w:p>
    <w:p w:rsidR="005912AF" w:rsidRPr="00CD1B37" w:rsidRDefault="005912AF" w:rsidP="005912AF">
      <w:pPr>
        <w:pStyle w:val="PPVBullet1"/>
      </w:pPr>
      <w:r w:rsidRPr="00CD1B37">
        <w:t>48 uplift dwellings</w:t>
      </w:r>
    </w:p>
    <w:p w:rsidR="005912AF" w:rsidRDefault="005912AF" w:rsidP="005912AF">
      <w:pPr>
        <w:pStyle w:val="PPVBullet1"/>
      </w:pPr>
      <w:r>
        <w:t>46 base dwellings.</w:t>
      </w:r>
    </w:p>
    <w:p w:rsidR="00785416" w:rsidRDefault="005912AF" w:rsidP="005912AF">
      <w:pPr>
        <w:pStyle w:val="PPVBody"/>
      </w:pPr>
      <w:r>
        <w:t xml:space="preserve">This means that FAU potentially delivers </w:t>
      </w:r>
      <w:r w:rsidR="00126AA9">
        <w:t>over double</w:t>
      </w:r>
      <w:r>
        <w:t xml:space="preserve"> the floor area of the base FAR.</w:t>
      </w:r>
      <w:r w:rsidRPr="00820B43">
        <w:rPr>
          <w:rStyle w:val="FootnoteReference"/>
        </w:rPr>
        <w:footnoteReference w:id="71"/>
      </w:r>
    </w:p>
    <w:bookmarkStart w:id="333" w:name="_Toc519339203"/>
    <w:p w:rsidR="005912AF" w:rsidRDefault="005912AF" w:rsidP="005912AF">
      <w:pPr>
        <w:pStyle w:val="PPVBody"/>
      </w:pPr>
      <w:r>
        <w:fldChar w:fldCharType="begin"/>
      </w:r>
      <w:r>
        <w:rPr>
          <w:highlight w:val="yellow"/>
        </w:rPr>
        <w:instrText xml:space="preserve"> REF _Ref519599318 \h </w:instrText>
      </w:r>
      <w:r>
        <w:fldChar w:fldCharType="separate"/>
      </w:r>
      <w:r w:rsidR="00A307EC">
        <w:t xml:space="preserve">Figure </w:t>
      </w:r>
      <w:r w:rsidR="00A307EC">
        <w:rPr>
          <w:noProof/>
        </w:rPr>
        <w:t>9</w:t>
      </w:r>
      <w:r>
        <w:fldChar w:fldCharType="end"/>
      </w:r>
      <w:r>
        <w:t xml:space="preserve"> shows graphically the potential impact of FAU on dwelling numbers, based on FAU delivering six per cent social housing in scenarios involving a 75 per cent build out and a 100 per cent build, and based on an uplift ratio of 8:1.</w:t>
      </w:r>
    </w:p>
    <w:p w:rsidR="005912AF" w:rsidRDefault="005912AF" w:rsidP="005912AF">
      <w:pPr>
        <w:pStyle w:val="Caption"/>
      </w:pPr>
      <w:bookmarkStart w:id="334" w:name="_Ref519599318"/>
      <w:bookmarkStart w:id="335" w:name="_Toc519495133"/>
      <w:bookmarkStart w:id="336" w:name="_Toc519719112"/>
      <w:bookmarkStart w:id="337" w:name="_Toc519710380"/>
      <w:r>
        <w:lastRenderedPageBreak/>
        <w:t xml:space="preserve">Figure </w:t>
      </w:r>
      <w:r>
        <w:rPr>
          <w:noProof/>
        </w:rPr>
        <w:fldChar w:fldCharType="begin"/>
      </w:r>
      <w:r>
        <w:rPr>
          <w:noProof/>
        </w:rPr>
        <w:instrText xml:space="preserve"> SEQ Figure \* ARABIC </w:instrText>
      </w:r>
      <w:r>
        <w:rPr>
          <w:noProof/>
        </w:rPr>
        <w:fldChar w:fldCharType="separate"/>
      </w:r>
      <w:r w:rsidR="00A307EC">
        <w:rPr>
          <w:noProof/>
        </w:rPr>
        <w:t>9</w:t>
      </w:r>
      <w:r>
        <w:rPr>
          <w:noProof/>
        </w:rPr>
        <w:fldChar w:fldCharType="end"/>
      </w:r>
      <w:bookmarkEnd w:id="334"/>
      <w:r>
        <w:t>:</w:t>
      </w:r>
      <w:r>
        <w:tab/>
        <w:t>FAU require</w:t>
      </w:r>
      <w:r w:rsidRPr="002F3FB1">
        <w:t>d to deliver social housing target on estimated 29,819 additional dwellings</w:t>
      </w:r>
      <w:bookmarkEnd w:id="333"/>
      <w:bookmarkEnd w:id="335"/>
      <w:bookmarkEnd w:id="336"/>
      <w:bookmarkEnd w:id="337"/>
    </w:p>
    <w:p w:rsidR="005912AF" w:rsidRDefault="005912AF" w:rsidP="005912AF">
      <w:pPr>
        <w:pStyle w:val="PPVBody"/>
        <w:keepNext/>
      </w:pPr>
      <w:r>
        <w:rPr>
          <w:noProof/>
        </w:rPr>
        <w:drawing>
          <wp:inline distT="0" distB="0" distL="0" distR="0" wp14:anchorId="72F581BF" wp14:editId="4F7F709A">
            <wp:extent cx="5740107" cy="373884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0107" cy="3738846"/>
                    </a:xfrm>
                    <a:prstGeom prst="rect">
                      <a:avLst/>
                    </a:prstGeom>
                    <a:noFill/>
                  </pic:spPr>
                </pic:pic>
              </a:graphicData>
            </a:graphic>
          </wp:inline>
        </w:drawing>
      </w:r>
    </w:p>
    <w:p w:rsidR="005912AF" w:rsidRDefault="00363FB4" w:rsidP="005912AF">
      <w:pPr>
        <w:pStyle w:val="PPVSource"/>
      </w:pPr>
      <w:r>
        <w:t>Note:</w:t>
      </w:r>
      <w:r>
        <w:tab/>
        <w:t>‘</w:t>
      </w:r>
      <w:r w:rsidR="005912AF">
        <w:t>Affordable dwellings’ do</w:t>
      </w:r>
      <w:r w:rsidR="00E60E8F">
        <w:t>es</w:t>
      </w:r>
      <w:r w:rsidR="005912AF">
        <w:t xml:space="preserve"> not include Social housing dwellings</w:t>
      </w:r>
    </w:p>
    <w:p w:rsidR="00785416" w:rsidRDefault="005912AF" w:rsidP="005912AF">
      <w:pPr>
        <w:pStyle w:val="PPVSource"/>
      </w:pPr>
      <w:r>
        <w:t xml:space="preserve">Source: </w:t>
      </w:r>
      <w:r>
        <w:tab/>
        <w:t>Prepared by Review Panel</w:t>
      </w:r>
    </w:p>
    <w:p w:rsidR="00785416" w:rsidRDefault="005912AF" w:rsidP="005912AF">
      <w:pPr>
        <w:pStyle w:val="PPVBody"/>
      </w:pPr>
      <w:r w:rsidRPr="00776FB5">
        <w:fldChar w:fldCharType="begin"/>
      </w:r>
      <w:r w:rsidRPr="00776FB5">
        <w:instrText xml:space="preserve"> REF _Ref519599411 \h </w:instrText>
      </w:r>
      <w:r>
        <w:instrText xml:space="preserve"> \* MERGEFORMAT </w:instrText>
      </w:r>
      <w:r w:rsidRPr="00776FB5">
        <w:fldChar w:fldCharType="separate"/>
      </w:r>
      <w:r w:rsidR="00A307EC">
        <w:t xml:space="preserve">Table </w:t>
      </w:r>
      <w:r w:rsidR="00A307EC">
        <w:rPr>
          <w:noProof/>
        </w:rPr>
        <w:t>15</w:t>
      </w:r>
      <w:r w:rsidRPr="00776FB5">
        <w:fldChar w:fldCharType="end"/>
      </w:r>
      <w:r w:rsidRPr="00776FB5">
        <w:t xml:space="preserve"> presents this in population terms.</w:t>
      </w:r>
    </w:p>
    <w:p w:rsidR="005912AF" w:rsidRDefault="005912AF" w:rsidP="005912AF">
      <w:pPr>
        <w:pStyle w:val="Caption"/>
      </w:pPr>
      <w:bookmarkStart w:id="338" w:name="_Ref519599411"/>
      <w:bookmarkStart w:id="339" w:name="_Toc519719140"/>
      <w:bookmarkStart w:id="340" w:name="_Toc519710363"/>
      <w:r>
        <w:t xml:space="preserve">Table </w:t>
      </w:r>
      <w:r>
        <w:rPr>
          <w:noProof/>
        </w:rPr>
        <w:fldChar w:fldCharType="begin"/>
      </w:r>
      <w:r>
        <w:rPr>
          <w:noProof/>
        </w:rPr>
        <w:instrText xml:space="preserve"> SEQ Table \* ARABIC </w:instrText>
      </w:r>
      <w:r>
        <w:rPr>
          <w:noProof/>
        </w:rPr>
        <w:fldChar w:fldCharType="separate"/>
      </w:r>
      <w:r w:rsidR="00A307EC">
        <w:rPr>
          <w:noProof/>
        </w:rPr>
        <w:t>15</w:t>
      </w:r>
      <w:r>
        <w:rPr>
          <w:noProof/>
        </w:rPr>
        <w:fldChar w:fldCharType="end"/>
      </w:r>
      <w:bookmarkEnd w:id="338"/>
      <w:r>
        <w:t>:</w:t>
      </w:r>
      <w:r>
        <w:tab/>
        <w:t>Population increase associated with the FAU scheme</w:t>
      </w:r>
      <w:bookmarkEnd w:id="339"/>
      <w:bookmarkEnd w:id="340"/>
    </w:p>
    <w:tbl>
      <w:tblPr>
        <w:tblW w:w="8931" w:type="dxa"/>
        <w:tblInd w:w="108" w:type="dxa"/>
        <w:tblBorders>
          <w:bottom w:val="single" w:sz="12" w:space="0" w:color="215868"/>
          <w:insideH w:val="dotted" w:sz="4" w:space="0" w:color="auto"/>
        </w:tblBorders>
        <w:tblLayout w:type="fixed"/>
        <w:tblLook w:val="04A0" w:firstRow="1" w:lastRow="0" w:firstColumn="1" w:lastColumn="0" w:noHBand="0" w:noVBand="1"/>
      </w:tblPr>
      <w:tblGrid>
        <w:gridCol w:w="4962"/>
        <w:gridCol w:w="1984"/>
        <w:gridCol w:w="1985"/>
      </w:tblGrid>
      <w:tr w:rsidR="005912AF" w:rsidRPr="003C6ACB" w:rsidTr="005912AF">
        <w:trPr>
          <w:cantSplit/>
          <w:tblHeader/>
        </w:trPr>
        <w:tc>
          <w:tcPr>
            <w:tcW w:w="4962" w:type="dxa"/>
            <w:tcBorders>
              <w:top w:val="nil"/>
              <w:bottom w:val="dotted" w:sz="4" w:space="0" w:color="auto"/>
            </w:tcBorders>
            <w:shd w:val="clear" w:color="auto" w:fill="215868"/>
            <w:vAlign w:val="bottom"/>
            <w:hideMark/>
          </w:tcPr>
          <w:p w:rsidR="005912AF" w:rsidRPr="006A0F3A" w:rsidRDefault="005912AF" w:rsidP="005912AF">
            <w:pPr>
              <w:pStyle w:val="PPVTableHeader"/>
            </w:pPr>
          </w:p>
        </w:tc>
        <w:tc>
          <w:tcPr>
            <w:tcW w:w="1984" w:type="dxa"/>
            <w:tcBorders>
              <w:top w:val="nil"/>
              <w:bottom w:val="dotted" w:sz="4" w:space="0" w:color="auto"/>
            </w:tcBorders>
            <w:shd w:val="clear" w:color="auto" w:fill="215868"/>
            <w:vAlign w:val="bottom"/>
            <w:hideMark/>
          </w:tcPr>
          <w:p w:rsidR="005912AF" w:rsidRPr="006A0F3A" w:rsidRDefault="005912AF" w:rsidP="005912AF">
            <w:pPr>
              <w:pStyle w:val="PPVTableHeader"/>
            </w:pPr>
            <w:r w:rsidRPr="006A0F3A">
              <w:t>Total</w:t>
            </w:r>
          </w:p>
        </w:tc>
        <w:tc>
          <w:tcPr>
            <w:tcW w:w="1985" w:type="dxa"/>
            <w:tcBorders>
              <w:top w:val="nil"/>
              <w:bottom w:val="dotted" w:sz="4" w:space="0" w:color="auto"/>
            </w:tcBorders>
            <w:shd w:val="clear" w:color="auto" w:fill="215868"/>
            <w:vAlign w:val="bottom"/>
            <w:hideMark/>
          </w:tcPr>
          <w:p w:rsidR="005912AF" w:rsidRPr="006A0F3A" w:rsidRDefault="005912AF" w:rsidP="005912AF">
            <w:pPr>
              <w:pStyle w:val="PPVTableHeader"/>
            </w:pPr>
            <w:r w:rsidRPr="006A0F3A">
              <w:t>Percentage increase on base</w:t>
            </w:r>
          </w:p>
        </w:tc>
      </w:tr>
      <w:tr w:rsidR="005912AF" w:rsidRPr="003C6ACB" w:rsidTr="005912AF">
        <w:trPr>
          <w:cantSplit/>
        </w:trPr>
        <w:tc>
          <w:tcPr>
            <w:tcW w:w="4962" w:type="dxa"/>
            <w:tcBorders>
              <w:top w:val="dotted" w:sz="4" w:space="0" w:color="auto"/>
            </w:tcBorders>
            <w:shd w:val="clear" w:color="auto" w:fill="auto"/>
            <w:vAlign w:val="bottom"/>
            <w:hideMark/>
          </w:tcPr>
          <w:p w:rsidR="005912AF" w:rsidRPr="00532635" w:rsidRDefault="005912AF" w:rsidP="005912AF">
            <w:pPr>
              <w:pStyle w:val="PPVBody"/>
              <w:rPr>
                <w:sz w:val="20"/>
                <w:szCs w:val="20"/>
              </w:rPr>
            </w:pPr>
            <w:r w:rsidRPr="00532635">
              <w:rPr>
                <w:sz w:val="20"/>
                <w:szCs w:val="20"/>
              </w:rPr>
              <w:t>Base population</w:t>
            </w:r>
          </w:p>
        </w:tc>
        <w:tc>
          <w:tcPr>
            <w:tcW w:w="1984" w:type="dxa"/>
            <w:tcBorders>
              <w:top w:val="dotted" w:sz="4" w:space="0" w:color="auto"/>
            </w:tcBorders>
            <w:shd w:val="clear" w:color="auto" w:fill="auto"/>
            <w:vAlign w:val="bottom"/>
            <w:hideMark/>
          </w:tcPr>
          <w:p w:rsidR="005912AF" w:rsidRPr="00E56D35" w:rsidRDefault="005912AF" w:rsidP="005912AF">
            <w:pPr>
              <w:pStyle w:val="PPVTableText"/>
              <w:keepNext/>
              <w:rPr>
                <w:szCs w:val="20"/>
              </w:rPr>
            </w:pPr>
            <w:r w:rsidRPr="00E56D35">
              <w:rPr>
                <w:szCs w:val="20"/>
              </w:rPr>
              <w:t>80,000</w:t>
            </w:r>
          </w:p>
        </w:tc>
        <w:tc>
          <w:tcPr>
            <w:tcW w:w="1985" w:type="dxa"/>
            <w:tcBorders>
              <w:top w:val="dotted" w:sz="4" w:space="0" w:color="auto"/>
            </w:tcBorders>
            <w:shd w:val="clear" w:color="auto" w:fill="auto"/>
            <w:vAlign w:val="bottom"/>
            <w:hideMark/>
          </w:tcPr>
          <w:p w:rsidR="005912AF" w:rsidRPr="00E56D35" w:rsidRDefault="005912AF" w:rsidP="005912AF">
            <w:pPr>
              <w:pStyle w:val="PPVTableText"/>
              <w:keepNext/>
              <w:rPr>
                <w:szCs w:val="20"/>
              </w:rPr>
            </w:pPr>
          </w:p>
        </w:tc>
      </w:tr>
      <w:tr w:rsidR="005912AF" w:rsidRPr="003C6ACB" w:rsidTr="005912AF">
        <w:trPr>
          <w:cantSplit/>
        </w:trPr>
        <w:tc>
          <w:tcPr>
            <w:tcW w:w="4962" w:type="dxa"/>
            <w:shd w:val="clear" w:color="auto" w:fill="auto"/>
            <w:vAlign w:val="bottom"/>
            <w:hideMark/>
          </w:tcPr>
          <w:p w:rsidR="005912AF" w:rsidRPr="00CD1B37" w:rsidRDefault="005912AF" w:rsidP="005912AF">
            <w:pPr>
              <w:pStyle w:val="PPVBody"/>
              <w:rPr>
                <w:sz w:val="20"/>
                <w:szCs w:val="20"/>
              </w:rPr>
            </w:pPr>
            <w:r w:rsidRPr="00CD1B37">
              <w:rPr>
                <w:sz w:val="20"/>
                <w:szCs w:val="20"/>
              </w:rPr>
              <w:t>Population to deliver six per cent social housing of 80,000 population – 75% build out</w:t>
            </w:r>
          </w:p>
        </w:tc>
        <w:tc>
          <w:tcPr>
            <w:tcW w:w="1984" w:type="dxa"/>
            <w:shd w:val="clear" w:color="auto" w:fill="auto"/>
            <w:vAlign w:val="bottom"/>
            <w:hideMark/>
          </w:tcPr>
          <w:p w:rsidR="005912AF" w:rsidRPr="00E56D35" w:rsidRDefault="005912AF" w:rsidP="005912AF">
            <w:pPr>
              <w:pStyle w:val="PPVTableText"/>
              <w:keepNext/>
              <w:rPr>
                <w:szCs w:val="20"/>
              </w:rPr>
            </w:pPr>
            <w:r w:rsidRPr="00E56D35">
              <w:rPr>
                <w:szCs w:val="20"/>
              </w:rPr>
              <w:t>123,200</w:t>
            </w:r>
          </w:p>
        </w:tc>
        <w:tc>
          <w:tcPr>
            <w:tcW w:w="1985" w:type="dxa"/>
            <w:shd w:val="clear" w:color="auto" w:fill="auto"/>
            <w:vAlign w:val="bottom"/>
            <w:hideMark/>
          </w:tcPr>
          <w:p w:rsidR="005912AF" w:rsidRPr="00E56D35" w:rsidRDefault="005912AF" w:rsidP="005912AF">
            <w:pPr>
              <w:pStyle w:val="PPVTableText"/>
              <w:keepNext/>
              <w:rPr>
                <w:szCs w:val="20"/>
              </w:rPr>
            </w:pPr>
            <w:r w:rsidRPr="00E56D35">
              <w:rPr>
                <w:szCs w:val="20"/>
              </w:rPr>
              <w:t>54%</w:t>
            </w:r>
          </w:p>
        </w:tc>
      </w:tr>
      <w:tr w:rsidR="005912AF" w:rsidRPr="003C6ACB" w:rsidTr="005912AF">
        <w:trPr>
          <w:cantSplit/>
        </w:trPr>
        <w:tc>
          <w:tcPr>
            <w:tcW w:w="4962" w:type="dxa"/>
            <w:shd w:val="clear" w:color="auto" w:fill="auto"/>
            <w:vAlign w:val="bottom"/>
            <w:hideMark/>
          </w:tcPr>
          <w:p w:rsidR="005912AF" w:rsidRPr="00CD1B37" w:rsidRDefault="005912AF" w:rsidP="005912AF">
            <w:pPr>
              <w:pStyle w:val="PPVBody"/>
              <w:rPr>
                <w:sz w:val="20"/>
                <w:szCs w:val="20"/>
              </w:rPr>
            </w:pPr>
            <w:r w:rsidRPr="00CD1B37">
              <w:rPr>
                <w:sz w:val="20"/>
                <w:szCs w:val="20"/>
              </w:rPr>
              <w:t>Population to deliver six per cent social housing of total population – 75% build out</w:t>
            </w:r>
          </w:p>
        </w:tc>
        <w:tc>
          <w:tcPr>
            <w:tcW w:w="1984" w:type="dxa"/>
            <w:shd w:val="clear" w:color="auto" w:fill="auto"/>
            <w:vAlign w:val="bottom"/>
            <w:hideMark/>
          </w:tcPr>
          <w:p w:rsidR="005912AF" w:rsidRPr="00E56D35" w:rsidRDefault="005912AF" w:rsidP="005912AF">
            <w:pPr>
              <w:pStyle w:val="PPVTableText"/>
              <w:keepNext/>
              <w:rPr>
                <w:szCs w:val="20"/>
              </w:rPr>
            </w:pPr>
            <w:r w:rsidRPr="00E56D35">
              <w:rPr>
                <w:szCs w:val="20"/>
              </w:rPr>
              <w:t>173,913</w:t>
            </w:r>
          </w:p>
        </w:tc>
        <w:tc>
          <w:tcPr>
            <w:tcW w:w="1985" w:type="dxa"/>
            <w:shd w:val="clear" w:color="auto" w:fill="auto"/>
            <w:vAlign w:val="bottom"/>
            <w:hideMark/>
          </w:tcPr>
          <w:p w:rsidR="005912AF" w:rsidRPr="00E56D35" w:rsidRDefault="005912AF" w:rsidP="005912AF">
            <w:pPr>
              <w:pStyle w:val="PPVTableText"/>
              <w:keepNext/>
              <w:rPr>
                <w:szCs w:val="20"/>
              </w:rPr>
            </w:pPr>
            <w:r w:rsidRPr="00E56D35">
              <w:rPr>
                <w:szCs w:val="20"/>
              </w:rPr>
              <w:t>117%</w:t>
            </w:r>
          </w:p>
        </w:tc>
      </w:tr>
      <w:tr w:rsidR="005912AF" w:rsidRPr="003C6ACB" w:rsidTr="005912AF">
        <w:trPr>
          <w:cantSplit/>
        </w:trPr>
        <w:tc>
          <w:tcPr>
            <w:tcW w:w="4962" w:type="dxa"/>
            <w:shd w:val="clear" w:color="auto" w:fill="auto"/>
            <w:vAlign w:val="bottom"/>
            <w:hideMark/>
          </w:tcPr>
          <w:p w:rsidR="005912AF" w:rsidRPr="00CD1B37" w:rsidRDefault="005912AF" w:rsidP="005912AF">
            <w:pPr>
              <w:pStyle w:val="PPVBody"/>
              <w:rPr>
                <w:sz w:val="20"/>
                <w:szCs w:val="20"/>
              </w:rPr>
            </w:pPr>
            <w:r w:rsidRPr="00CD1B37">
              <w:rPr>
                <w:sz w:val="20"/>
                <w:szCs w:val="20"/>
              </w:rPr>
              <w:t>Population to deliver six per cent social housing of total population – 100% build out</w:t>
            </w:r>
          </w:p>
        </w:tc>
        <w:tc>
          <w:tcPr>
            <w:tcW w:w="1984" w:type="dxa"/>
            <w:shd w:val="clear" w:color="auto" w:fill="auto"/>
            <w:vAlign w:val="bottom"/>
            <w:hideMark/>
          </w:tcPr>
          <w:p w:rsidR="005912AF" w:rsidRPr="00E56D35" w:rsidRDefault="005912AF" w:rsidP="005912AF">
            <w:pPr>
              <w:pStyle w:val="PPVTableText"/>
              <w:rPr>
                <w:szCs w:val="20"/>
              </w:rPr>
            </w:pPr>
            <w:r w:rsidRPr="00E56D35">
              <w:rPr>
                <w:szCs w:val="20"/>
              </w:rPr>
              <w:t>231,884</w:t>
            </w:r>
          </w:p>
        </w:tc>
        <w:tc>
          <w:tcPr>
            <w:tcW w:w="1985" w:type="dxa"/>
            <w:shd w:val="clear" w:color="auto" w:fill="auto"/>
            <w:vAlign w:val="bottom"/>
            <w:hideMark/>
          </w:tcPr>
          <w:p w:rsidR="005912AF" w:rsidRPr="00E56D35" w:rsidRDefault="005912AF" w:rsidP="005912AF">
            <w:pPr>
              <w:pStyle w:val="PPVTableText"/>
              <w:rPr>
                <w:szCs w:val="20"/>
              </w:rPr>
            </w:pPr>
            <w:r w:rsidRPr="00E56D35">
              <w:rPr>
                <w:szCs w:val="20"/>
              </w:rPr>
              <w:t>190%</w:t>
            </w:r>
          </w:p>
        </w:tc>
      </w:tr>
    </w:tbl>
    <w:p w:rsidR="00785416" w:rsidRDefault="005912AF" w:rsidP="005912AF">
      <w:pPr>
        <w:pStyle w:val="PPVSource"/>
      </w:pPr>
      <w:r>
        <w:t>Source: Prepared by Review Panel</w:t>
      </w:r>
    </w:p>
    <w:p w:rsidR="00785416" w:rsidRDefault="005912AF" w:rsidP="005912AF">
      <w:pPr>
        <w:pStyle w:val="PPVBody"/>
      </w:pPr>
      <w:r>
        <w:t>There is little doubt that if there is enthusiastic uptake of the FAU scheme to deliver social housing, there will be significantly more dwellings (and significantly greater population) in Fishermans Bend than the 2050 estimates reflected in the Vision and the draft Framework.</w:t>
      </w:r>
    </w:p>
    <w:p w:rsidR="00785416" w:rsidRDefault="005912AF" w:rsidP="005912AF">
      <w:pPr>
        <w:pStyle w:val="PPVBody"/>
      </w:pPr>
      <w:r>
        <w:t>At this stage, the Review Panel does not support capping the FAU, because of the implications this would have for the delivery of social housing</w:t>
      </w:r>
      <w:r w:rsidRPr="00095ADD">
        <w:t xml:space="preserve"> </w:t>
      </w:r>
      <w:r>
        <w:t xml:space="preserve">discussed in </w:t>
      </w:r>
      <w:r w:rsidRPr="00276AA9">
        <w:t>Chapter 8.5.</w:t>
      </w:r>
      <w:r>
        <w:t xml:space="preserve"> However, the Lorimer example provided by Ms Hodyl highlights the need to closely monitor the uptake of FAU in Fishermans Bend.  If uptake is high, and some of the potential consequences </w:t>
      </w:r>
      <w:r w:rsidR="00300895">
        <w:t xml:space="preserve">of additional built form and population as </w:t>
      </w:r>
      <w:r>
        <w:t>outlined by Melbourne and Ms Hodyl start to eventuate, there may be a need to revisit a cap on FAU.</w:t>
      </w:r>
    </w:p>
    <w:p w:rsidR="005912AF" w:rsidRPr="00095ADD" w:rsidRDefault="005912AF" w:rsidP="005912AF">
      <w:pPr>
        <w:pStyle w:val="Heading5"/>
      </w:pPr>
      <w:r w:rsidRPr="00095ADD">
        <w:lastRenderedPageBreak/>
        <w:t>Should FAU be restricted to social housing?</w:t>
      </w:r>
    </w:p>
    <w:p w:rsidR="00785416" w:rsidRDefault="005912AF" w:rsidP="005912AF">
      <w:pPr>
        <w:pStyle w:val="PPVBody"/>
      </w:pPr>
      <w:r w:rsidRPr="003F1DED">
        <w:t xml:space="preserve">The Review Panel </w:t>
      </w:r>
      <w:r>
        <w:t xml:space="preserve">is concerned that too broad an FAU scheme could undermine the planning for Fishermans Bend, including by further increasing the dwelling numbers and population beyond the increases contemplated in </w:t>
      </w:r>
      <w:r>
        <w:fldChar w:fldCharType="begin"/>
      </w:r>
      <w:r>
        <w:instrText xml:space="preserve"> REF _Ref519599318 \h </w:instrText>
      </w:r>
      <w:r>
        <w:fldChar w:fldCharType="separate"/>
      </w:r>
      <w:r w:rsidR="00A307EC">
        <w:t xml:space="preserve">Figure </w:t>
      </w:r>
      <w:r w:rsidR="00A307EC">
        <w:rPr>
          <w:noProof/>
        </w:rPr>
        <w:t>9</w:t>
      </w:r>
      <w:r>
        <w:fldChar w:fldCharType="end"/>
      </w:r>
      <w:r>
        <w:t xml:space="preserve"> and </w:t>
      </w:r>
      <w:r>
        <w:fldChar w:fldCharType="begin"/>
      </w:r>
      <w:r>
        <w:instrText xml:space="preserve"> REF _Ref519599411 \h </w:instrText>
      </w:r>
      <w:r>
        <w:fldChar w:fldCharType="separate"/>
      </w:r>
      <w:r w:rsidR="00A307EC">
        <w:t xml:space="preserve">Table </w:t>
      </w:r>
      <w:r w:rsidR="00A307EC">
        <w:rPr>
          <w:noProof/>
        </w:rPr>
        <w:t>15</w:t>
      </w:r>
      <w:r>
        <w:fldChar w:fldCharType="end"/>
      </w:r>
      <w:r>
        <w:t xml:space="preserve"> (which are based on FAU only delivering social housing)</w:t>
      </w:r>
      <w:r w:rsidR="00894EB7">
        <w:t xml:space="preserve"> (although it notes that decisions </w:t>
      </w:r>
      <w:r w:rsidR="0097365E">
        <w:t>about whether to approve FAU are within the discretion of the responsible authority)</w:t>
      </w:r>
      <w:r>
        <w:t>.  The deficiencies with a broad-based</w:t>
      </w:r>
      <w:r w:rsidRPr="003F1DED">
        <w:t xml:space="preserve"> FAU </w:t>
      </w:r>
      <w:r>
        <w:t xml:space="preserve">scheme </w:t>
      </w:r>
      <w:r w:rsidRPr="003F1DED">
        <w:t xml:space="preserve">were articulated by the </w:t>
      </w:r>
      <w:r>
        <w:t xml:space="preserve">Melbourne </w:t>
      </w:r>
      <w:r w:rsidRPr="003F1DED">
        <w:t xml:space="preserve">C270 Panel when </w:t>
      </w:r>
      <w:r>
        <w:t>it</w:t>
      </w:r>
      <w:r w:rsidRPr="003F1DED">
        <w:t xml:space="preserve"> recommended against a similar mechanism</w:t>
      </w:r>
      <w:r>
        <w:t xml:space="preserve"> </w:t>
      </w:r>
      <w:r w:rsidRPr="003F1DED">
        <w:t>being implemented as part of that Amendment</w:t>
      </w:r>
      <w:r>
        <w:t>.</w:t>
      </w:r>
      <w:r w:rsidRPr="00820B43">
        <w:rPr>
          <w:rStyle w:val="FootnoteReference"/>
        </w:rPr>
        <w:footnoteReference w:id="72"/>
      </w:r>
    </w:p>
    <w:p w:rsidR="005912AF" w:rsidRDefault="005912AF" w:rsidP="005912AF">
      <w:pPr>
        <w:pStyle w:val="PPVBody"/>
      </w:pPr>
      <w:r>
        <w:t>Fu</w:t>
      </w:r>
      <w:r w:rsidR="00276AA9">
        <w:t xml:space="preserve">rther, as noted in </w:t>
      </w:r>
      <w:r>
        <w:t>Chapter 8.5, restricting the FAU scheme to social housing makes it more likely that critically needed social housing will be delivered in Fishermans Bend.</w:t>
      </w:r>
    </w:p>
    <w:p w:rsidR="00785416" w:rsidRDefault="005912AF" w:rsidP="005912AF">
      <w:pPr>
        <w:pStyle w:val="PPVBody"/>
      </w:pPr>
      <w:r>
        <w:t>The Review Panel therefore recommends against broadening the FAU scheme to cover other forms of public benefit as Mr Tweedie suggested.</w:t>
      </w:r>
    </w:p>
    <w:p w:rsidR="005912AF" w:rsidRPr="008118FC" w:rsidRDefault="005912AF" w:rsidP="005912AF">
      <w:pPr>
        <w:pStyle w:val="Heading5"/>
      </w:pPr>
      <w:r w:rsidRPr="008118FC">
        <w:t>Should FAU decisions be reviewable?</w:t>
      </w:r>
    </w:p>
    <w:p w:rsidR="00785416" w:rsidRDefault="005912AF" w:rsidP="005912AF">
      <w:pPr>
        <w:pStyle w:val="PPVBody"/>
      </w:pPr>
      <w:r w:rsidRPr="008118FC">
        <w:t xml:space="preserve">The Review Panel </w:t>
      </w:r>
      <w:r>
        <w:t xml:space="preserve">agrees with </w:t>
      </w:r>
      <w:r w:rsidRPr="008118FC">
        <w:t>Mr Tweedie</w:t>
      </w:r>
      <w:r>
        <w:t>’s s</w:t>
      </w:r>
      <w:r w:rsidRPr="008118FC">
        <w:t xml:space="preserve">ubmissions that if </w:t>
      </w:r>
      <w:r>
        <w:t xml:space="preserve">decisions about </w:t>
      </w:r>
      <w:r w:rsidRPr="008118FC">
        <w:t xml:space="preserve">FAU </w:t>
      </w:r>
      <w:r>
        <w:t xml:space="preserve">are </w:t>
      </w:r>
      <w:r w:rsidRPr="008118FC">
        <w:t xml:space="preserve">to be to the satisfaction of the responsible authority, it is likely </w:t>
      </w:r>
      <w:r>
        <w:t>that they will be reviewable by VCAT under section 149 of the Act.  While the Review Panel notes the submissions of the Minister in this regard, it does not necessarily consider this to be a bad thing.  The Review Panel considers that, practically speaking, VCAT is unlikely to seek to force the responsible authority or potential receiving agencies to enter into agreements to accept social housing which they do not support.</w:t>
      </w:r>
    </w:p>
    <w:p w:rsidR="005912AF" w:rsidRDefault="005912AF" w:rsidP="005912AF">
      <w:pPr>
        <w:pStyle w:val="PPVBody"/>
      </w:pPr>
      <w:r>
        <w:t xml:space="preserve">In practical terms, the question for VCAT will more likely be whether the built form consequences of the FAU that accompanies social housing results in acceptable outcomes.  In this sense, it is </w:t>
      </w:r>
      <w:r w:rsidRPr="008118FC">
        <w:t>difficult</w:t>
      </w:r>
      <w:r>
        <w:t xml:space="preserve"> </w:t>
      </w:r>
      <w:r w:rsidRPr="008118FC">
        <w:t xml:space="preserve">to isolate </w:t>
      </w:r>
      <w:r>
        <w:t xml:space="preserve">the social housing aspects of a FAU proposal </w:t>
      </w:r>
      <w:r w:rsidRPr="008118FC">
        <w:t xml:space="preserve">from the </w:t>
      </w:r>
      <w:r>
        <w:t xml:space="preserve">built form </w:t>
      </w:r>
      <w:r w:rsidRPr="008118FC">
        <w:t xml:space="preserve">aspects of the </w:t>
      </w:r>
      <w:r>
        <w:t>proposal.  The Review Panel considers that it is entirely appropriate that VCAT be able to review the built form consequences of the additional uplift that accompanies social housing, and that it be able to balance these consequences against the community benefit delivered by the social housing.</w:t>
      </w:r>
    </w:p>
    <w:p w:rsidR="00785416" w:rsidRDefault="005912AF" w:rsidP="005912AF">
      <w:pPr>
        <w:pStyle w:val="PPVBody"/>
      </w:pPr>
      <w:r>
        <w:t>The Review Panel does not consider that any changes are required to the Part C controls to address this issue.</w:t>
      </w:r>
    </w:p>
    <w:p w:rsidR="005912AF" w:rsidRDefault="005912AF" w:rsidP="005912AF">
      <w:pPr>
        <w:pStyle w:val="Heading4"/>
      </w:pPr>
      <w:r>
        <w:t>Findings</w:t>
      </w:r>
    </w:p>
    <w:p w:rsidR="005912AF" w:rsidRDefault="005912AF" w:rsidP="005912AF">
      <w:pPr>
        <w:pStyle w:val="PPVBody"/>
      </w:pPr>
      <w:r>
        <w:t>The Review Panel finds:</w:t>
      </w:r>
    </w:p>
    <w:p w:rsidR="005912AF" w:rsidRDefault="005912AF" w:rsidP="005912AF">
      <w:pPr>
        <w:pStyle w:val="PPVBullet1"/>
      </w:pPr>
      <w:r>
        <w:t xml:space="preserve">Some form of limit on development is required to underpin an uplift scheme.  </w:t>
      </w:r>
      <w:r w:rsidR="00106BE5">
        <w:t xml:space="preserve">The Review Panel considers that </w:t>
      </w:r>
      <w:r>
        <w:t>a dwelling density limit</w:t>
      </w:r>
      <w:r w:rsidR="00106BE5">
        <w:t xml:space="preserve"> is a preferable tool to FAR</w:t>
      </w:r>
      <w:r>
        <w:t>.</w:t>
      </w:r>
    </w:p>
    <w:p w:rsidR="005912AF" w:rsidRDefault="005912AF" w:rsidP="005912AF">
      <w:pPr>
        <w:pStyle w:val="PPVBullet1"/>
      </w:pPr>
      <w:r>
        <w:t>The FAU scheme as proposed in the Part C controls has the potential to result in a significantly higher population than the 80,000 envisaged in the Vision, and the range of 80,000 to 120,000 recommended by the Review Panel.</w:t>
      </w:r>
    </w:p>
    <w:p w:rsidR="005912AF" w:rsidRDefault="005912AF" w:rsidP="005912AF">
      <w:pPr>
        <w:pStyle w:val="PPVBullet1"/>
      </w:pPr>
      <w:r>
        <w:t xml:space="preserve">While this raises concerns for the Review Panel, it does not consider it appropriate to cap the FAU at this stage, because of the consequences this could have </w:t>
      </w:r>
      <w:r w:rsidR="00276AA9">
        <w:t xml:space="preserve">for </w:t>
      </w:r>
      <w:r>
        <w:t xml:space="preserve">the delivery of much needed social housing in Fishermans Bend (see </w:t>
      </w:r>
      <w:r w:rsidRPr="00276AA9">
        <w:t>Chapter 8.5).</w:t>
      </w:r>
    </w:p>
    <w:p w:rsidR="005912AF" w:rsidRDefault="005912AF" w:rsidP="005912AF">
      <w:pPr>
        <w:pStyle w:val="PPVBullet1"/>
      </w:pPr>
      <w:r>
        <w:lastRenderedPageBreak/>
        <w:t xml:space="preserve">Monitoring will be required to ensure that the FAU scheme is not resulting in densities or built forms that are inconsistent with the preferred character for each </w:t>
      </w:r>
      <w:r w:rsidR="00276AA9">
        <w:t>P</w:t>
      </w:r>
      <w:r>
        <w:t>recinct.  If these outcomes start to eventuate, consideration should be given to capping the FAU, or adjusting the 8:1 ratio.</w:t>
      </w:r>
    </w:p>
    <w:p w:rsidR="005912AF" w:rsidRDefault="005912AF" w:rsidP="005912AF">
      <w:pPr>
        <w:pStyle w:val="PPVBullet1"/>
      </w:pPr>
      <w:r>
        <w:t>It does not support broadening the FAU scheme to encompass other public benefits beyond social housing.</w:t>
      </w:r>
    </w:p>
    <w:p w:rsidR="005912AF" w:rsidRDefault="005912AF" w:rsidP="005912AF">
      <w:pPr>
        <w:pStyle w:val="PPVBullet1"/>
      </w:pPr>
      <w:r>
        <w:t>It considers that the Part C controls are drafted in such a way that FAU decisions are likely to be reviewable by VCAT (which it considers appropriate).</w:t>
      </w:r>
    </w:p>
    <w:p w:rsidR="005912AF" w:rsidRDefault="005912AF" w:rsidP="005912AF">
      <w:pPr>
        <w:pStyle w:val="Heading2"/>
      </w:pPr>
      <w:bookmarkStart w:id="341" w:name="_Ref519685506"/>
      <w:bookmarkStart w:id="342" w:name="_Toc519710276"/>
      <w:bookmarkStart w:id="343" w:name="_Toc519766836"/>
      <w:r>
        <w:t>The way forward</w:t>
      </w:r>
      <w:bookmarkEnd w:id="341"/>
      <w:bookmarkEnd w:id="342"/>
      <w:bookmarkEnd w:id="343"/>
    </w:p>
    <w:p w:rsidR="005912AF" w:rsidRDefault="005912AF" w:rsidP="005912AF">
      <w:pPr>
        <w:pStyle w:val="Heading4"/>
      </w:pPr>
      <w:r>
        <w:t>Delivering an appropriate suite of controls</w:t>
      </w:r>
    </w:p>
    <w:p w:rsidR="005912AF" w:rsidRPr="00541318" w:rsidRDefault="005912AF" w:rsidP="005912AF">
      <w:pPr>
        <w:pStyle w:val="PPVBody"/>
        <w:rPr>
          <w:b/>
        </w:rPr>
      </w:pPr>
      <w:r>
        <w:t xml:space="preserve">At the start of this Chapter, the Review Panel set out five purposes proposed for the FAR in the Fishermans Bend planning scheme controls.  For the reasons set out in the previous sections of this Chapter, the Review Panel finds that the FAR does not satisfactorily fulfil a number of these purposes, and that other tools will fulfil these purposes more </w:t>
      </w:r>
      <w:r w:rsidRPr="0026468A">
        <w:t>effectively:</w:t>
      </w:r>
    </w:p>
    <w:p w:rsidR="005912AF" w:rsidRDefault="005912AF" w:rsidP="005912AF">
      <w:pPr>
        <w:pStyle w:val="PPVBullet1"/>
      </w:pPr>
      <w:r w:rsidRPr="001B249E">
        <w:rPr>
          <w:b/>
        </w:rPr>
        <w:t xml:space="preserve">As a </w:t>
      </w:r>
      <w:r>
        <w:rPr>
          <w:b/>
        </w:rPr>
        <w:t>residential</w:t>
      </w:r>
      <w:r w:rsidRPr="001B249E">
        <w:rPr>
          <w:b/>
        </w:rPr>
        <w:t xml:space="preserve"> density control</w:t>
      </w:r>
      <w:r>
        <w:rPr>
          <w:b/>
        </w:rPr>
        <w:t xml:space="preserve"> </w:t>
      </w:r>
      <w:r w:rsidRPr="001B249E">
        <w:t>–</w:t>
      </w:r>
      <w:r>
        <w:t xml:space="preserve"> the FAR is not a suitable tool to control residential density.  Limiting the amount of floor space that a developer can devote to dwellings is likely to encourage smaller dwellings and smaller circulation spaces.</w:t>
      </w:r>
    </w:p>
    <w:p w:rsidR="00785416" w:rsidRDefault="005912AF" w:rsidP="005912AF">
      <w:pPr>
        <w:pStyle w:val="PPVBullet1"/>
      </w:pPr>
      <w:r w:rsidRPr="002D1D6D">
        <w:rPr>
          <w:b/>
        </w:rPr>
        <w:t>Influencing the mix of uses on a site</w:t>
      </w:r>
      <w:r w:rsidRPr="0019781A">
        <w:t xml:space="preserve"> </w:t>
      </w:r>
      <w:r>
        <w:t>– a maximum FAR that includes commercial floorspace is not a suitable tool for encouraging employment generating floor space</w:t>
      </w:r>
      <w:r w:rsidDel="001F02BB">
        <w:t xml:space="preserve"> </w:t>
      </w:r>
      <w:r>
        <w:t>in Fishermans Bend.  The Review Panel considers that a minimum commercial plot ratio that is uncapped in core areas is a more effective way of encouraging employment generating floor space.</w:t>
      </w:r>
    </w:p>
    <w:p w:rsidR="00785416" w:rsidRDefault="005912AF" w:rsidP="005912AF">
      <w:pPr>
        <w:pStyle w:val="PPVBullet1"/>
      </w:pPr>
      <w:r w:rsidRPr="002D1D6D">
        <w:rPr>
          <w:b/>
        </w:rPr>
        <w:t>Moderating built form outcomes</w:t>
      </w:r>
      <w:r w:rsidRPr="0019781A">
        <w:t xml:space="preserve"> – </w:t>
      </w:r>
      <w:r>
        <w:t>while a FAR (as a density control) can operate with built form controls to deliver diverse built form typologies, the Review Panel finds that the FARs have not been properly calibrated with the built form controls, building typologies and preferred character statements.</w:t>
      </w:r>
    </w:p>
    <w:p w:rsidR="00785416" w:rsidRDefault="005912AF" w:rsidP="005912AF">
      <w:pPr>
        <w:pStyle w:val="PPVBullet1"/>
      </w:pPr>
      <w:r w:rsidRPr="001B249E">
        <w:rPr>
          <w:b/>
        </w:rPr>
        <w:t>Eliminating compensation</w:t>
      </w:r>
      <w:r>
        <w:t xml:space="preserve"> – the use of FAR as a way to eliminate the need to compensate landowners who are required to set aside part of their land for public purposes has been abandoned in favour of more conventional mechanisms such as a DCP or ICP.</w:t>
      </w:r>
    </w:p>
    <w:p w:rsidR="005912AF" w:rsidRDefault="005912AF" w:rsidP="005912AF">
      <w:pPr>
        <w:pStyle w:val="PPVBullet1"/>
      </w:pPr>
      <w:r w:rsidRPr="002D1D6D">
        <w:rPr>
          <w:b/>
        </w:rPr>
        <w:t xml:space="preserve">A base </w:t>
      </w:r>
      <w:r>
        <w:rPr>
          <w:b/>
        </w:rPr>
        <w:t xml:space="preserve">to </w:t>
      </w:r>
      <w:r w:rsidRPr="002D1D6D">
        <w:rPr>
          <w:b/>
        </w:rPr>
        <w:t>underpin the FAU scheme</w:t>
      </w:r>
      <w:r w:rsidRPr="0019781A">
        <w:t xml:space="preserve"> </w:t>
      </w:r>
      <w:r>
        <w:t>– while the FAR can operate as a limit on development that underpins the delivery of public benefit via an FAU scheme, another form of dwelling density control is equally suited to this purpose.</w:t>
      </w:r>
    </w:p>
    <w:p w:rsidR="005912AF" w:rsidRDefault="005912AF" w:rsidP="005912AF">
      <w:pPr>
        <w:pStyle w:val="PPVBody"/>
      </w:pPr>
      <w:r w:rsidRPr="00A60610">
        <w:t>This leads to the inevitable conclusion that the FAR as a single measure is being required to perform too many functions in the Fishermans Bend context.</w:t>
      </w:r>
    </w:p>
    <w:p w:rsidR="005912AF" w:rsidRPr="00961A16" w:rsidRDefault="005912AF" w:rsidP="005912AF">
      <w:pPr>
        <w:pStyle w:val="PPVBody"/>
      </w:pPr>
      <w:r w:rsidRPr="00961A16">
        <w:t>The Review Panel has found that while the FARs may not be effective in serving the purposes which they were intended to serve, some other form of density control could serve these purposes, and provide a number of benefits, including:</w:t>
      </w:r>
    </w:p>
    <w:p w:rsidR="005912AF" w:rsidRPr="00961A16" w:rsidRDefault="005912AF" w:rsidP="005912AF">
      <w:pPr>
        <w:pStyle w:val="PPVBullet1"/>
      </w:pPr>
      <w:r w:rsidRPr="00961A16">
        <w:t xml:space="preserve">achieving a diversity of built form and building typologies that are consistent with the preferred typologies and character outcomes sought for Fishermans Bend (see Chapter </w:t>
      </w:r>
      <w:r w:rsidRPr="00961A16">
        <w:fldChar w:fldCharType="begin"/>
      </w:r>
      <w:r w:rsidRPr="00961A16">
        <w:instrText xml:space="preserve"> REF _Ref519601567 \r \h </w:instrText>
      </w:r>
      <w:r>
        <w:instrText xml:space="preserve"> \* MERGEFORMAT </w:instrText>
      </w:r>
      <w:r w:rsidRPr="00961A16">
        <w:fldChar w:fldCharType="separate"/>
      </w:r>
      <w:r w:rsidR="00A307EC">
        <w:t>7.5</w:t>
      </w:r>
      <w:r w:rsidRPr="00961A16">
        <w:fldChar w:fldCharType="end"/>
      </w:r>
      <w:r w:rsidRPr="00961A16">
        <w:t>)</w:t>
      </w:r>
    </w:p>
    <w:p w:rsidR="00785416" w:rsidRDefault="0097365E" w:rsidP="005912AF">
      <w:pPr>
        <w:pStyle w:val="PPVBullet1"/>
      </w:pPr>
      <w:r>
        <w:t xml:space="preserve">potentially </w:t>
      </w:r>
      <w:r w:rsidR="005912AF" w:rsidRPr="0097365E">
        <w:t>assisting to reduce (albeit not completely avoid) compensation where land is required to be set aside for public purposes (see Chapter</w:t>
      </w:r>
      <w:r w:rsidR="00BE09EF">
        <w:t xml:space="preserve"> </w:t>
      </w:r>
      <w:r>
        <w:fldChar w:fldCharType="begin"/>
      </w:r>
      <w:r>
        <w:instrText xml:space="preserve"> REF _Ref519688139 \r \h </w:instrText>
      </w:r>
      <w:r>
        <w:fldChar w:fldCharType="separate"/>
      </w:r>
      <w:r w:rsidR="00A307EC">
        <w:t>7.6</w:t>
      </w:r>
      <w:r>
        <w:fldChar w:fldCharType="end"/>
      </w:r>
      <w:r w:rsidR="005912AF" w:rsidRPr="0097365E">
        <w:t>).</w:t>
      </w:r>
    </w:p>
    <w:p w:rsidR="00785416" w:rsidRDefault="005912AF" w:rsidP="005912AF">
      <w:pPr>
        <w:pStyle w:val="PPVBody"/>
      </w:pPr>
      <w:r>
        <w:lastRenderedPageBreak/>
        <w:t>In light of the Review Panel’s findings, it recommends that the FARs be replaced with a dwelling density control, based on a number of dwellings per hectare of gross developable area (applied on a site</w:t>
      </w:r>
      <w:r w:rsidR="00165DB1">
        <w:t>-</w:t>
      </w:r>
      <w:r>
        <w:t>by</w:t>
      </w:r>
      <w:r w:rsidR="00165DB1">
        <w:t>-</w:t>
      </w:r>
      <w:r>
        <w:t>site basis).</w:t>
      </w:r>
    </w:p>
    <w:p w:rsidR="005912AF" w:rsidRDefault="005912AF" w:rsidP="005912AF">
      <w:pPr>
        <w:pStyle w:val="PPVBody"/>
      </w:pPr>
      <w:r>
        <w:t>The use of dwelling densities will be much simpler to administer than a residential FAR.  Under a FAR, detailed calculations are needed to determine how much residential floor space is being provided.  These calculations depend on allocating space used for shared services, such as lifts, lobbies and carparks, between dwelling and non-dwelling uses.  A dwelling density control requires a simple calculation of how many dwellings can be built on the site, based on the gross developable area.</w:t>
      </w:r>
    </w:p>
    <w:p w:rsidR="005912AF" w:rsidRDefault="005912AF" w:rsidP="005912AF">
      <w:pPr>
        <w:pStyle w:val="PPVBody"/>
      </w:pPr>
      <w:r>
        <w:t>Finally, given the Review Panel’s recommendations that the FARs be replaced with a dwelling density control, and its recommendations that the FAU scheme remain limited to social housing, the ‘floor area uplift’ has little meaning.  The Review Panel proposes that the term ‘social housing uplift’ be used instead.  This is reflected in the Review Panel’s preferred version of the controls.</w:t>
      </w:r>
    </w:p>
    <w:p w:rsidR="005912AF" w:rsidRDefault="005912AF" w:rsidP="005912AF">
      <w:pPr>
        <w:pStyle w:val="Heading4"/>
      </w:pPr>
      <w:r>
        <w:t>Setting appropriate densities</w:t>
      </w:r>
    </w:p>
    <w:p w:rsidR="005912AF" w:rsidRDefault="005912AF" w:rsidP="005912AF">
      <w:pPr>
        <w:pStyle w:val="PPVBody"/>
      </w:pPr>
      <w:r>
        <w:t>Given the Review Panel’s recommendations that a dwelling density control replace the FARs, the question arises, what should the dwelling densities be?</w:t>
      </w:r>
    </w:p>
    <w:p w:rsidR="00785416" w:rsidRDefault="005912AF" w:rsidP="005912AF">
      <w:pPr>
        <w:pStyle w:val="PPVBody"/>
      </w:pPr>
      <w:r>
        <w:t xml:space="preserve">As described in Chapter </w:t>
      </w:r>
      <w:r>
        <w:fldChar w:fldCharType="begin"/>
      </w:r>
      <w:r>
        <w:instrText xml:space="preserve"> REF _Ref519601990 \r \h </w:instrText>
      </w:r>
      <w:r>
        <w:fldChar w:fldCharType="separate"/>
      </w:r>
      <w:r w:rsidR="00A307EC">
        <w:t>7.3</w:t>
      </w:r>
      <w:r>
        <w:fldChar w:fldCharType="end"/>
      </w:r>
      <w:r>
        <w:t xml:space="preserve">, the calculations used to derive the FARs were also used to derive dwelling densities, which were presented in the Part A version of Clause 22.XX (see </w:t>
      </w:r>
      <w:r>
        <w:fldChar w:fldCharType="begin"/>
      </w:r>
      <w:r>
        <w:instrText xml:space="preserve"> REF _Ref519593263 \h </w:instrText>
      </w:r>
      <w:r>
        <w:fldChar w:fldCharType="separate"/>
      </w:r>
      <w:r w:rsidR="00A307EC">
        <w:t xml:space="preserve">Table </w:t>
      </w:r>
      <w:r w:rsidR="00A307EC">
        <w:rPr>
          <w:noProof/>
        </w:rPr>
        <w:t>13</w:t>
      </w:r>
      <w:r>
        <w:fldChar w:fldCharType="end"/>
      </w:r>
      <w:r>
        <w:t xml:space="preserve"> above).  Like the FARs, these dwelling densities were based on a population target of 80,000 people by about 2050.  Unlike the FARs, they have not been adjusted based on an assumption of a 75 per cent build out by 2050.</w:t>
      </w:r>
    </w:p>
    <w:p w:rsidR="005912AF" w:rsidRDefault="005912AF" w:rsidP="005912AF">
      <w:pPr>
        <w:pStyle w:val="PPVBody"/>
      </w:pPr>
      <w:r>
        <w:t>The Review Panel has found that:</w:t>
      </w:r>
    </w:p>
    <w:p w:rsidR="005912AF" w:rsidRPr="007551FF" w:rsidRDefault="005912AF" w:rsidP="005912AF">
      <w:pPr>
        <w:pStyle w:val="PPVBullet1"/>
      </w:pPr>
      <w:r>
        <w:t xml:space="preserve">restrictions on residential development have been set too low, given the status of Fishermans </w:t>
      </w:r>
      <w:r w:rsidRPr="007551FF">
        <w:t xml:space="preserve">Bend as a State significant urban renewal area in </w:t>
      </w:r>
      <w:r w:rsidRPr="007551FF">
        <w:rPr>
          <w:i/>
        </w:rPr>
        <w:t>Plan Melbourne</w:t>
      </w:r>
      <w:r w:rsidRPr="007551FF">
        <w:t xml:space="preserve"> and other policies, and its potential to provide a greater contribution to help cater for Melbourne’s growth (Chapter 6)</w:t>
      </w:r>
    </w:p>
    <w:p w:rsidR="005912AF" w:rsidRPr="007551FF" w:rsidRDefault="005912AF" w:rsidP="005912AF">
      <w:pPr>
        <w:pStyle w:val="PPVBullet1"/>
      </w:pPr>
      <w:r w:rsidRPr="007551FF">
        <w:t>a set population target of 80,000 is too simplistic and restrictive (Chapter 6)</w:t>
      </w:r>
    </w:p>
    <w:p w:rsidR="005912AF" w:rsidRPr="007551FF" w:rsidRDefault="005912AF" w:rsidP="005912AF">
      <w:pPr>
        <w:pStyle w:val="PPVBullet1"/>
      </w:pPr>
      <w:r w:rsidRPr="007551FF">
        <w:t xml:space="preserve">the proposed controls and precinct and infrastructure planning in the immediate future should proceed on the basis of a target population in the range 80,000 to </w:t>
      </w:r>
      <w:r w:rsidRPr="0097365E">
        <w:t>120,000</w:t>
      </w:r>
      <w:r w:rsidRPr="007551FF">
        <w:t xml:space="preserve"> by 2050 (Chapter 6)</w:t>
      </w:r>
    </w:p>
    <w:p w:rsidR="005912AF" w:rsidRDefault="005912AF" w:rsidP="005912AF">
      <w:pPr>
        <w:pStyle w:val="PPVBullet1"/>
      </w:pPr>
      <w:r>
        <w:t xml:space="preserve">with the possible exception of Lorimer, Montague core and Sandridge core, </w:t>
      </w:r>
      <w:r w:rsidRPr="004F22B8">
        <w:t xml:space="preserve">there is scope to increase the densities </w:t>
      </w:r>
      <w:r>
        <w:t xml:space="preserve">in all Precincts </w:t>
      </w:r>
      <w:r w:rsidRPr="004F22B8">
        <w:t xml:space="preserve">without compromising the building typologies and preferred characters sought for various </w:t>
      </w:r>
      <w:r>
        <w:t>subprecinct</w:t>
      </w:r>
      <w:r w:rsidRPr="004F22B8">
        <w:t>s</w:t>
      </w:r>
      <w:r>
        <w:t xml:space="preserve"> (</w:t>
      </w:r>
      <w:r w:rsidRPr="004F17B6">
        <w:t xml:space="preserve">Chapter </w:t>
      </w:r>
      <w:r>
        <w:fldChar w:fldCharType="begin"/>
      </w:r>
      <w:r>
        <w:instrText xml:space="preserve"> REF _Ref519602381 \r \h </w:instrText>
      </w:r>
      <w:r>
        <w:fldChar w:fldCharType="separate"/>
      </w:r>
      <w:r w:rsidR="00A307EC">
        <w:t>7.5</w:t>
      </w:r>
      <w:r>
        <w:fldChar w:fldCharType="end"/>
      </w:r>
      <w:r>
        <w:t>).</w:t>
      </w:r>
    </w:p>
    <w:p w:rsidR="005912AF" w:rsidRDefault="005912AF" w:rsidP="005912AF">
      <w:pPr>
        <w:pStyle w:val="PPVBody"/>
      </w:pPr>
      <w:r>
        <w:t>The Review Panel therefore concludes that the dwelling densities presented in the Part A version of Clause 22.XX can be increased.  The question is, by how much?</w:t>
      </w:r>
    </w:p>
    <w:p w:rsidR="005912AF" w:rsidRDefault="005912AF" w:rsidP="005912AF">
      <w:pPr>
        <w:pStyle w:val="PPVBody"/>
      </w:pPr>
      <w:r>
        <w:t>Firstly, the Review Panel considers that it is appropriate to adjust the dwelling densities in</w:t>
      </w:r>
      <w:r w:rsidRPr="0065779A">
        <w:t xml:space="preserve"> </w:t>
      </w:r>
      <w:r>
        <w:t xml:space="preserve">the Part A version of Clause 22.XX to account for an assumed 75 per cent build out by 2050 (as the FARs were adjusted).  This takes the dwelling densities to those set out in </w:t>
      </w:r>
      <w:r w:rsidR="008C3707">
        <w:t xml:space="preserve">Table </w:t>
      </w:r>
      <w:r w:rsidR="008C3707">
        <w:rPr>
          <w:noProof/>
        </w:rPr>
        <w:t>16</w:t>
      </w:r>
      <w:r w:rsidR="007551FF">
        <w:t>.</w:t>
      </w:r>
    </w:p>
    <w:p w:rsidR="00A9761F" w:rsidRPr="00A9761F" w:rsidRDefault="00A9761F">
      <w:pPr>
        <w:spacing w:before="0"/>
        <w:jc w:val="left"/>
        <w:rPr>
          <w:b/>
          <w:sz w:val="20"/>
          <w:szCs w:val="20"/>
        </w:rPr>
      </w:pPr>
      <w:bookmarkStart w:id="344" w:name="_Ref519586983"/>
      <w:bookmarkStart w:id="345" w:name="_Toc519719141"/>
      <w:bookmarkStart w:id="346" w:name="_Toc519710364"/>
      <w:r w:rsidRPr="00A9761F">
        <w:br w:type="page"/>
      </w:r>
    </w:p>
    <w:p w:rsidR="005912AF" w:rsidRPr="00541318" w:rsidRDefault="005912AF" w:rsidP="005912AF">
      <w:pPr>
        <w:pStyle w:val="Caption"/>
      </w:pPr>
      <w:r>
        <w:lastRenderedPageBreak/>
        <w:t xml:space="preserve">Table </w:t>
      </w:r>
      <w:fldSimple w:instr=" SEQ Table \* ARABIC ">
        <w:r w:rsidR="00A307EC">
          <w:rPr>
            <w:noProof/>
          </w:rPr>
          <w:t>16</w:t>
        </w:r>
      </w:fldSimple>
      <w:bookmarkEnd w:id="344"/>
      <w:r>
        <w:t>:</w:t>
      </w:r>
      <w:r>
        <w:tab/>
        <w:t>Part A dwelling densities adjusted for 75 per cent build out</w:t>
      </w:r>
      <w:bookmarkEnd w:id="345"/>
      <w:bookmarkEnd w:id="346"/>
    </w:p>
    <w:tbl>
      <w:tblPr>
        <w:tblW w:w="9286" w:type="dxa"/>
        <w:tblBorders>
          <w:bottom w:val="single" w:sz="12" w:space="0" w:color="215868"/>
          <w:insideH w:val="dotted" w:sz="4" w:space="0" w:color="auto"/>
        </w:tblBorders>
        <w:tblLayout w:type="fixed"/>
        <w:tblLook w:val="04A0" w:firstRow="1" w:lastRow="0" w:firstColumn="1" w:lastColumn="0" w:noHBand="0" w:noVBand="1"/>
      </w:tblPr>
      <w:tblGrid>
        <w:gridCol w:w="3936"/>
        <w:gridCol w:w="708"/>
        <w:gridCol w:w="709"/>
        <w:gridCol w:w="709"/>
        <w:gridCol w:w="708"/>
        <w:gridCol w:w="709"/>
        <w:gridCol w:w="709"/>
        <w:gridCol w:w="1098"/>
      </w:tblGrid>
      <w:tr w:rsidR="005912AF" w:rsidRPr="00AF7A4D" w:rsidTr="005912AF">
        <w:trPr>
          <w:cantSplit/>
          <w:tblHeader/>
        </w:trPr>
        <w:tc>
          <w:tcPr>
            <w:tcW w:w="3936" w:type="dxa"/>
            <w:tcBorders>
              <w:top w:val="nil"/>
              <w:bottom w:val="dotted" w:sz="4" w:space="0" w:color="auto"/>
            </w:tcBorders>
            <w:shd w:val="clear" w:color="auto" w:fill="215868"/>
            <w:vAlign w:val="bottom"/>
          </w:tcPr>
          <w:p w:rsidR="005912AF" w:rsidRPr="00AF7A4D" w:rsidRDefault="005912AF" w:rsidP="00785416">
            <w:pPr>
              <w:pStyle w:val="PPVTableHeader"/>
              <w:keepNext/>
            </w:pPr>
          </w:p>
        </w:tc>
        <w:tc>
          <w:tcPr>
            <w:tcW w:w="1417" w:type="dxa"/>
            <w:gridSpan w:val="2"/>
            <w:tcBorders>
              <w:top w:val="nil"/>
              <w:bottom w:val="dotted" w:sz="4" w:space="0" w:color="auto"/>
            </w:tcBorders>
            <w:shd w:val="clear" w:color="auto" w:fill="215868"/>
            <w:vAlign w:val="bottom"/>
          </w:tcPr>
          <w:p w:rsidR="005912AF" w:rsidRPr="00AF7A4D" w:rsidRDefault="005912AF" w:rsidP="00785416">
            <w:pPr>
              <w:pStyle w:val="PPVTableHeader"/>
              <w:keepNext/>
            </w:pPr>
            <w:r w:rsidRPr="00AF7A4D">
              <w:t>Wirraway</w:t>
            </w:r>
          </w:p>
        </w:tc>
        <w:tc>
          <w:tcPr>
            <w:tcW w:w="1417" w:type="dxa"/>
            <w:gridSpan w:val="2"/>
            <w:tcBorders>
              <w:top w:val="nil"/>
              <w:bottom w:val="dotted" w:sz="4" w:space="0" w:color="auto"/>
            </w:tcBorders>
            <w:shd w:val="clear" w:color="auto" w:fill="215868"/>
            <w:vAlign w:val="bottom"/>
          </w:tcPr>
          <w:p w:rsidR="005912AF" w:rsidRPr="00AF7A4D" w:rsidRDefault="005912AF" w:rsidP="00785416">
            <w:pPr>
              <w:pStyle w:val="PPVTableHeader"/>
              <w:keepNext/>
            </w:pPr>
            <w:r w:rsidRPr="00AF7A4D">
              <w:t>Sandridge</w:t>
            </w:r>
          </w:p>
        </w:tc>
        <w:tc>
          <w:tcPr>
            <w:tcW w:w="1418" w:type="dxa"/>
            <w:gridSpan w:val="2"/>
            <w:tcBorders>
              <w:top w:val="nil"/>
              <w:bottom w:val="dotted" w:sz="4" w:space="0" w:color="auto"/>
            </w:tcBorders>
            <w:shd w:val="clear" w:color="auto" w:fill="215868"/>
            <w:vAlign w:val="bottom"/>
          </w:tcPr>
          <w:p w:rsidR="005912AF" w:rsidRPr="00AF7A4D" w:rsidRDefault="005912AF" w:rsidP="00785416">
            <w:pPr>
              <w:pStyle w:val="PPVTableHeader"/>
              <w:keepNext/>
            </w:pPr>
            <w:r w:rsidRPr="00AF7A4D">
              <w:t>Montague</w:t>
            </w:r>
          </w:p>
        </w:tc>
        <w:tc>
          <w:tcPr>
            <w:tcW w:w="1098" w:type="dxa"/>
            <w:tcBorders>
              <w:top w:val="nil"/>
              <w:bottom w:val="dotted" w:sz="4" w:space="0" w:color="auto"/>
            </w:tcBorders>
            <w:shd w:val="clear" w:color="auto" w:fill="215868"/>
            <w:vAlign w:val="bottom"/>
          </w:tcPr>
          <w:p w:rsidR="005912AF" w:rsidRPr="00AF7A4D" w:rsidRDefault="005912AF" w:rsidP="00785416">
            <w:pPr>
              <w:pStyle w:val="PPVTableHeader"/>
              <w:keepNext/>
            </w:pPr>
            <w:r w:rsidRPr="00AF7A4D">
              <w:t>Lorimer</w:t>
            </w:r>
          </w:p>
        </w:tc>
      </w:tr>
      <w:tr w:rsidR="005912AF" w:rsidRPr="00AF7A4D" w:rsidTr="005912AF">
        <w:trPr>
          <w:cantSplit/>
          <w:tblHeader/>
        </w:trPr>
        <w:tc>
          <w:tcPr>
            <w:tcW w:w="3936" w:type="dxa"/>
            <w:tcBorders>
              <w:top w:val="dotted" w:sz="4" w:space="0" w:color="auto"/>
            </w:tcBorders>
            <w:shd w:val="clear" w:color="auto" w:fill="auto"/>
          </w:tcPr>
          <w:p w:rsidR="005912AF" w:rsidRPr="008C3707" w:rsidRDefault="005912AF" w:rsidP="008C3707">
            <w:pPr>
              <w:pStyle w:val="PPVBody"/>
              <w:rPr>
                <w:sz w:val="20"/>
                <w:szCs w:val="20"/>
              </w:rPr>
            </w:pPr>
          </w:p>
        </w:tc>
        <w:tc>
          <w:tcPr>
            <w:tcW w:w="708" w:type="dxa"/>
            <w:tcBorders>
              <w:top w:val="dotted" w:sz="4" w:space="0" w:color="auto"/>
            </w:tcBorders>
            <w:shd w:val="clear" w:color="auto" w:fill="auto"/>
          </w:tcPr>
          <w:p w:rsidR="005912AF" w:rsidRPr="00AF6604" w:rsidRDefault="005912AF" w:rsidP="00785416">
            <w:pPr>
              <w:pStyle w:val="PPVTableText"/>
              <w:keepNext/>
            </w:pPr>
            <w:r w:rsidRPr="00AF6604">
              <w:t>Core</w:t>
            </w:r>
          </w:p>
        </w:tc>
        <w:tc>
          <w:tcPr>
            <w:tcW w:w="709" w:type="dxa"/>
            <w:tcBorders>
              <w:top w:val="dotted" w:sz="4" w:space="0" w:color="auto"/>
            </w:tcBorders>
            <w:shd w:val="clear" w:color="auto" w:fill="auto"/>
          </w:tcPr>
          <w:p w:rsidR="005912AF" w:rsidRPr="00AF6604" w:rsidRDefault="005912AF" w:rsidP="00785416">
            <w:pPr>
              <w:pStyle w:val="PPVTableText"/>
              <w:keepNext/>
            </w:pPr>
            <w:r w:rsidRPr="00AF6604">
              <w:t>Non-core</w:t>
            </w:r>
          </w:p>
        </w:tc>
        <w:tc>
          <w:tcPr>
            <w:tcW w:w="709" w:type="dxa"/>
            <w:tcBorders>
              <w:top w:val="dotted" w:sz="4" w:space="0" w:color="auto"/>
            </w:tcBorders>
            <w:shd w:val="clear" w:color="auto" w:fill="auto"/>
          </w:tcPr>
          <w:p w:rsidR="005912AF" w:rsidRPr="00AF6604" w:rsidRDefault="005912AF" w:rsidP="00785416">
            <w:pPr>
              <w:pStyle w:val="PPVTableText"/>
              <w:keepNext/>
            </w:pPr>
            <w:r w:rsidRPr="00AF6604">
              <w:t>Core</w:t>
            </w:r>
          </w:p>
        </w:tc>
        <w:tc>
          <w:tcPr>
            <w:tcW w:w="708" w:type="dxa"/>
            <w:tcBorders>
              <w:top w:val="dotted" w:sz="4" w:space="0" w:color="auto"/>
            </w:tcBorders>
            <w:shd w:val="clear" w:color="auto" w:fill="auto"/>
          </w:tcPr>
          <w:p w:rsidR="005912AF" w:rsidRPr="00AF6604" w:rsidRDefault="005912AF" w:rsidP="00785416">
            <w:pPr>
              <w:pStyle w:val="PPVTableText"/>
              <w:keepNext/>
            </w:pPr>
            <w:r w:rsidRPr="00AF6604">
              <w:t>Non-core</w:t>
            </w:r>
          </w:p>
        </w:tc>
        <w:tc>
          <w:tcPr>
            <w:tcW w:w="709" w:type="dxa"/>
            <w:tcBorders>
              <w:top w:val="dotted" w:sz="4" w:space="0" w:color="auto"/>
            </w:tcBorders>
            <w:shd w:val="clear" w:color="auto" w:fill="auto"/>
          </w:tcPr>
          <w:p w:rsidR="005912AF" w:rsidRPr="00AF6604" w:rsidRDefault="005912AF" w:rsidP="00785416">
            <w:pPr>
              <w:pStyle w:val="PPVTableText"/>
              <w:keepNext/>
            </w:pPr>
            <w:r w:rsidRPr="00AF6604">
              <w:t>Core</w:t>
            </w:r>
          </w:p>
        </w:tc>
        <w:tc>
          <w:tcPr>
            <w:tcW w:w="709" w:type="dxa"/>
            <w:tcBorders>
              <w:top w:val="dotted" w:sz="4" w:space="0" w:color="auto"/>
            </w:tcBorders>
            <w:shd w:val="clear" w:color="auto" w:fill="auto"/>
          </w:tcPr>
          <w:p w:rsidR="005912AF" w:rsidRPr="00AF6604" w:rsidRDefault="005912AF" w:rsidP="00785416">
            <w:pPr>
              <w:pStyle w:val="PPVTableText"/>
              <w:keepNext/>
            </w:pPr>
            <w:r w:rsidRPr="00AF6604">
              <w:t>Non-core</w:t>
            </w:r>
          </w:p>
        </w:tc>
        <w:tc>
          <w:tcPr>
            <w:tcW w:w="1098" w:type="dxa"/>
            <w:tcBorders>
              <w:top w:val="dotted" w:sz="4" w:space="0" w:color="auto"/>
            </w:tcBorders>
            <w:shd w:val="clear" w:color="auto" w:fill="auto"/>
          </w:tcPr>
          <w:p w:rsidR="005912AF" w:rsidRPr="00AF6604" w:rsidRDefault="005912AF" w:rsidP="00785416">
            <w:pPr>
              <w:pStyle w:val="PPVTableText"/>
              <w:keepNext/>
            </w:pPr>
            <w:r w:rsidRPr="00AF6604">
              <w:t>Core</w:t>
            </w:r>
          </w:p>
        </w:tc>
      </w:tr>
      <w:tr w:rsidR="005912AF" w:rsidRPr="001F76DD" w:rsidTr="005912AF">
        <w:trPr>
          <w:cantSplit/>
        </w:trPr>
        <w:tc>
          <w:tcPr>
            <w:tcW w:w="3936" w:type="dxa"/>
            <w:shd w:val="clear" w:color="auto" w:fill="auto"/>
          </w:tcPr>
          <w:p w:rsidR="005912AF" w:rsidRPr="008C3707" w:rsidRDefault="005912AF" w:rsidP="008C3707">
            <w:pPr>
              <w:pStyle w:val="PPVBody"/>
              <w:rPr>
                <w:sz w:val="20"/>
                <w:szCs w:val="20"/>
              </w:rPr>
            </w:pPr>
            <w:r w:rsidRPr="008C3707">
              <w:rPr>
                <w:sz w:val="20"/>
                <w:szCs w:val="20"/>
              </w:rPr>
              <w:t xml:space="preserve">Part A Clause 22.XX dwelling densities </w:t>
            </w:r>
          </w:p>
        </w:tc>
        <w:tc>
          <w:tcPr>
            <w:tcW w:w="708" w:type="dxa"/>
            <w:shd w:val="clear" w:color="auto" w:fill="auto"/>
            <w:vAlign w:val="bottom"/>
          </w:tcPr>
          <w:p w:rsidR="005912AF" w:rsidRPr="003D3D9D" w:rsidRDefault="005912AF" w:rsidP="00785416">
            <w:pPr>
              <w:pStyle w:val="PPVTableText"/>
              <w:keepNext/>
            </w:pPr>
            <w:r>
              <w:t>139</w:t>
            </w:r>
          </w:p>
        </w:tc>
        <w:tc>
          <w:tcPr>
            <w:tcW w:w="709" w:type="dxa"/>
            <w:shd w:val="clear" w:color="auto" w:fill="auto"/>
            <w:vAlign w:val="bottom"/>
          </w:tcPr>
          <w:p w:rsidR="005912AF" w:rsidRPr="003D3D9D" w:rsidRDefault="005912AF" w:rsidP="00785416">
            <w:pPr>
              <w:pStyle w:val="PPVTableText"/>
              <w:keepNext/>
            </w:pPr>
            <w:r>
              <w:t>131</w:t>
            </w:r>
          </w:p>
        </w:tc>
        <w:tc>
          <w:tcPr>
            <w:tcW w:w="709" w:type="dxa"/>
            <w:shd w:val="clear" w:color="auto" w:fill="auto"/>
            <w:vAlign w:val="bottom"/>
          </w:tcPr>
          <w:p w:rsidR="005912AF" w:rsidRPr="003D3D9D" w:rsidRDefault="005912AF" w:rsidP="00785416">
            <w:pPr>
              <w:pStyle w:val="PPVTableText"/>
              <w:keepNext/>
            </w:pPr>
            <w:r>
              <w:t>311</w:t>
            </w:r>
          </w:p>
        </w:tc>
        <w:tc>
          <w:tcPr>
            <w:tcW w:w="708" w:type="dxa"/>
            <w:shd w:val="clear" w:color="auto" w:fill="auto"/>
            <w:vAlign w:val="bottom"/>
          </w:tcPr>
          <w:p w:rsidR="005912AF" w:rsidRPr="003D3D9D" w:rsidRDefault="005912AF" w:rsidP="00785416">
            <w:pPr>
              <w:pStyle w:val="PPVTableText"/>
              <w:keepNext/>
            </w:pPr>
            <w:r>
              <w:t>154</w:t>
            </w:r>
          </w:p>
        </w:tc>
        <w:tc>
          <w:tcPr>
            <w:tcW w:w="709" w:type="dxa"/>
            <w:shd w:val="clear" w:color="auto" w:fill="auto"/>
            <w:vAlign w:val="bottom"/>
          </w:tcPr>
          <w:p w:rsidR="005912AF" w:rsidRPr="003D3D9D" w:rsidRDefault="005912AF" w:rsidP="00785416">
            <w:pPr>
              <w:pStyle w:val="PPVTableText"/>
              <w:keepNext/>
            </w:pPr>
            <w:r>
              <w:t>301</w:t>
            </w:r>
          </w:p>
        </w:tc>
        <w:tc>
          <w:tcPr>
            <w:tcW w:w="709" w:type="dxa"/>
            <w:shd w:val="clear" w:color="auto" w:fill="auto"/>
            <w:vAlign w:val="bottom"/>
          </w:tcPr>
          <w:p w:rsidR="005912AF" w:rsidRPr="003D3D9D" w:rsidRDefault="005912AF" w:rsidP="00785416">
            <w:pPr>
              <w:pStyle w:val="PPVTableText"/>
              <w:keepNext/>
            </w:pPr>
            <w:r>
              <w:t>198</w:t>
            </w:r>
          </w:p>
        </w:tc>
        <w:tc>
          <w:tcPr>
            <w:tcW w:w="1098" w:type="dxa"/>
            <w:shd w:val="clear" w:color="auto" w:fill="auto"/>
            <w:vAlign w:val="bottom"/>
          </w:tcPr>
          <w:p w:rsidR="005912AF" w:rsidRPr="003D3D9D" w:rsidRDefault="005912AF" w:rsidP="00785416">
            <w:pPr>
              <w:pStyle w:val="PPVTableText"/>
              <w:keepNext/>
            </w:pPr>
            <w:r>
              <w:t>255</w:t>
            </w:r>
          </w:p>
        </w:tc>
      </w:tr>
      <w:tr w:rsidR="005912AF" w:rsidRPr="00AF7A4D" w:rsidTr="005912AF">
        <w:trPr>
          <w:cantSplit/>
        </w:trPr>
        <w:tc>
          <w:tcPr>
            <w:tcW w:w="3936" w:type="dxa"/>
            <w:shd w:val="clear" w:color="auto" w:fill="auto"/>
          </w:tcPr>
          <w:p w:rsidR="005912AF" w:rsidRPr="00AF6604" w:rsidRDefault="005912AF" w:rsidP="005912AF">
            <w:pPr>
              <w:pStyle w:val="PPVTableText"/>
            </w:pPr>
            <w:r>
              <w:t>FAR equivalent d</w:t>
            </w:r>
            <w:r w:rsidRPr="00AF6604">
              <w:t>welling</w:t>
            </w:r>
            <w:r>
              <w:t>s</w:t>
            </w:r>
            <w:r w:rsidRPr="00AF6604">
              <w:t xml:space="preserve"> </w:t>
            </w:r>
            <w:r>
              <w:t xml:space="preserve">per hectare </w:t>
            </w:r>
          </w:p>
        </w:tc>
        <w:tc>
          <w:tcPr>
            <w:tcW w:w="708" w:type="dxa"/>
            <w:shd w:val="clear" w:color="auto" w:fill="auto"/>
            <w:vAlign w:val="bottom"/>
          </w:tcPr>
          <w:p w:rsidR="005912AF" w:rsidRPr="00605C37" w:rsidRDefault="005912AF" w:rsidP="005912AF">
            <w:pPr>
              <w:pStyle w:val="PPVTableText"/>
            </w:pPr>
            <w:r w:rsidRPr="001F76DD">
              <w:t>185</w:t>
            </w:r>
          </w:p>
        </w:tc>
        <w:tc>
          <w:tcPr>
            <w:tcW w:w="709" w:type="dxa"/>
            <w:shd w:val="clear" w:color="auto" w:fill="auto"/>
            <w:vAlign w:val="bottom"/>
          </w:tcPr>
          <w:p w:rsidR="005912AF" w:rsidRPr="00605C37" w:rsidRDefault="005912AF" w:rsidP="005912AF">
            <w:pPr>
              <w:pStyle w:val="PPVTableText"/>
            </w:pPr>
            <w:r w:rsidRPr="001F76DD">
              <w:t>174</w:t>
            </w:r>
          </w:p>
        </w:tc>
        <w:tc>
          <w:tcPr>
            <w:tcW w:w="709" w:type="dxa"/>
            <w:shd w:val="clear" w:color="auto" w:fill="auto"/>
            <w:vAlign w:val="bottom"/>
          </w:tcPr>
          <w:p w:rsidR="005912AF" w:rsidRPr="00605C37" w:rsidRDefault="005912AF" w:rsidP="005912AF">
            <w:pPr>
              <w:pStyle w:val="PPVTableText"/>
            </w:pPr>
            <w:r w:rsidRPr="001F76DD">
              <w:t>414</w:t>
            </w:r>
          </w:p>
        </w:tc>
        <w:tc>
          <w:tcPr>
            <w:tcW w:w="708" w:type="dxa"/>
            <w:shd w:val="clear" w:color="auto" w:fill="auto"/>
            <w:vAlign w:val="bottom"/>
          </w:tcPr>
          <w:p w:rsidR="005912AF" w:rsidRPr="00605C37" w:rsidRDefault="005912AF" w:rsidP="005912AF">
            <w:pPr>
              <w:pStyle w:val="PPVTableText"/>
            </w:pPr>
            <w:r w:rsidRPr="001F76DD">
              <w:t>205</w:t>
            </w:r>
          </w:p>
        </w:tc>
        <w:tc>
          <w:tcPr>
            <w:tcW w:w="709" w:type="dxa"/>
            <w:shd w:val="clear" w:color="auto" w:fill="auto"/>
            <w:vAlign w:val="bottom"/>
          </w:tcPr>
          <w:p w:rsidR="005912AF" w:rsidRPr="00605C37" w:rsidRDefault="005912AF" w:rsidP="005912AF">
            <w:pPr>
              <w:pStyle w:val="PPVTableText"/>
            </w:pPr>
            <w:r w:rsidRPr="001F76DD">
              <w:t>400</w:t>
            </w:r>
          </w:p>
        </w:tc>
        <w:tc>
          <w:tcPr>
            <w:tcW w:w="709" w:type="dxa"/>
            <w:shd w:val="clear" w:color="auto" w:fill="auto"/>
            <w:vAlign w:val="bottom"/>
          </w:tcPr>
          <w:p w:rsidR="005912AF" w:rsidRPr="00605C37" w:rsidRDefault="005912AF" w:rsidP="005912AF">
            <w:pPr>
              <w:pStyle w:val="PPVTableText"/>
            </w:pPr>
            <w:r w:rsidRPr="001F76DD">
              <w:t>263</w:t>
            </w:r>
          </w:p>
        </w:tc>
        <w:tc>
          <w:tcPr>
            <w:tcW w:w="1098" w:type="dxa"/>
            <w:shd w:val="clear" w:color="auto" w:fill="auto"/>
            <w:vAlign w:val="bottom"/>
          </w:tcPr>
          <w:p w:rsidR="005912AF" w:rsidRPr="00605C37" w:rsidRDefault="005912AF" w:rsidP="005912AF">
            <w:pPr>
              <w:pStyle w:val="PPVTableText"/>
            </w:pPr>
            <w:r w:rsidRPr="001F76DD">
              <w:t>339</w:t>
            </w:r>
          </w:p>
        </w:tc>
      </w:tr>
    </w:tbl>
    <w:p w:rsidR="005912AF" w:rsidRDefault="005912AF" w:rsidP="005912AF">
      <w:pPr>
        <w:pStyle w:val="PPVBody"/>
      </w:pPr>
      <w:r>
        <w:t xml:space="preserve">The appropriate densities in each Precinct are addressed in more detail in </w:t>
      </w:r>
      <w:r w:rsidRPr="007551FF">
        <w:t>Chapter 2.4 in</w:t>
      </w:r>
      <w:r>
        <w:t xml:space="preserve"> each of the Precinct </w:t>
      </w:r>
      <w:r w:rsidR="00827876">
        <w:t>R</w:t>
      </w:r>
      <w:r>
        <w:t>eports, but in summary, the Review Panel has found:</w:t>
      </w:r>
    </w:p>
    <w:p w:rsidR="00785416" w:rsidRDefault="005912AF" w:rsidP="005912AF">
      <w:pPr>
        <w:pStyle w:val="PPVBullet1"/>
      </w:pPr>
      <w:r w:rsidRPr="00541318">
        <w:rPr>
          <w:b/>
        </w:rPr>
        <w:t>Lorimer</w:t>
      </w:r>
      <w:r>
        <w:t xml:space="preserve"> – the quantum of development contemplated in Lorimer is appropriate, and increases in density are not warranted in that Precinct</w:t>
      </w:r>
    </w:p>
    <w:p w:rsidR="005912AF" w:rsidRDefault="005912AF" w:rsidP="005912AF">
      <w:pPr>
        <w:pStyle w:val="PPVBullet1"/>
      </w:pPr>
      <w:r w:rsidRPr="00541318">
        <w:rPr>
          <w:b/>
        </w:rPr>
        <w:t>Montague</w:t>
      </w:r>
      <w:r>
        <w:t xml:space="preserve"> – the quantum of development contemplated in Montague is largely appropriate, although there is scope for a modest 10 per cent increase in both the core and non-core areas</w:t>
      </w:r>
    </w:p>
    <w:p w:rsidR="005912AF" w:rsidRDefault="005912AF" w:rsidP="005912AF">
      <w:pPr>
        <w:pStyle w:val="PPVBullet1"/>
      </w:pPr>
      <w:r w:rsidRPr="00541318">
        <w:rPr>
          <w:b/>
        </w:rPr>
        <w:t>Sandridge</w:t>
      </w:r>
      <w:r>
        <w:t xml:space="preserve"> – the Sandridge core has been identified for significant development potential, commensurate with its future role as an employment centre, and it would not be appropriate to increase the proposed quantum of residential development in this area at this stage.  However</w:t>
      </w:r>
      <w:r w:rsidR="00A90D8B">
        <w:t>,</w:t>
      </w:r>
      <w:r>
        <w:t xml:space="preserve"> there is the potential for a modest increase in the densities in the Sandridge non-core area.</w:t>
      </w:r>
    </w:p>
    <w:p w:rsidR="005912AF" w:rsidRDefault="005912AF" w:rsidP="005912AF">
      <w:pPr>
        <w:pStyle w:val="PPVBullet1"/>
      </w:pPr>
      <w:r>
        <w:rPr>
          <w:b/>
        </w:rPr>
        <w:t xml:space="preserve">Wirraway </w:t>
      </w:r>
      <w:r>
        <w:t>– it is clear that the restrictions on residential development</w:t>
      </w:r>
      <w:r w:rsidRPr="0065779A">
        <w:t xml:space="preserve"> </w:t>
      </w:r>
      <w:r>
        <w:t>for Wirraway bear no relation to the densities possible within the preferred character identified for the Precinct.  The dwelling density in Wirraway should double in both the core and the non-core areas.</w:t>
      </w:r>
    </w:p>
    <w:p w:rsidR="005912AF" w:rsidRDefault="005912AF" w:rsidP="005912AF">
      <w:pPr>
        <w:pStyle w:val="PPVBody"/>
      </w:pPr>
      <w:r>
        <w:t>Based on these findings, the Review Panel recommends increases in the dwelling densities (as adjusted for an assumed 75 per cent build out) by:</w:t>
      </w:r>
    </w:p>
    <w:p w:rsidR="005912AF" w:rsidRPr="00443877" w:rsidRDefault="005912AF" w:rsidP="005912AF">
      <w:pPr>
        <w:pStyle w:val="PPVBullet1"/>
      </w:pPr>
      <w:r w:rsidRPr="00443877">
        <w:rPr>
          <w:b/>
        </w:rPr>
        <w:t>Lorimer</w:t>
      </w:r>
      <w:r w:rsidRPr="00443877">
        <w:t xml:space="preserve"> – no change</w:t>
      </w:r>
    </w:p>
    <w:p w:rsidR="005912AF" w:rsidRPr="004534F8" w:rsidRDefault="005912AF" w:rsidP="005912AF">
      <w:pPr>
        <w:pStyle w:val="PPVBullet1"/>
      </w:pPr>
      <w:r w:rsidRPr="00B459BA">
        <w:rPr>
          <w:b/>
        </w:rPr>
        <w:t>Montague</w:t>
      </w:r>
      <w:r w:rsidRPr="00B459BA">
        <w:t xml:space="preserve"> – a modest increase of 10 per cent in both the core and non-core areas </w:t>
      </w:r>
      <w:r w:rsidRPr="00B459BA">
        <w:rPr>
          <w:b/>
        </w:rPr>
        <w:t xml:space="preserve">Sandridge </w:t>
      </w:r>
      <w:r w:rsidRPr="004534F8">
        <w:t>– no change in the core area, and a modest increase of 10 per cent in the non-core area</w:t>
      </w:r>
    </w:p>
    <w:p w:rsidR="005912AF" w:rsidRPr="00443877" w:rsidRDefault="005912AF" w:rsidP="005912AF">
      <w:pPr>
        <w:pStyle w:val="PPVBullet1"/>
      </w:pPr>
      <w:r w:rsidRPr="00443877">
        <w:rPr>
          <w:b/>
        </w:rPr>
        <w:t xml:space="preserve">Wirraway </w:t>
      </w:r>
      <w:r w:rsidRPr="00443877">
        <w:t>–</w:t>
      </w:r>
      <w:r>
        <w:t xml:space="preserve"> </w:t>
      </w:r>
      <w:r w:rsidRPr="00443877">
        <w:t xml:space="preserve">100 per cent </w:t>
      </w:r>
      <w:r w:rsidR="007551FF">
        <w:t xml:space="preserve">increase </w:t>
      </w:r>
      <w:r w:rsidRPr="00443877">
        <w:t xml:space="preserve">in </w:t>
      </w:r>
      <w:r>
        <w:t xml:space="preserve">both the core and </w:t>
      </w:r>
      <w:r w:rsidRPr="00443877">
        <w:t>the non-core area</w:t>
      </w:r>
      <w:r>
        <w:t>s</w:t>
      </w:r>
      <w:r w:rsidRPr="00443877">
        <w:t>.</w:t>
      </w:r>
    </w:p>
    <w:p w:rsidR="005912AF" w:rsidRDefault="005912AF" w:rsidP="005912AF">
      <w:pPr>
        <w:pStyle w:val="PPVBody"/>
      </w:pPr>
      <w:r>
        <w:t xml:space="preserve">This takes the recommended dwelling densities to those set out in </w:t>
      </w:r>
      <w:r>
        <w:fldChar w:fldCharType="begin"/>
      </w:r>
      <w:r>
        <w:instrText xml:space="preserve"> REF _Ref519586659 \h </w:instrText>
      </w:r>
      <w:r>
        <w:fldChar w:fldCharType="separate"/>
      </w:r>
      <w:r w:rsidR="00A307EC">
        <w:t xml:space="preserve">Table </w:t>
      </w:r>
      <w:r w:rsidR="00A307EC">
        <w:rPr>
          <w:noProof/>
        </w:rPr>
        <w:t>17</w:t>
      </w:r>
      <w:r>
        <w:fldChar w:fldCharType="end"/>
      </w:r>
      <w:r>
        <w:t>:</w:t>
      </w:r>
    </w:p>
    <w:p w:rsidR="005912AF" w:rsidRDefault="005912AF" w:rsidP="005912AF">
      <w:pPr>
        <w:pStyle w:val="Caption"/>
      </w:pPr>
      <w:bookmarkStart w:id="347" w:name="_Ref519586659"/>
      <w:bookmarkStart w:id="348" w:name="_Ref519586652"/>
      <w:bookmarkStart w:id="349" w:name="_Toc519719142"/>
      <w:bookmarkStart w:id="350" w:name="_Toc519710365"/>
      <w:r>
        <w:t xml:space="preserve">Table </w:t>
      </w:r>
      <w:r>
        <w:rPr>
          <w:noProof/>
        </w:rPr>
        <w:fldChar w:fldCharType="begin"/>
      </w:r>
      <w:r>
        <w:rPr>
          <w:noProof/>
        </w:rPr>
        <w:instrText xml:space="preserve"> SEQ Table \* ARABIC </w:instrText>
      </w:r>
      <w:r>
        <w:rPr>
          <w:noProof/>
        </w:rPr>
        <w:fldChar w:fldCharType="separate"/>
      </w:r>
      <w:r w:rsidR="00A307EC">
        <w:rPr>
          <w:noProof/>
        </w:rPr>
        <w:t>17</w:t>
      </w:r>
      <w:r>
        <w:rPr>
          <w:noProof/>
        </w:rPr>
        <w:fldChar w:fldCharType="end"/>
      </w:r>
      <w:bookmarkEnd w:id="347"/>
      <w:r>
        <w:t>:</w:t>
      </w:r>
      <w:r>
        <w:tab/>
        <w:t>Review Panel recommended changes dwelling densities</w:t>
      </w:r>
      <w:bookmarkEnd w:id="348"/>
      <w:bookmarkEnd w:id="349"/>
      <w:bookmarkEnd w:id="350"/>
    </w:p>
    <w:tbl>
      <w:tblPr>
        <w:tblW w:w="9286" w:type="dxa"/>
        <w:tblBorders>
          <w:bottom w:val="single" w:sz="12" w:space="0" w:color="215868"/>
          <w:insideH w:val="dotted" w:sz="4" w:space="0" w:color="auto"/>
        </w:tblBorders>
        <w:tblLayout w:type="fixed"/>
        <w:tblLook w:val="04A0" w:firstRow="1" w:lastRow="0" w:firstColumn="1" w:lastColumn="0" w:noHBand="0" w:noVBand="1"/>
      </w:tblPr>
      <w:tblGrid>
        <w:gridCol w:w="3936"/>
        <w:gridCol w:w="708"/>
        <w:gridCol w:w="709"/>
        <w:gridCol w:w="709"/>
        <w:gridCol w:w="708"/>
        <w:gridCol w:w="709"/>
        <w:gridCol w:w="709"/>
        <w:gridCol w:w="1098"/>
      </w:tblGrid>
      <w:tr w:rsidR="005912AF" w:rsidRPr="00AF7A4D" w:rsidTr="005912AF">
        <w:trPr>
          <w:cantSplit/>
          <w:tblHeader/>
        </w:trPr>
        <w:tc>
          <w:tcPr>
            <w:tcW w:w="3936" w:type="dxa"/>
            <w:tcBorders>
              <w:top w:val="nil"/>
              <w:bottom w:val="dotted" w:sz="4" w:space="0" w:color="auto"/>
            </w:tcBorders>
            <w:shd w:val="clear" w:color="auto" w:fill="215868"/>
            <w:vAlign w:val="bottom"/>
          </w:tcPr>
          <w:p w:rsidR="005912AF" w:rsidRPr="00AF7A4D" w:rsidRDefault="005912AF" w:rsidP="005912AF">
            <w:pPr>
              <w:pStyle w:val="PPVTableHeader"/>
            </w:pPr>
          </w:p>
        </w:tc>
        <w:tc>
          <w:tcPr>
            <w:tcW w:w="1417" w:type="dxa"/>
            <w:gridSpan w:val="2"/>
            <w:tcBorders>
              <w:top w:val="nil"/>
              <w:bottom w:val="dotted" w:sz="4" w:space="0" w:color="auto"/>
            </w:tcBorders>
            <w:shd w:val="clear" w:color="auto" w:fill="215868"/>
            <w:vAlign w:val="bottom"/>
          </w:tcPr>
          <w:p w:rsidR="005912AF" w:rsidRPr="00AF7A4D" w:rsidRDefault="005912AF" w:rsidP="005912AF">
            <w:pPr>
              <w:pStyle w:val="PPVTableHeader"/>
            </w:pPr>
            <w:r w:rsidRPr="00AF7A4D">
              <w:t>Wirraway</w:t>
            </w:r>
          </w:p>
        </w:tc>
        <w:tc>
          <w:tcPr>
            <w:tcW w:w="1417" w:type="dxa"/>
            <w:gridSpan w:val="2"/>
            <w:tcBorders>
              <w:top w:val="nil"/>
              <w:bottom w:val="dotted" w:sz="4" w:space="0" w:color="auto"/>
            </w:tcBorders>
            <w:shd w:val="clear" w:color="auto" w:fill="215868"/>
            <w:vAlign w:val="bottom"/>
          </w:tcPr>
          <w:p w:rsidR="005912AF" w:rsidRPr="00AF7A4D" w:rsidRDefault="005912AF" w:rsidP="005912AF">
            <w:pPr>
              <w:pStyle w:val="PPVTableHeader"/>
            </w:pPr>
            <w:r w:rsidRPr="00AF7A4D">
              <w:t>Sandridge</w:t>
            </w:r>
          </w:p>
        </w:tc>
        <w:tc>
          <w:tcPr>
            <w:tcW w:w="1418" w:type="dxa"/>
            <w:gridSpan w:val="2"/>
            <w:tcBorders>
              <w:top w:val="nil"/>
              <w:bottom w:val="dotted" w:sz="4" w:space="0" w:color="auto"/>
            </w:tcBorders>
            <w:shd w:val="clear" w:color="auto" w:fill="215868"/>
            <w:vAlign w:val="bottom"/>
          </w:tcPr>
          <w:p w:rsidR="005912AF" w:rsidRPr="00AF7A4D" w:rsidRDefault="005912AF" w:rsidP="005912AF">
            <w:pPr>
              <w:pStyle w:val="PPVTableHeader"/>
            </w:pPr>
            <w:r w:rsidRPr="00AF7A4D">
              <w:t>Montague</w:t>
            </w:r>
          </w:p>
        </w:tc>
        <w:tc>
          <w:tcPr>
            <w:tcW w:w="1098" w:type="dxa"/>
            <w:tcBorders>
              <w:top w:val="nil"/>
              <w:bottom w:val="dotted" w:sz="4" w:space="0" w:color="auto"/>
            </w:tcBorders>
            <w:shd w:val="clear" w:color="auto" w:fill="215868"/>
            <w:vAlign w:val="bottom"/>
          </w:tcPr>
          <w:p w:rsidR="005912AF" w:rsidRPr="00AF7A4D" w:rsidRDefault="005912AF" w:rsidP="005912AF">
            <w:pPr>
              <w:pStyle w:val="PPVTableHeader"/>
            </w:pPr>
            <w:r w:rsidRPr="00AF7A4D">
              <w:t>Lorimer</w:t>
            </w:r>
          </w:p>
        </w:tc>
      </w:tr>
      <w:tr w:rsidR="005912AF" w:rsidRPr="00AF7A4D" w:rsidTr="005912AF">
        <w:trPr>
          <w:cantSplit/>
          <w:tblHeader/>
        </w:trPr>
        <w:tc>
          <w:tcPr>
            <w:tcW w:w="3936" w:type="dxa"/>
            <w:tcBorders>
              <w:top w:val="dotted" w:sz="4" w:space="0" w:color="auto"/>
            </w:tcBorders>
            <w:shd w:val="clear" w:color="auto" w:fill="auto"/>
          </w:tcPr>
          <w:p w:rsidR="005912AF" w:rsidRPr="00AF6604" w:rsidRDefault="005912AF" w:rsidP="005912AF">
            <w:pPr>
              <w:pStyle w:val="PPVTableText"/>
              <w:rPr>
                <w:szCs w:val="20"/>
              </w:rPr>
            </w:pPr>
          </w:p>
        </w:tc>
        <w:tc>
          <w:tcPr>
            <w:tcW w:w="708"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Non-core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c>
          <w:tcPr>
            <w:tcW w:w="708"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Non-core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c>
          <w:tcPr>
            <w:tcW w:w="709"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Non-core</w:t>
            </w:r>
          </w:p>
        </w:tc>
        <w:tc>
          <w:tcPr>
            <w:tcW w:w="1098" w:type="dxa"/>
            <w:tcBorders>
              <w:top w:val="dotted" w:sz="4" w:space="0" w:color="auto"/>
            </w:tcBorders>
            <w:shd w:val="clear" w:color="auto" w:fill="auto"/>
          </w:tcPr>
          <w:p w:rsidR="005912AF" w:rsidRPr="00AF6604" w:rsidRDefault="005912AF" w:rsidP="005912AF">
            <w:pPr>
              <w:pStyle w:val="PPVTableText"/>
              <w:jc w:val="center"/>
              <w:rPr>
                <w:szCs w:val="20"/>
              </w:rPr>
            </w:pPr>
            <w:r w:rsidRPr="00AF6604">
              <w:rPr>
                <w:szCs w:val="20"/>
              </w:rPr>
              <w:t>Core</w:t>
            </w:r>
          </w:p>
        </w:tc>
      </w:tr>
      <w:tr w:rsidR="005912AF" w:rsidRPr="00AF7A4D" w:rsidTr="005912AF">
        <w:trPr>
          <w:cantSplit/>
        </w:trPr>
        <w:tc>
          <w:tcPr>
            <w:tcW w:w="3936" w:type="dxa"/>
            <w:shd w:val="clear" w:color="auto" w:fill="auto"/>
          </w:tcPr>
          <w:p w:rsidR="005912AF" w:rsidRPr="00AF6604" w:rsidRDefault="005912AF" w:rsidP="005912AF">
            <w:pPr>
              <w:pStyle w:val="PPVTableText"/>
              <w:rPr>
                <w:szCs w:val="20"/>
              </w:rPr>
            </w:pPr>
            <w:r>
              <w:rPr>
                <w:szCs w:val="20"/>
              </w:rPr>
              <w:t>FAR equivalent d</w:t>
            </w:r>
            <w:r w:rsidRPr="00AF6604">
              <w:rPr>
                <w:szCs w:val="20"/>
              </w:rPr>
              <w:t>welling</w:t>
            </w:r>
            <w:r>
              <w:rPr>
                <w:szCs w:val="20"/>
              </w:rPr>
              <w:t>s</w:t>
            </w:r>
            <w:r w:rsidRPr="00AF6604">
              <w:rPr>
                <w:szCs w:val="20"/>
              </w:rPr>
              <w:t xml:space="preserve"> </w:t>
            </w:r>
            <w:r>
              <w:rPr>
                <w:szCs w:val="20"/>
              </w:rPr>
              <w:t>per hectare adjusted for 75 per cent build out</w:t>
            </w:r>
          </w:p>
        </w:tc>
        <w:tc>
          <w:tcPr>
            <w:tcW w:w="708" w:type="dxa"/>
            <w:shd w:val="clear" w:color="auto" w:fill="auto"/>
            <w:vAlign w:val="bottom"/>
          </w:tcPr>
          <w:p w:rsidR="005912AF" w:rsidRPr="00605C37" w:rsidRDefault="005912AF" w:rsidP="005912AF">
            <w:pPr>
              <w:pStyle w:val="PPVTableText"/>
              <w:jc w:val="center"/>
            </w:pPr>
            <w:r w:rsidRPr="001F76DD">
              <w:t>185</w:t>
            </w:r>
          </w:p>
        </w:tc>
        <w:tc>
          <w:tcPr>
            <w:tcW w:w="709" w:type="dxa"/>
            <w:shd w:val="clear" w:color="auto" w:fill="auto"/>
            <w:vAlign w:val="bottom"/>
          </w:tcPr>
          <w:p w:rsidR="005912AF" w:rsidRPr="00605C37" w:rsidRDefault="005912AF" w:rsidP="005912AF">
            <w:pPr>
              <w:pStyle w:val="PPVTableText"/>
              <w:jc w:val="center"/>
            </w:pPr>
            <w:r w:rsidRPr="001F76DD">
              <w:t>174</w:t>
            </w:r>
          </w:p>
        </w:tc>
        <w:tc>
          <w:tcPr>
            <w:tcW w:w="709" w:type="dxa"/>
            <w:shd w:val="clear" w:color="auto" w:fill="auto"/>
            <w:vAlign w:val="bottom"/>
          </w:tcPr>
          <w:p w:rsidR="005912AF" w:rsidRPr="00605C37" w:rsidRDefault="005912AF" w:rsidP="005912AF">
            <w:pPr>
              <w:pStyle w:val="PPVTableText"/>
              <w:jc w:val="center"/>
            </w:pPr>
            <w:r w:rsidRPr="001F76DD">
              <w:t>414</w:t>
            </w:r>
          </w:p>
        </w:tc>
        <w:tc>
          <w:tcPr>
            <w:tcW w:w="708" w:type="dxa"/>
            <w:shd w:val="clear" w:color="auto" w:fill="auto"/>
            <w:vAlign w:val="bottom"/>
          </w:tcPr>
          <w:p w:rsidR="005912AF" w:rsidRPr="00605C37" w:rsidRDefault="005912AF" w:rsidP="005912AF">
            <w:pPr>
              <w:pStyle w:val="PPVTableText"/>
              <w:jc w:val="center"/>
            </w:pPr>
            <w:r w:rsidRPr="001F76DD">
              <w:t>205</w:t>
            </w:r>
          </w:p>
        </w:tc>
        <w:tc>
          <w:tcPr>
            <w:tcW w:w="709" w:type="dxa"/>
            <w:shd w:val="clear" w:color="auto" w:fill="auto"/>
            <w:vAlign w:val="bottom"/>
          </w:tcPr>
          <w:p w:rsidR="005912AF" w:rsidRPr="00605C37" w:rsidRDefault="005912AF" w:rsidP="005912AF">
            <w:pPr>
              <w:pStyle w:val="PPVTableText"/>
              <w:jc w:val="center"/>
            </w:pPr>
            <w:r w:rsidRPr="001F76DD">
              <w:t>400</w:t>
            </w:r>
          </w:p>
        </w:tc>
        <w:tc>
          <w:tcPr>
            <w:tcW w:w="709" w:type="dxa"/>
            <w:shd w:val="clear" w:color="auto" w:fill="auto"/>
            <w:vAlign w:val="bottom"/>
          </w:tcPr>
          <w:p w:rsidR="005912AF" w:rsidRPr="00605C37" w:rsidRDefault="005912AF" w:rsidP="005912AF">
            <w:pPr>
              <w:pStyle w:val="PPVTableText"/>
              <w:jc w:val="center"/>
            </w:pPr>
            <w:r w:rsidRPr="001F76DD">
              <w:t>263</w:t>
            </w:r>
          </w:p>
        </w:tc>
        <w:tc>
          <w:tcPr>
            <w:tcW w:w="1098" w:type="dxa"/>
            <w:shd w:val="clear" w:color="auto" w:fill="auto"/>
            <w:vAlign w:val="bottom"/>
          </w:tcPr>
          <w:p w:rsidR="005912AF" w:rsidRPr="00605C37" w:rsidRDefault="005912AF" w:rsidP="005912AF">
            <w:pPr>
              <w:pStyle w:val="PPVTableText"/>
              <w:jc w:val="center"/>
            </w:pPr>
            <w:r w:rsidRPr="001F76DD">
              <w:t>339</w:t>
            </w:r>
          </w:p>
        </w:tc>
      </w:tr>
      <w:tr w:rsidR="005912AF" w:rsidRPr="001F76DD" w:rsidTr="005912AF">
        <w:trPr>
          <w:cantSplit/>
        </w:trPr>
        <w:tc>
          <w:tcPr>
            <w:tcW w:w="3936" w:type="dxa"/>
            <w:tcBorders>
              <w:bottom w:val="single" w:sz="12" w:space="0" w:color="215868"/>
            </w:tcBorders>
            <w:shd w:val="clear" w:color="auto" w:fill="auto"/>
          </w:tcPr>
          <w:p w:rsidR="005912AF" w:rsidRPr="00213F40" w:rsidRDefault="005912AF" w:rsidP="005912AF">
            <w:pPr>
              <w:pStyle w:val="PPVTableText"/>
              <w:rPr>
                <w:szCs w:val="20"/>
              </w:rPr>
            </w:pPr>
            <w:r w:rsidRPr="00213F40">
              <w:rPr>
                <w:szCs w:val="20"/>
              </w:rPr>
              <w:t>Review Panel proposed density</w:t>
            </w:r>
          </w:p>
        </w:tc>
        <w:tc>
          <w:tcPr>
            <w:tcW w:w="708" w:type="dxa"/>
            <w:tcBorders>
              <w:bottom w:val="single" w:sz="12" w:space="0" w:color="215868"/>
            </w:tcBorders>
            <w:shd w:val="clear" w:color="auto" w:fill="auto"/>
            <w:vAlign w:val="bottom"/>
          </w:tcPr>
          <w:p w:rsidR="005912AF" w:rsidRPr="003D3D9D" w:rsidRDefault="005912AF" w:rsidP="005912AF">
            <w:pPr>
              <w:pStyle w:val="PPVTableText"/>
              <w:jc w:val="center"/>
              <w:rPr>
                <w:rFonts w:cs="Times New Roman"/>
                <w:sz w:val="22"/>
                <w:szCs w:val="22"/>
              </w:rPr>
            </w:pPr>
            <w:r>
              <w:rPr>
                <w:rFonts w:cs="Times New Roman"/>
                <w:sz w:val="22"/>
                <w:szCs w:val="22"/>
              </w:rPr>
              <w:t>370</w:t>
            </w:r>
          </w:p>
        </w:tc>
        <w:tc>
          <w:tcPr>
            <w:tcW w:w="709" w:type="dxa"/>
            <w:tcBorders>
              <w:bottom w:val="single" w:sz="12" w:space="0" w:color="215868"/>
            </w:tcBorders>
            <w:shd w:val="clear" w:color="auto" w:fill="auto"/>
            <w:vAlign w:val="bottom"/>
          </w:tcPr>
          <w:p w:rsidR="005912AF" w:rsidRPr="003D3D9D" w:rsidRDefault="005912AF" w:rsidP="005912AF">
            <w:pPr>
              <w:pStyle w:val="PPVTableText"/>
              <w:jc w:val="center"/>
              <w:rPr>
                <w:rFonts w:cs="Times New Roman"/>
                <w:sz w:val="22"/>
                <w:szCs w:val="22"/>
              </w:rPr>
            </w:pPr>
            <w:r w:rsidRPr="003D3D9D">
              <w:rPr>
                <w:rFonts w:cs="Times New Roman"/>
                <w:sz w:val="22"/>
                <w:szCs w:val="22"/>
              </w:rPr>
              <w:t>348</w:t>
            </w:r>
          </w:p>
        </w:tc>
        <w:tc>
          <w:tcPr>
            <w:tcW w:w="709" w:type="dxa"/>
            <w:tcBorders>
              <w:bottom w:val="single" w:sz="12" w:space="0" w:color="215868"/>
            </w:tcBorders>
            <w:shd w:val="clear" w:color="auto" w:fill="auto"/>
            <w:vAlign w:val="bottom"/>
          </w:tcPr>
          <w:p w:rsidR="005912AF" w:rsidRPr="003D3D9D" w:rsidRDefault="005912AF" w:rsidP="005912AF">
            <w:pPr>
              <w:pStyle w:val="PPVTableText"/>
              <w:jc w:val="center"/>
              <w:rPr>
                <w:rFonts w:cs="Times New Roman"/>
                <w:sz w:val="22"/>
                <w:szCs w:val="22"/>
              </w:rPr>
            </w:pPr>
            <w:r w:rsidRPr="003D3D9D">
              <w:rPr>
                <w:rFonts w:cs="Times New Roman"/>
                <w:sz w:val="22"/>
                <w:szCs w:val="22"/>
              </w:rPr>
              <w:t>414</w:t>
            </w:r>
          </w:p>
        </w:tc>
        <w:tc>
          <w:tcPr>
            <w:tcW w:w="708" w:type="dxa"/>
            <w:tcBorders>
              <w:bottom w:val="single" w:sz="12" w:space="0" w:color="215868"/>
            </w:tcBorders>
            <w:shd w:val="clear" w:color="auto" w:fill="auto"/>
            <w:vAlign w:val="bottom"/>
          </w:tcPr>
          <w:p w:rsidR="005912AF" w:rsidRPr="003D3D9D" w:rsidRDefault="005912AF" w:rsidP="005912AF">
            <w:pPr>
              <w:pStyle w:val="PPVTableText"/>
              <w:jc w:val="center"/>
              <w:rPr>
                <w:rFonts w:cs="Times New Roman"/>
                <w:sz w:val="22"/>
                <w:szCs w:val="22"/>
              </w:rPr>
            </w:pPr>
            <w:r w:rsidRPr="003D3D9D">
              <w:rPr>
                <w:rFonts w:cs="Times New Roman"/>
                <w:sz w:val="22"/>
                <w:szCs w:val="22"/>
              </w:rPr>
              <w:t>225</w:t>
            </w:r>
          </w:p>
        </w:tc>
        <w:tc>
          <w:tcPr>
            <w:tcW w:w="709" w:type="dxa"/>
            <w:tcBorders>
              <w:bottom w:val="single" w:sz="12" w:space="0" w:color="215868"/>
            </w:tcBorders>
            <w:shd w:val="clear" w:color="auto" w:fill="auto"/>
            <w:vAlign w:val="bottom"/>
          </w:tcPr>
          <w:p w:rsidR="005912AF" w:rsidRPr="003D3D9D" w:rsidRDefault="005912AF" w:rsidP="005912AF">
            <w:pPr>
              <w:pStyle w:val="PPVTableText"/>
              <w:jc w:val="center"/>
              <w:rPr>
                <w:rFonts w:cs="Times New Roman"/>
                <w:sz w:val="22"/>
                <w:szCs w:val="22"/>
              </w:rPr>
            </w:pPr>
            <w:r w:rsidRPr="003D3D9D">
              <w:rPr>
                <w:rFonts w:cs="Times New Roman"/>
                <w:sz w:val="22"/>
                <w:szCs w:val="22"/>
              </w:rPr>
              <w:t>440</w:t>
            </w:r>
          </w:p>
        </w:tc>
        <w:tc>
          <w:tcPr>
            <w:tcW w:w="709" w:type="dxa"/>
            <w:tcBorders>
              <w:bottom w:val="single" w:sz="12" w:space="0" w:color="215868"/>
            </w:tcBorders>
            <w:shd w:val="clear" w:color="auto" w:fill="auto"/>
            <w:vAlign w:val="bottom"/>
          </w:tcPr>
          <w:p w:rsidR="005912AF" w:rsidRPr="003D3D9D" w:rsidRDefault="005912AF" w:rsidP="005912AF">
            <w:pPr>
              <w:pStyle w:val="PPVTableText"/>
              <w:jc w:val="center"/>
              <w:rPr>
                <w:rFonts w:cs="Times New Roman"/>
                <w:sz w:val="22"/>
                <w:szCs w:val="22"/>
              </w:rPr>
            </w:pPr>
            <w:r w:rsidRPr="003D3D9D">
              <w:rPr>
                <w:rFonts w:cs="Times New Roman"/>
                <w:sz w:val="22"/>
                <w:szCs w:val="22"/>
              </w:rPr>
              <w:t>290</w:t>
            </w:r>
          </w:p>
        </w:tc>
        <w:tc>
          <w:tcPr>
            <w:tcW w:w="1098" w:type="dxa"/>
            <w:tcBorders>
              <w:bottom w:val="single" w:sz="12" w:space="0" w:color="215868"/>
            </w:tcBorders>
            <w:shd w:val="clear" w:color="auto" w:fill="auto"/>
            <w:vAlign w:val="bottom"/>
          </w:tcPr>
          <w:p w:rsidR="005912AF" w:rsidRPr="003D3D9D" w:rsidRDefault="005912AF" w:rsidP="005912AF">
            <w:pPr>
              <w:pStyle w:val="PPVTableText"/>
              <w:jc w:val="center"/>
              <w:rPr>
                <w:rFonts w:cs="Times New Roman"/>
                <w:sz w:val="22"/>
                <w:szCs w:val="22"/>
              </w:rPr>
            </w:pPr>
            <w:r w:rsidRPr="003D3D9D">
              <w:rPr>
                <w:rFonts w:cs="Times New Roman"/>
                <w:sz w:val="22"/>
                <w:szCs w:val="22"/>
              </w:rPr>
              <w:t>339</w:t>
            </w:r>
          </w:p>
        </w:tc>
      </w:tr>
    </w:tbl>
    <w:p w:rsidR="00785416" w:rsidRDefault="005912AF" w:rsidP="005912AF">
      <w:pPr>
        <w:pStyle w:val="PPVBody"/>
        <w:rPr>
          <w:rStyle w:val="PPVBodyChar"/>
          <w:sz w:val="24"/>
          <w:szCs w:val="24"/>
        </w:rPr>
      </w:pPr>
      <w:r w:rsidRPr="00AF7E55">
        <w:t>The</w:t>
      </w:r>
      <w:r>
        <w:t xml:space="preserve"> Review Panel’s recommended increased in dwelling density </w:t>
      </w:r>
      <w:r w:rsidRPr="00AF7E55">
        <w:t>are somewhat influenced by the Minister’s SIN 15</w:t>
      </w:r>
      <w:r w:rsidRPr="00820B43">
        <w:rPr>
          <w:rStyle w:val="FootnoteReference"/>
        </w:rPr>
        <w:footnoteReference w:id="73"/>
      </w:r>
      <w:r w:rsidRPr="00AF7E55">
        <w:t xml:space="preserve">, which outlines the implications for the dwelling targets in the </w:t>
      </w:r>
      <w:r w:rsidRPr="00AF7E55">
        <w:rPr>
          <w:i/>
        </w:rPr>
        <w:t>Urban Design Strategy</w:t>
      </w:r>
      <w:r w:rsidRPr="00AF7E55">
        <w:t xml:space="preserve"> and th</w:t>
      </w:r>
      <w:r w:rsidRPr="00AA5863">
        <w:t xml:space="preserve">e Part A version of Clause 22.XX if all of the live </w:t>
      </w:r>
      <w:r w:rsidR="00AA5863" w:rsidRPr="00AA5863">
        <w:t xml:space="preserve">(current) </w:t>
      </w:r>
      <w:r w:rsidRPr="00AA5863">
        <w:t xml:space="preserve">permit </w:t>
      </w:r>
      <w:r w:rsidRPr="00AA5863">
        <w:lastRenderedPageBreak/>
        <w:t>applications</w:t>
      </w:r>
      <w:r w:rsidRPr="00AF7E55">
        <w:t xml:space="preserve"> were approved</w:t>
      </w:r>
      <w:r>
        <w:t xml:space="preserve"> and built</w:t>
      </w:r>
      <w:r w:rsidR="00AA5863">
        <w:t>, noting existing permits have been factored in</w:t>
      </w:r>
      <w:r w:rsidRPr="00AF7E55">
        <w:t xml:space="preserve">.  The dwelling targets would be exceeded in Lorimer (at 101 per cent – hence the Review Panel does not consider any further increase to be appropriate), and </w:t>
      </w:r>
      <w:r w:rsidRPr="00AF7E55">
        <w:rPr>
          <w:rStyle w:val="PPVBodyChar"/>
          <w:sz w:val="24"/>
          <w:szCs w:val="24"/>
        </w:rPr>
        <w:t xml:space="preserve">taken up by 83 per cent in Montague </w:t>
      </w:r>
      <w:r>
        <w:rPr>
          <w:rStyle w:val="PPVBodyChar"/>
          <w:sz w:val="24"/>
          <w:szCs w:val="24"/>
        </w:rPr>
        <w:t>(hence the Review Panel considers a modest 10 per cent increase in Montague).</w:t>
      </w:r>
    </w:p>
    <w:p w:rsidR="00785416" w:rsidRDefault="005912AF" w:rsidP="005912AF">
      <w:pPr>
        <w:pStyle w:val="PPVBody"/>
      </w:pPr>
      <w:r>
        <w:t xml:space="preserve">The Review Panel calculates that these changes are likely to increase the lower end of the population range from 80,000 to about 98,000.  This is calculated by increasing the </w:t>
      </w:r>
      <w:r w:rsidRPr="004E44AE">
        <w:rPr>
          <w:i/>
        </w:rPr>
        <w:t>Urban Design Strategy</w:t>
      </w:r>
      <w:r>
        <w:t xml:space="preserve"> core and non-core populations by the same percentage that the Review Panel recommends increasing the dwelling densities by.</w:t>
      </w:r>
    </w:p>
    <w:p w:rsidR="005912AF" w:rsidRDefault="005912AF" w:rsidP="005912AF">
      <w:pPr>
        <w:pStyle w:val="PPVBody"/>
      </w:pPr>
      <w:r>
        <w:t>This range</w:t>
      </w:r>
      <w:r w:rsidR="00AD10C5">
        <w:t>, whether at 80,000 or 98,000</w:t>
      </w:r>
      <w:r>
        <w:t xml:space="preserve"> </w:t>
      </w:r>
      <w:r w:rsidR="00344765">
        <w:t xml:space="preserve">at the lower end </w:t>
      </w:r>
      <w:r>
        <w:t xml:space="preserve">leaves considerable scope within the recommended population range for </w:t>
      </w:r>
      <w:r w:rsidR="00AA5863">
        <w:t>s</w:t>
      </w:r>
      <w:r>
        <w:t>ocial housing uplift, and for build out above the assumed 75 per cent level</w:t>
      </w:r>
      <w:r w:rsidRPr="00B705D6">
        <w:t>.</w:t>
      </w:r>
      <w:r w:rsidR="0097365E">
        <w:t xml:space="preserve">  The reasons why the Review Panel recommends a population range of up to 120,000 are addressed in Chapter </w:t>
      </w:r>
      <w:r w:rsidR="0097365E">
        <w:fldChar w:fldCharType="begin"/>
      </w:r>
      <w:r w:rsidR="0097365E">
        <w:instrText xml:space="preserve"> REF _Ref519688381 \r \h </w:instrText>
      </w:r>
      <w:r w:rsidR="0097365E">
        <w:fldChar w:fldCharType="separate"/>
      </w:r>
      <w:r w:rsidR="00A307EC">
        <w:t>6</w:t>
      </w:r>
      <w:r w:rsidR="0097365E">
        <w:fldChar w:fldCharType="end"/>
      </w:r>
      <w:r w:rsidR="0097365E">
        <w:t>.</w:t>
      </w:r>
    </w:p>
    <w:p w:rsidR="005912AF" w:rsidRDefault="005912AF" w:rsidP="005912AF">
      <w:pPr>
        <w:pStyle w:val="PPVBody"/>
      </w:pPr>
      <w:r>
        <w:t>It is important to note that the dwelling densities recommended by the Review Panel are not comparable to general urban density.  General urban density includes roads and open space.  The Review Panel’s dwelling densities only relate to gross developable site area.  Further, they do not include non-residential development, which will add additional floorspace and built form, particularly in core areas.</w:t>
      </w:r>
    </w:p>
    <w:p w:rsidR="005912AF" w:rsidRDefault="005912AF" w:rsidP="005912AF">
      <w:pPr>
        <w:pStyle w:val="PPVBody"/>
      </w:pPr>
      <w:r w:rsidRPr="0097365E">
        <w:t xml:space="preserve">The Review Panel considers that it would be appropriate to review </w:t>
      </w:r>
      <w:r w:rsidR="00344765">
        <w:t xml:space="preserve">further </w:t>
      </w:r>
      <w:r w:rsidRPr="0097365E">
        <w:t>these dwelling densities when infrastructure planning is progressed.  If planned infrastructure has the capacity to accommodate more than 9</w:t>
      </w:r>
      <w:r w:rsidR="00106BE5" w:rsidRPr="00CD1B37">
        <w:t>8</w:t>
      </w:r>
      <w:r w:rsidRPr="0097365E">
        <w:t>,000 people, the dwelling densities should be increased accordingly.</w:t>
      </w:r>
    </w:p>
    <w:p w:rsidR="005912AF" w:rsidRDefault="005912AF" w:rsidP="005912AF">
      <w:pPr>
        <w:pStyle w:val="PPVBody"/>
      </w:pPr>
      <w:r>
        <w:t>Increasing densities may have a number of effects:</w:t>
      </w:r>
    </w:p>
    <w:p w:rsidR="005912AF" w:rsidRDefault="005912AF" w:rsidP="005912AF">
      <w:pPr>
        <w:pStyle w:val="PPVBullet1"/>
      </w:pPr>
      <w:r>
        <w:t>It may increase the growth rate in Fishermans Bend as individual developments will be able to deliver additional dwellings.  This means that the 2050 population target may be reached sooner.  In the context of Melbourne’s rapidly increasing population, this would appear desirable.</w:t>
      </w:r>
    </w:p>
    <w:p w:rsidR="005912AF" w:rsidRDefault="005912AF" w:rsidP="005912AF">
      <w:pPr>
        <w:pStyle w:val="PPVBullet1"/>
      </w:pPr>
      <w:r>
        <w:t xml:space="preserve">It will reduce the risk of underdevelopment.  There is already some examples of the potential for underdevelopment.  The </w:t>
      </w:r>
      <w:r w:rsidR="00AA5863">
        <w:t xml:space="preserve">very large two and three storey </w:t>
      </w:r>
      <w:r>
        <w:t xml:space="preserve">existing town house development in Sandridge does not sit well with the quality </w:t>
      </w:r>
      <w:r w:rsidR="00AA5863">
        <w:t xml:space="preserve">or form </w:t>
      </w:r>
      <w:r>
        <w:t>of development expected in a world class urban renewal area.</w:t>
      </w:r>
    </w:p>
    <w:p w:rsidR="005912AF" w:rsidRDefault="005912AF" w:rsidP="005912AF">
      <w:pPr>
        <w:pStyle w:val="PPVBullet1"/>
      </w:pPr>
      <w:r>
        <w:t>It may mean that some properties can no longer achieve the dwelling limit within the built form envelope.  Where this is because of the need to provide open space or roads that have a wider benefit than the land itself, this can be addressed through a properly crafted compensation scheme.  There is no imperative that every site (or even most sites) achieve the dwelling target.</w:t>
      </w:r>
    </w:p>
    <w:p w:rsidR="005912AF" w:rsidRDefault="005912AF" w:rsidP="005912AF">
      <w:pPr>
        <w:pStyle w:val="PPVBullet1"/>
      </w:pPr>
      <w:r>
        <w:t>It will increase the overall number of affordable housing dwellings, as the total number of dwellings increases.</w:t>
      </w:r>
    </w:p>
    <w:p w:rsidR="00785416" w:rsidRDefault="005912AF" w:rsidP="005912AF">
      <w:pPr>
        <w:pStyle w:val="PPVBullet1"/>
      </w:pPr>
      <w:r>
        <w:t xml:space="preserve">It may reduce the number of social housing units delivered as part of an uplift scheme, as the scope for uplift </w:t>
      </w:r>
      <w:r w:rsidR="00AA5863">
        <w:t>may</w:t>
      </w:r>
      <w:r>
        <w:t xml:space="preserve"> be reduced on some sites.</w:t>
      </w:r>
    </w:p>
    <w:p w:rsidR="00785416" w:rsidRDefault="005912AF" w:rsidP="005912AF">
      <w:pPr>
        <w:pStyle w:val="PPVBody"/>
      </w:pPr>
      <w:r>
        <w:t xml:space="preserve">In regard to social housing, the Review Panel supports the delivery of social housing as a component of the development of Fishermans Bend, but any uplift scheme needs to be in proportion to the base number of dwellings permitted.  Increases in density proposed by the Review Panel, together with the Review Panel’s recommendation to only allow uplift for social housing delivered above the </w:t>
      </w:r>
      <w:r w:rsidRPr="00CD1B37">
        <w:t>minimum six per cent</w:t>
      </w:r>
      <w:r w:rsidR="004E335E" w:rsidRPr="00CD1B37">
        <w:t xml:space="preserve"> referred to in local policy</w:t>
      </w:r>
      <w:r w:rsidRPr="00CD1B37">
        <w:t xml:space="preserve"> (see</w:t>
      </w:r>
      <w:r w:rsidRPr="00AA5863">
        <w:t xml:space="preserve"> </w:t>
      </w:r>
      <w:r w:rsidRPr="00AA5863">
        <w:lastRenderedPageBreak/>
        <w:t>Chapter 8.5) will,</w:t>
      </w:r>
      <w:r>
        <w:t xml:space="preserve"> in its view, strike a better balance between the ‘base’ density permitted and the amount of development potential that can be accessed via a social housing uplift.</w:t>
      </w:r>
    </w:p>
    <w:p w:rsidR="005912AF" w:rsidRDefault="005912AF" w:rsidP="005912AF">
      <w:pPr>
        <w:pStyle w:val="PPVBody"/>
      </w:pPr>
      <w:r>
        <w:t xml:space="preserve">It is important to recognise that the increases in density should not </w:t>
      </w:r>
      <w:r w:rsidR="00CB745C">
        <w:t xml:space="preserve">adversely </w:t>
      </w:r>
      <w:r>
        <w:t xml:space="preserve">affect the built form outcomes.  The Review Panel has found that the proposed typologies can accommodate higher densities than those proposed in the Part A controls.  Further, the Review Panel has recommended changes </w:t>
      </w:r>
      <w:r w:rsidR="00AA5863">
        <w:t xml:space="preserve">to </w:t>
      </w:r>
      <w:r>
        <w:t>the DDOs to better control built form, typologies and preferred character in each Precinct.</w:t>
      </w:r>
    </w:p>
    <w:p w:rsidR="004A3634" w:rsidRDefault="004A3634" w:rsidP="00BC1E04">
      <w:pPr>
        <w:pStyle w:val="Heading4"/>
      </w:pPr>
      <w:bookmarkStart w:id="351" w:name="_Toc519439745"/>
      <w:r>
        <w:t>Should the dwelling density controls be mandatory or discretionary?</w:t>
      </w:r>
    </w:p>
    <w:p w:rsidR="004A3634" w:rsidRDefault="004A3634">
      <w:pPr>
        <w:pStyle w:val="PPVBody"/>
      </w:pPr>
      <w:r>
        <w:t>The Review Panel has considered whether it is appropriate for the dwelling density control to be mandatory.  The Review Panel thinks that a mandatory provision is justified for the following reasons:</w:t>
      </w:r>
      <w:r>
        <w:rPr>
          <w:rStyle w:val="FootnoteReference"/>
        </w:rPr>
        <w:footnoteReference w:id="74"/>
      </w:r>
    </w:p>
    <w:p w:rsidR="004A3634" w:rsidRDefault="004A3634" w:rsidP="004A3634">
      <w:pPr>
        <w:pStyle w:val="PPVBullet1"/>
      </w:pPr>
      <w:r>
        <w:t>the requirement has a clear strategic basis in the work to date, particularly its role in underpinning social housing uplift</w:t>
      </w:r>
    </w:p>
    <w:p w:rsidR="004A3634" w:rsidRDefault="004A3634" w:rsidP="004A3634">
      <w:pPr>
        <w:pStyle w:val="PPVBullet1"/>
      </w:pPr>
      <w:r>
        <w:t>the requirement is applicable to the majority, if not all, future proposals – its applicability to current called in applications can be considered as part of determining appropriate transitional arrangements as discussed in Chapter</w:t>
      </w:r>
      <w:r w:rsidR="004E335E">
        <w:t xml:space="preserve"> </w:t>
      </w:r>
      <w:r w:rsidR="004E335E">
        <w:fldChar w:fldCharType="begin"/>
      </w:r>
      <w:r w:rsidR="004E335E">
        <w:instrText xml:space="preserve"> REF _Ref519689002 \r \h </w:instrText>
      </w:r>
      <w:r w:rsidR="004E335E">
        <w:fldChar w:fldCharType="separate"/>
      </w:r>
      <w:r w:rsidR="00A307EC">
        <w:t>15</w:t>
      </w:r>
      <w:r w:rsidR="004E335E">
        <w:fldChar w:fldCharType="end"/>
      </w:r>
    </w:p>
    <w:p w:rsidR="00785416" w:rsidRDefault="004A3634" w:rsidP="004A3634">
      <w:pPr>
        <w:pStyle w:val="PPVBullet1"/>
      </w:pPr>
      <w:r>
        <w:t>the requirement will avoid the risk of adverse outcomes in circumstances where there is likely to be constant pressure for development inconsistent with planning policy</w:t>
      </w:r>
    </w:p>
    <w:p w:rsidR="004A3634" w:rsidRDefault="004A3634" w:rsidP="004A3634">
      <w:pPr>
        <w:pStyle w:val="PPVBullet1"/>
      </w:pPr>
      <w:r>
        <w:t>there is clear evidence of development seeking to exceeding the proposed requirements</w:t>
      </w:r>
    </w:p>
    <w:p w:rsidR="004A3634" w:rsidRDefault="004A3634" w:rsidP="004A3634">
      <w:pPr>
        <w:pStyle w:val="PPVBullet1"/>
      </w:pPr>
      <w:r>
        <w:t xml:space="preserve">if the majority of development did not accord with the requirement there </w:t>
      </w:r>
      <w:r w:rsidR="00C17EBA">
        <w:t xml:space="preserve">could be </w:t>
      </w:r>
      <w:r>
        <w:t>unacceptable planning outcomes in terms of the total population in Fishermans Bend and the lack of social housing</w:t>
      </w:r>
    </w:p>
    <w:p w:rsidR="00C17EBA" w:rsidRPr="00CD1B37" w:rsidRDefault="004A3634" w:rsidP="004A3634">
      <w:pPr>
        <w:pStyle w:val="PPVBullet1"/>
      </w:pPr>
      <w:r>
        <w:t xml:space="preserve">the </w:t>
      </w:r>
      <w:r w:rsidRPr="00CD1B37">
        <w:t xml:space="preserve">requirement will reduce costs imposed on </w:t>
      </w:r>
      <w:r w:rsidR="0079402A">
        <w:t>the C</w:t>
      </w:r>
      <w:r w:rsidRPr="00CD1B37">
        <w:t xml:space="preserve">ouncils, applicants and the community </w:t>
      </w:r>
      <w:r w:rsidR="00C17EBA" w:rsidRPr="00CD1B37">
        <w:t>(compared to if the requirement were discretionary and able to be reviewed in VCAT)</w:t>
      </w:r>
    </w:p>
    <w:p w:rsidR="004A3634" w:rsidRPr="00CD1B37" w:rsidRDefault="00C17EBA" w:rsidP="004A3634">
      <w:pPr>
        <w:pStyle w:val="PPVBullet1"/>
      </w:pPr>
      <w:r w:rsidRPr="00CD1B37">
        <w:t xml:space="preserve">the benefits of a mandatory provision </w:t>
      </w:r>
      <w:r w:rsidR="004A3634" w:rsidRPr="00CD1B37">
        <w:t>significantly outweigh the benefit of a performance based provision.</w:t>
      </w:r>
    </w:p>
    <w:p w:rsidR="004A3634" w:rsidRDefault="004A3634" w:rsidP="004A3634">
      <w:pPr>
        <w:pStyle w:val="PPVBody"/>
      </w:pPr>
      <w:r>
        <w:t>While the requirement should be mandatory</w:t>
      </w:r>
      <w:r w:rsidR="00C17EBA">
        <w:t>,</w:t>
      </w:r>
      <w:r>
        <w:t xml:space="preserve"> care needs to be taken that it does not inadvertently capture accommodation uses that are not traditional dwellings, but might be dwellings under the VPP.</w:t>
      </w:r>
    </w:p>
    <w:p w:rsidR="004A3634" w:rsidRDefault="004A3634" w:rsidP="004A3634">
      <w:pPr>
        <w:pStyle w:val="PPVBody"/>
      </w:pPr>
      <w:r>
        <w:t>The issue of what constitutes a ‘dwelling’ in term</w:t>
      </w:r>
      <w:r w:rsidR="00DF3472">
        <w:t>s</w:t>
      </w:r>
      <w:r>
        <w:t xml:space="preserve"> of land use definition in the VPP is not always clear.  The Review Panel thinks that the dwelling densities should not automatically apply to ‘shared’ housing type uses, where there is use of common areas, but where individual units might be construed as dwellings – such</w:t>
      </w:r>
      <w:r w:rsidR="00C17EBA">
        <w:t xml:space="preserve"> uses could include</w:t>
      </w:r>
      <w:r>
        <w:t xml:space="preserve"> student accommodation, crisis accommodation, and boarding houses.  The Review Panel </w:t>
      </w:r>
      <w:r w:rsidR="00DF3472">
        <w:t>considers</w:t>
      </w:r>
      <w:r>
        <w:t xml:space="preserve"> that the requirement should not automatically apply to build</w:t>
      </w:r>
      <w:r w:rsidR="00165DB1">
        <w:t xml:space="preserve"> </w:t>
      </w:r>
      <w:r>
        <w:t>to</w:t>
      </w:r>
      <w:r w:rsidR="00165DB1">
        <w:t xml:space="preserve"> </w:t>
      </w:r>
      <w:r>
        <w:t>rent projects that remain in the one ownership.  The Review Panel’s version of the controls addresses these issues.</w:t>
      </w:r>
    </w:p>
    <w:p w:rsidR="00785416" w:rsidRDefault="00DF3472" w:rsidP="005912AF">
      <w:pPr>
        <w:pStyle w:val="Heading2"/>
      </w:pPr>
      <w:bookmarkStart w:id="352" w:name="_Toc519710277"/>
      <w:bookmarkStart w:id="353" w:name="_Toc519766837"/>
      <w:r>
        <w:lastRenderedPageBreak/>
        <w:t xml:space="preserve">Findings </w:t>
      </w:r>
      <w:r w:rsidR="005912AF">
        <w:t>and recommendations</w:t>
      </w:r>
      <w:bookmarkEnd w:id="351"/>
      <w:bookmarkEnd w:id="352"/>
      <w:bookmarkEnd w:id="353"/>
    </w:p>
    <w:p w:rsidR="005912AF" w:rsidRDefault="005912AF" w:rsidP="005912AF">
      <w:pPr>
        <w:pStyle w:val="PPVBody"/>
      </w:pPr>
      <w:r>
        <w:t xml:space="preserve">The Review Panel </w:t>
      </w:r>
      <w:r w:rsidR="00DF3472">
        <w:t>finds</w:t>
      </w:r>
      <w:r>
        <w:t>:</w:t>
      </w:r>
    </w:p>
    <w:p w:rsidR="005912AF" w:rsidRDefault="005912AF" w:rsidP="005912AF">
      <w:pPr>
        <w:pStyle w:val="PPVBullet1"/>
      </w:pPr>
      <w:r>
        <w:t>The FAR is trying to do too many things at once and as such is likely to fail at doing any of them well.</w:t>
      </w:r>
    </w:p>
    <w:p w:rsidR="005912AF" w:rsidRDefault="005912AF" w:rsidP="005912AF">
      <w:pPr>
        <w:pStyle w:val="PPVBullet1"/>
      </w:pPr>
      <w:r>
        <w:t>The FAR is not effective in limiting population or dwellings to the targets set out in the draft Framework.  When the FAR is considered with the FAU and the potential for unlimited non-dwelling floorspace (at least in the exhibited version of the controls), it is obvious that the FAR,</w:t>
      </w:r>
      <w:r w:rsidRPr="002E472E">
        <w:t xml:space="preserve"> </w:t>
      </w:r>
      <w:r>
        <w:t>of itself:</w:t>
      </w:r>
    </w:p>
    <w:p w:rsidR="005912AF" w:rsidRDefault="005912AF" w:rsidP="005912AF">
      <w:pPr>
        <w:pStyle w:val="PPVBullet2"/>
      </w:pPr>
      <w:r>
        <w:t>does not limit development to the target population of 80,000 persons, or the target 29,819 dwellings</w:t>
      </w:r>
    </w:p>
    <w:p w:rsidR="005912AF" w:rsidRDefault="005912AF" w:rsidP="005912AF">
      <w:pPr>
        <w:pStyle w:val="PPVBullet2"/>
      </w:pPr>
      <w:r>
        <w:t>does not limit the total amount of floor space.</w:t>
      </w:r>
    </w:p>
    <w:p w:rsidR="005912AF" w:rsidRPr="00CD1B37" w:rsidRDefault="005912AF" w:rsidP="005912AF">
      <w:pPr>
        <w:pStyle w:val="PPVBullet1"/>
      </w:pPr>
      <w:r>
        <w:t xml:space="preserve">Limiting population by dwelling floor area, rather than the number of dwellings, is </w:t>
      </w:r>
      <w:r w:rsidRPr="00CD1B37">
        <w:t>likely to have unintended adverse consequences.</w:t>
      </w:r>
    </w:p>
    <w:p w:rsidR="005912AF" w:rsidRPr="00CD1B37" w:rsidRDefault="005912AF" w:rsidP="005912AF">
      <w:pPr>
        <w:pStyle w:val="PPVBullet1"/>
      </w:pPr>
      <w:r w:rsidRPr="00CD1B37">
        <w:t>If the FAU scheme is to deliver six per cent social housing then significant uplift will be required on sites where this is possible – up to 117 per cent</w:t>
      </w:r>
      <w:r w:rsidR="00BC1E04" w:rsidRPr="00CD1B37">
        <w:t xml:space="preserve"> additional floor space</w:t>
      </w:r>
      <w:r w:rsidRPr="00CD1B37">
        <w:t>.</w:t>
      </w:r>
    </w:p>
    <w:p w:rsidR="005912AF" w:rsidRDefault="005912AF" w:rsidP="005912AF">
      <w:pPr>
        <w:pStyle w:val="PPVBullet1"/>
      </w:pPr>
      <w:r w:rsidRPr="00CD1B37">
        <w:t>There is no justification</w:t>
      </w:r>
      <w:r>
        <w:t xml:space="preserve"> for setting a maximum commercial FAR and this is likely to work against aspirations for employment.  Capping non-dwelling floor space to a level based on employment is likely to discourage non-commercial community uses, or uses that require more floor are per job.</w:t>
      </w:r>
    </w:p>
    <w:p w:rsidR="00785416" w:rsidRDefault="005912AF" w:rsidP="005912AF">
      <w:pPr>
        <w:pStyle w:val="PPVBullet1"/>
      </w:pPr>
      <w:r>
        <w:t>The FAR does not perform the function of delivering the preferred typologies or characters.  While maximum heights relate to the proposed character typologies, the FARs are only weakly related to the character typologies, primarily because they have been constrained by the population target.</w:t>
      </w:r>
    </w:p>
    <w:p w:rsidR="005912AF" w:rsidRDefault="005912AF" w:rsidP="005912AF">
      <w:pPr>
        <w:pStyle w:val="PPVBullet1"/>
      </w:pPr>
      <w:r>
        <w:t>The FAR should be replaced by a density control based on dwellings per hectare of gross developable site area.  A dwelling density control can perform all of the purposes intended to be performed by the FAR, without the adverse unintended consequence of encouraging smaller dwellings and smaller circulation spaces.</w:t>
      </w:r>
    </w:p>
    <w:p w:rsidR="005912AF" w:rsidRDefault="005912AF" w:rsidP="005912AF">
      <w:pPr>
        <w:pStyle w:val="PPVBullet1"/>
      </w:pPr>
      <w:r>
        <w:t>The dwelling densities should be based on the Clause 22.XX densities (adjusted for an assumed 75 per cent build out), but increased in some areas.</w:t>
      </w:r>
    </w:p>
    <w:p w:rsidR="005912AF" w:rsidRPr="001C078B" w:rsidRDefault="005912AF" w:rsidP="005912AF">
      <w:pPr>
        <w:pStyle w:val="PPVBody"/>
        <w:rPr>
          <w:b/>
        </w:rPr>
      </w:pPr>
      <w:r>
        <w:rPr>
          <w:b/>
        </w:rPr>
        <w:t>In accordance with the primary recommendation of the Review Panel to progress Amendment GC81</w:t>
      </w:r>
      <w:r w:rsidRPr="001C078B">
        <w:rPr>
          <w:b/>
        </w:rPr>
        <w:t>, the following key changes have been included in the amended Capital City Zone and Design and Development Overlays:</w:t>
      </w:r>
    </w:p>
    <w:p w:rsidR="005912AF" w:rsidRDefault="005912AF" w:rsidP="005912AF">
      <w:pPr>
        <w:pStyle w:val="PPVRecommendationDrafting"/>
      </w:pPr>
      <w:r w:rsidRPr="001C078B">
        <w:t>In the Capital City Zone, replace the dwelling FARs with a specific density limit based on the dwelling numbers used to calculate the FAR</w:t>
      </w:r>
      <w:r>
        <w:t>, but increased to recognise that development potential was constrained below that appropriate for the typology and character of some subprecincts by the reliance on a 2050 population target when setting the FARs</w:t>
      </w:r>
      <w:r w:rsidRPr="001C078B">
        <w:t xml:space="preserve">.  Review </w:t>
      </w:r>
      <w:r>
        <w:t>this limit as part of the Precinct plan</w:t>
      </w:r>
      <w:r w:rsidRPr="001C078B">
        <w:t xml:space="preserve"> process.</w:t>
      </w:r>
    </w:p>
    <w:p w:rsidR="00CD1B37" w:rsidRPr="001C078B" w:rsidRDefault="00CD1B37" w:rsidP="005912AF">
      <w:pPr>
        <w:pStyle w:val="PPVRecommendationDrafting"/>
      </w:pPr>
      <w:r>
        <w:t>Remove the cap on non-dwelling floor space.</w:t>
      </w:r>
    </w:p>
    <w:p w:rsidR="005912AF" w:rsidRPr="001C078B" w:rsidRDefault="005912AF" w:rsidP="005912AF">
      <w:pPr>
        <w:pStyle w:val="PPVRecommendationDrafting"/>
      </w:pPr>
      <w:r w:rsidRPr="001C078B">
        <w:t>In the Design and Development Overlay introduce requirements to ensure delivery of the identified building typologies.</w:t>
      </w:r>
    </w:p>
    <w:p w:rsidR="00566CAE" w:rsidRDefault="00566CAE" w:rsidP="00566CAE">
      <w:pPr>
        <w:pStyle w:val="Heading1"/>
        <w:rPr>
          <w:rFonts w:asciiTheme="minorHAnsi" w:hAnsiTheme="minorHAnsi"/>
        </w:rPr>
      </w:pPr>
      <w:bookmarkStart w:id="354" w:name="_Toc519710278"/>
      <w:bookmarkStart w:id="355" w:name="_Toc519766838"/>
      <w:r w:rsidRPr="00A90F8A">
        <w:rPr>
          <w:rFonts w:asciiTheme="minorHAnsi" w:hAnsiTheme="minorHAnsi"/>
        </w:rPr>
        <w:lastRenderedPageBreak/>
        <w:t xml:space="preserve">Affordable </w:t>
      </w:r>
      <w:r>
        <w:rPr>
          <w:rFonts w:asciiTheme="minorHAnsi" w:hAnsiTheme="minorHAnsi"/>
        </w:rPr>
        <w:t xml:space="preserve">and social </w:t>
      </w:r>
      <w:r w:rsidRPr="00A90F8A">
        <w:rPr>
          <w:rFonts w:asciiTheme="minorHAnsi" w:hAnsiTheme="minorHAnsi"/>
        </w:rPr>
        <w:t>housing</w:t>
      </w:r>
      <w:bookmarkEnd w:id="354"/>
      <w:bookmarkEnd w:id="355"/>
    </w:p>
    <w:p w:rsidR="00824A51" w:rsidRDefault="00604B61" w:rsidP="00DD6314">
      <w:pPr>
        <w:pStyle w:val="Heading2"/>
      </w:pPr>
      <w:bookmarkStart w:id="356" w:name="_Toc519710279"/>
      <w:bookmarkStart w:id="357" w:name="_Toc519766839"/>
      <w:r>
        <w:t>Context and k</w:t>
      </w:r>
      <w:r w:rsidR="00824A51">
        <w:t>ey issues</w:t>
      </w:r>
      <w:bookmarkEnd w:id="356"/>
      <w:bookmarkEnd w:id="357"/>
    </w:p>
    <w:p w:rsidR="00785416" w:rsidRDefault="001B7F78" w:rsidP="001B7F78">
      <w:pPr>
        <w:pStyle w:val="PPVBody"/>
      </w:pPr>
      <w:r w:rsidRPr="00020D23">
        <w:t>Affordable housing is a key social and economic issue, with an emerging policy basis including the recent introduction of Amendment VC139 and the Housing Affordability Act.</w:t>
      </w:r>
      <w:r>
        <w:t xml:space="preserve">  The Vision </w:t>
      </w:r>
      <w:r w:rsidRPr="00A76BF2">
        <w:t>includes providing affordable housing as part of the residential mix</w:t>
      </w:r>
      <w:r>
        <w:t xml:space="preserve"> in Fishermans Bend</w:t>
      </w:r>
      <w:r w:rsidRPr="00A76BF2">
        <w:t>.</w:t>
      </w:r>
      <w:r>
        <w:rPr>
          <w:rStyle w:val="FootnoteReference"/>
        </w:rPr>
        <w:footnoteReference w:id="75"/>
      </w:r>
    </w:p>
    <w:p w:rsidR="001B7F78" w:rsidRPr="000A78A2" w:rsidRDefault="001B7F78" w:rsidP="001B7F78">
      <w:pPr>
        <w:pStyle w:val="PPVBody"/>
      </w:pPr>
      <w:r>
        <w:t xml:space="preserve">The </w:t>
      </w:r>
      <w:r w:rsidRPr="00A76BF2">
        <w:rPr>
          <w:i/>
        </w:rPr>
        <w:t>Urban Design Strategy</w:t>
      </w:r>
      <w:r>
        <w:t xml:space="preserve"> refers to a target of 2,500 affordable housing units in Fishermans Bend.  This appears to have been translated into the six per cent target set out at page 50 of the </w:t>
      </w:r>
      <w:r w:rsidR="00FC563B">
        <w:t xml:space="preserve">draft </w:t>
      </w:r>
      <w:r>
        <w:t>Framework:</w:t>
      </w:r>
    </w:p>
    <w:p w:rsidR="001B7F78" w:rsidRDefault="001B7F78" w:rsidP="001B7F78">
      <w:pPr>
        <w:pStyle w:val="PPVQuote"/>
      </w:pPr>
      <w:r w:rsidRPr="00F36DB1">
        <w:t xml:space="preserve">The aim is for at least six per cent of housing across Fishermans Bend to be affordable. </w:t>
      </w:r>
      <w:r>
        <w:t xml:space="preserve"> </w:t>
      </w:r>
      <w:r w:rsidRPr="00F36DB1">
        <w:t>This includes a range of affordable housing models, typologies, and occupancies, from short-term crisis accommodation through to long</w:t>
      </w:r>
      <w:r>
        <w:t>-</w:t>
      </w:r>
      <w:r w:rsidRPr="00F36DB1">
        <w:t>term secure housing for people with special needs, the aged and key workers employed in essential services.</w:t>
      </w:r>
    </w:p>
    <w:p w:rsidR="001B7F78" w:rsidRDefault="001B7F78" w:rsidP="001B7F78">
      <w:pPr>
        <w:pStyle w:val="PPVBody"/>
      </w:pPr>
      <w:r>
        <w:t>The draft Framework includes an o</w:t>
      </w:r>
      <w:r w:rsidRPr="00A76BF2">
        <w:t xml:space="preserve">bjective </w:t>
      </w:r>
      <w:r>
        <w:t xml:space="preserve">of delivering </w:t>
      </w:r>
      <w:r w:rsidRPr="002D1D6D">
        <w:t xml:space="preserve">affordable housing </w:t>
      </w:r>
      <w:r w:rsidRPr="00A76BF2">
        <w:t>“</w:t>
      </w:r>
      <w:r w:rsidRPr="00A76BF2">
        <w:rPr>
          <w:i/>
        </w:rPr>
        <w:t>through well-established partnership models between government and industry”</w:t>
      </w:r>
      <w:r>
        <w:t xml:space="preserve">, supported by </w:t>
      </w:r>
      <w:r w:rsidRPr="00A76BF2">
        <w:t>strategies</w:t>
      </w:r>
      <w:r>
        <w:t xml:space="preserve"> such incentivising developers </w:t>
      </w:r>
      <w:r w:rsidRPr="00A76BF2">
        <w:t xml:space="preserve">to incorporate social and affordable housing as a proportion of new development </w:t>
      </w:r>
      <w:r>
        <w:t>through</w:t>
      </w:r>
      <w:r w:rsidRPr="00A76BF2">
        <w:t xml:space="preserve"> FAU</w:t>
      </w:r>
      <w:r>
        <w:t xml:space="preserve">, </w:t>
      </w:r>
      <w:r w:rsidRPr="0069262D">
        <w:t>identify</w:t>
      </w:r>
      <w:r>
        <w:t>ing</w:t>
      </w:r>
      <w:r w:rsidRPr="0069262D">
        <w:t xml:space="preserve"> government sites suitable for affordable housing</w:t>
      </w:r>
      <w:r>
        <w:t xml:space="preserve">, and exploring </w:t>
      </w:r>
      <w:r w:rsidRPr="00A76BF2">
        <w:t>cash-in-lieu contributions</w:t>
      </w:r>
      <w:r>
        <w:t xml:space="preserve"> for affordable housing</w:t>
      </w:r>
      <w:r w:rsidRPr="00A76BF2">
        <w:t>.</w:t>
      </w:r>
      <w:r>
        <w:rPr>
          <w:rStyle w:val="FootnoteReference"/>
        </w:rPr>
        <w:footnoteReference w:id="76"/>
      </w:r>
    </w:p>
    <w:p w:rsidR="00CB745C" w:rsidRPr="0069262D" w:rsidRDefault="00C17EBA" w:rsidP="001B7F78">
      <w:pPr>
        <w:pStyle w:val="PPVBody"/>
      </w:pPr>
      <w:r w:rsidRPr="00C17EBA">
        <w:t>The policy and s</w:t>
      </w:r>
      <w:r w:rsidR="00CB745C" w:rsidRPr="00C17EBA">
        <w:t>tatutory framework</w:t>
      </w:r>
      <w:r w:rsidRPr="00C17EBA">
        <w:t xml:space="preserve"> supporting the provision of affordable housing, including the Housing Affordability Act and related measures, </w:t>
      </w:r>
      <w:r w:rsidRPr="00A504B1">
        <w:t xml:space="preserve">is summarised in Chapters </w:t>
      </w:r>
      <w:r w:rsidRPr="00C17EBA">
        <w:fldChar w:fldCharType="begin"/>
      </w:r>
      <w:r w:rsidRPr="007D6422">
        <w:instrText xml:space="preserve"> REF _Ref519689333 \r \h </w:instrText>
      </w:r>
      <w:r>
        <w:instrText xml:space="preserve"> \* MERGEFORMAT </w:instrText>
      </w:r>
      <w:r w:rsidRPr="00C17EBA">
        <w:fldChar w:fldCharType="separate"/>
      </w:r>
      <w:r w:rsidR="00A307EC">
        <w:t>3.2</w:t>
      </w:r>
      <w:r w:rsidRPr="00C17EBA">
        <w:fldChar w:fldCharType="end"/>
      </w:r>
      <w:r w:rsidRPr="00C17EBA">
        <w:t xml:space="preserve">, </w:t>
      </w:r>
      <w:r w:rsidRPr="00C17EBA">
        <w:fldChar w:fldCharType="begin"/>
      </w:r>
      <w:r w:rsidRPr="007D6422">
        <w:instrText xml:space="preserve"> REF _Ref519689420 \r \h </w:instrText>
      </w:r>
      <w:r>
        <w:instrText xml:space="preserve"> \* MERGEFORMAT </w:instrText>
      </w:r>
      <w:r w:rsidRPr="00C17EBA">
        <w:fldChar w:fldCharType="separate"/>
      </w:r>
      <w:r w:rsidR="00A307EC">
        <w:t>3.7</w:t>
      </w:r>
      <w:r w:rsidRPr="00C17EBA">
        <w:fldChar w:fldCharType="end"/>
      </w:r>
      <w:r w:rsidRPr="00C17EBA">
        <w:t xml:space="preserve"> and </w:t>
      </w:r>
      <w:r w:rsidRPr="00C17EBA">
        <w:fldChar w:fldCharType="begin"/>
      </w:r>
      <w:r w:rsidRPr="00C17EBA">
        <w:instrText xml:space="preserve"> REF _Ref519689422 \r \h </w:instrText>
      </w:r>
      <w:r>
        <w:instrText xml:space="preserve"> \* MERGEFORMAT </w:instrText>
      </w:r>
      <w:r w:rsidRPr="00C17EBA">
        <w:fldChar w:fldCharType="separate"/>
      </w:r>
      <w:r w:rsidR="00A307EC">
        <w:t>3.8</w:t>
      </w:r>
      <w:r w:rsidRPr="00C17EBA">
        <w:fldChar w:fldCharType="end"/>
      </w:r>
      <w:r>
        <w:t xml:space="preserve">.  Importantly, the Housing Affordability Act provides support for the voluntary provision of affordable housing using </w:t>
      </w:r>
      <w:r w:rsidR="00DF3472">
        <w:t>s</w:t>
      </w:r>
      <w:r>
        <w:t>173 agreements.</w:t>
      </w:r>
    </w:p>
    <w:p w:rsidR="00785416" w:rsidRDefault="001B7F78" w:rsidP="001B7F78">
      <w:pPr>
        <w:pStyle w:val="PPVBody"/>
      </w:pPr>
      <w:r>
        <w:t>Chapter 7.9 explores the various interpretations of the FAU scheme to incentivise the provision of social housing (not repeated here).  In this Chapter, the emphasis is on the effectiveness of the proposed targets and delivery mechanisms in achieving the desired affordable housing outcomes.</w:t>
      </w:r>
    </w:p>
    <w:p w:rsidR="001B7F78" w:rsidRPr="00020D23" w:rsidRDefault="001B7F78" w:rsidP="001B7F78">
      <w:pPr>
        <w:pStyle w:val="PPVBody"/>
      </w:pPr>
      <w:r w:rsidRPr="00020D23">
        <w:t xml:space="preserve">The key issues </w:t>
      </w:r>
      <w:r>
        <w:t xml:space="preserve">to be </w:t>
      </w:r>
      <w:r w:rsidRPr="00020D23">
        <w:t>addressed are:</w:t>
      </w:r>
    </w:p>
    <w:p w:rsidR="00785416" w:rsidRDefault="001B7F78" w:rsidP="001B7F78">
      <w:pPr>
        <w:pStyle w:val="PPVBullet1"/>
      </w:pPr>
      <w:r>
        <w:t>what is meant by affordable housing</w:t>
      </w:r>
    </w:p>
    <w:p w:rsidR="001B7F78" w:rsidRDefault="001B7F78" w:rsidP="001B7F78">
      <w:pPr>
        <w:pStyle w:val="PPVBullet1"/>
      </w:pPr>
      <w:r>
        <w:t>whether the target should apply to affordable housing or social housing</w:t>
      </w:r>
    </w:p>
    <w:p w:rsidR="001B7F78" w:rsidRDefault="001B7F78" w:rsidP="001B7F78">
      <w:pPr>
        <w:pStyle w:val="PPVBullet1"/>
      </w:pPr>
      <w:r>
        <w:t>whether affordable housing contributions should be voluntary or mandatory</w:t>
      </w:r>
    </w:p>
    <w:p w:rsidR="001B7F78" w:rsidRDefault="001B7F78" w:rsidP="001B7F78">
      <w:pPr>
        <w:pStyle w:val="PPVBullet1"/>
      </w:pPr>
      <w:r>
        <w:t>whether the proposed delivery mechanisms will be effective</w:t>
      </w:r>
    </w:p>
    <w:p w:rsidR="001B7F78" w:rsidRDefault="001B7F78" w:rsidP="001B7F78">
      <w:pPr>
        <w:pStyle w:val="PPVBullet1"/>
      </w:pPr>
      <w:r>
        <w:t>whether flexibility is needed in how affordable housing contributions are made.</w:t>
      </w:r>
    </w:p>
    <w:p w:rsidR="001B7F78" w:rsidRDefault="001B7F78" w:rsidP="001B7F78">
      <w:pPr>
        <w:pStyle w:val="Heading2"/>
      </w:pPr>
      <w:bookmarkStart w:id="358" w:name="_Toc519270994"/>
      <w:bookmarkStart w:id="359" w:name="_Toc519710280"/>
      <w:bookmarkStart w:id="360" w:name="_Toc519766840"/>
      <w:r>
        <w:t>What is meant by ‘affordable housing’?</w:t>
      </w:r>
      <w:bookmarkEnd w:id="358"/>
      <w:bookmarkEnd w:id="359"/>
      <w:bookmarkEnd w:id="360"/>
    </w:p>
    <w:p w:rsidR="001B7F78" w:rsidRDefault="001B7F78" w:rsidP="001B7F78">
      <w:pPr>
        <w:pStyle w:val="PPVBody"/>
      </w:pPr>
      <w:r>
        <w:t>References to ‘affordable housing’ and ‘social housing’ were used somewhat interchangeably in the draft Framework and the draft Amendment as exhibited.  This caused confusion during the Hearing.  The Review Panel adopts the definitions in section 3AA of the Act, noting that social housing is a sub</w:t>
      </w:r>
      <w:r w:rsidR="00346B0A">
        <w:t>set</w:t>
      </w:r>
      <w:r>
        <w:t xml:space="preserve"> of affordable housing:</w:t>
      </w:r>
    </w:p>
    <w:p w:rsidR="001B7F78" w:rsidRPr="001345D9" w:rsidRDefault="001B7F78" w:rsidP="001B7F78">
      <w:pPr>
        <w:pStyle w:val="PPVQuote"/>
        <w:keepNext/>
      </w:pPr>
      <w:bookmarkStart w:id="361" w:name="_Toc518634206"/>
      <w:r w:rsidRPr="002D1D6D">
        <w:rPr>
          <w:b/>
        </w:rPr>
        <w:lastRenderedPageBreak/>
        <w:t>3AA</w:t>
      </w:r>
      <w:r w:rsidRPr="002D1D6D">
        <w:rPr>
          <w:b/>
        </w:rPr>
        <w:tab/>
        <w:t>Meaning of affordable housing</w:t>
      </w:r>
      <w:bookmarkEnd w:id="361"/>
    </w:p>
    <w:p w:rsidR="001B7F78" w:rsidRDefault="001B7F78" w:rsidP="00785416">
      <w:pPr>
        <w:pStyle w:val="PPVQuote"/>
        <w:spacing w:before="60"/>
        <w:ind w:left="1701" w:hanging="850"/>
      </w:pPr>
      <w:r>
        <w:t>(1)</w:t>
      </w:r>
      <w:r w:rsidRPr="000164DA">
        <w:tab/>
        <w:t xml:space="preserve">For the purposes of this Act, </w:t>
      </w:r>
      <w:r w:rsidRPr="000164DA">
        <w:rPr>
          <w:b/>
        </w:rPr>
        <w:t>affordable housing</w:t>
      </w:r>
      <w:r w:rsidRPr="000164DA">
        <w:t xml:space="preserve"> is housing, including social housing, that is appropriate for the housing needs of any of the following</w:t>
      </w:r>
      <w:r>
        <w:t>:</w:t>
      </w:r>
    </w:p>
    <w:p w:rsidR="001B7F78" w:rsidRDefault="001B7F78" w:rsidP="00785416">
      <w:pPr>
        <w:pStyle w:val="PPVQuote"/>
        <w:spacing w:before="60"/>
        <w:ind w:left="1276"/>
      </w:pPr>
      <w:r>
        <w:tab/>
        <w:t>(a)</w:t>
      </w:r>
      <w:r>
        <w:tab/>
        <w:t>very low income households</w:t>
      </w:r>
    </w:p>
    <w:p w:rsidR="001B7F78" w:rsidRDefault="001B7F78" w:rsidP="00785416">
      <w:pPr>
        <w:pStyle w:val="PPVQuote"/>
        <w:spacing w:before="60"/>
        <w:ind w:left="1276"/>
      </w:pPr>
      <w:r>
        <w:tab/>
        <w:t>(b)</w:t>
      </w:r>
      <w:r>
        <w:tab/>
        <w:t>low income households</w:t>
      </w:r>
    </w:p>
    <w:p w:rsidR="001B7F78" w:rsidRDefault="001B7F78" w:rsidP="00785416">
      <w:pPr>
        <w:pStyle w:val="PPVQuote"/>
        <w:spacing w:before="60"/>
        <w:ind w:left="1276"/>
      </w:pPr>
      <w:r>
        <w:tab/>
        <w:t>(c)</w:t>
      </w:r>
      <w:r w:rsidRPr="000164DA">
        <w:tab/>
        <w:t>moderate income households.</w:t>
      </w:r>
    </w:p>
    <w:p w:rsidR="001B7F78" w:rsidRDefault="001B7F78" w:rsidP="001B7F78">
      <w:pPr>
        <w:pStyle w:val="PPVBody"/>
      </w:pPr>
      <w:r>
        <w:t>Section 3AA(4) defined social housing as having the same meaning as in s</w:t>
      </w:r>
      <w:r w:rsidRPr="002D1D6D">
        <w:rPr>
          <w:rFonts w:eastAsia="Times"/>
          <w:i/>
        </w:rPr>
        <w:t xml:space="preserve">ection 4(1) of </w:t>
      </w:r>
      <w:r>
        <w:t xml:space="preserve">the </w:t>
      </w:r>
      <w:r w:rsidRPr="00BD7CBF">
        <w:rPr>
          <w:i/>
        </w:rPr>
        <w:t xml:space="preserve">Housing </w:t>
      </w:r>
      <w:r w:rsidRPr="007F043A">
        <w:rPr>
          <w:i/>
        </w:rPr>
        <w:t>Act 1983</w:t>
      </w:r>
      <w:r>
        <w:t>:</w:t>
      </w:r>
    </w:p>
    <w:p w:rsidR="001B7F78" w:rsidRPr="00BD7CBF" w:rsidRDefault="001B7F78" w:rsidP="00785416">
      <w:pPr>
        <w:pStyle w:val="PPVQuote"/>
        <w:spacing w:before="60"/>
      </w:pPr>
      <w:r w:rsidRPr="00D24A66">
        <w:rPr>
          <w:b/>
        </w:rPr>
        <w:t xml:space="preserve">social housing </w:t>
      </w:r>
      <w:r w:rsidRPr="00BD7CBF">
        <w:t>means</w:t>
      </w:r>
      <w:r>
        <w:t>:</w:t>
      </w:r>
    </w:p>
    <w:p w:rsidR="001B7F78" w:rsidRPr="00BD7CBF" w:rsidRDefault="001B7F78" w:rsidP="00785416">
      <w:pPr>
        <w:pStyle w:val="PPVQuote"/>
        <w:spacing w:before="60"/>
        <w:ind w:left="1134" w:hanging="283"/>
      </w:pPr>
      <w:r w:rsidRPr="00BD7CBF">
        <w:t>(a)</w:t>
      </w:r>
      <w:r>
        <w:tab/>
      </w:r>
      <w:r>
        <w:tab/>
      </w:r>
      <w:r w:rsidRPr="00BD7CBF">
        <w:t>public housing; and</w:t>
      </w:r>
    </w:p>
    <w:p w:rsidR="001B7F78" w:rsidRPr="00BD7CBF" w:rsidRDefault="001B7F78" w:rsidP="00785416">
      <w:pPr>
        <w:pStyle w:val="PPVQuote"/>
        <w:spacing w:before="60"/>
        <w:ind w:left="1701" w:hanging="850"/>
      </w:pPr>
      <w:r w:rsidRPr="00BD7CBF">
        <w:t>(b)</w:t>
      </w:r>
      <w:r>
        <w:tab/>
      </w:r>
      <w:r w:rsidRPr="00BD7CBF">
        <w:t>housing owned, controlled or managed by a participating registered agency</w:t>
      </w:r>
      <w:r>
        <w:t>.</w:t>
      </w:r>
    </w:p>
    <w:p w:rsidR="001B7F78" w:rsidRDefault="001B7F78" w:rsidP="001B7F78">
      <w:pPr>
        <w:pStyle w:val="Heading2"/>
      </w:pPr>
      <w:bookmarkStart w:id="362" w:name="_Toc519270995"/>
      <w:bookmarkStart w:id="363" w:name="_Toc519710281"/>
      <w:bookmarkStart w:id="364" w:name="_Toc519766841"/>
      <w:r>
        <w:t>Target, and what it applies to</w:t>
      </w:r>
      <w:bookmarkEnd w:id="362"/>
      <w:bookmarkEnd w:id="363"/>
      <w:bookmarkEnd w:id="364"/>
    </w:p>
    <w:p w:rsidR="001B7F78" w:rsidRDefault="001B7F78" w:rsidP="001B7F78">
      <w:pPr>
        <w:pStyle w:val="Heading4"/>
      </w:pPr>
      <w:r>
        <w:t>Submissions and evidence</w:t>
      </w:r>
    </w:p>
    <w:p w:rsidR="001B7F78" w:rsidRDefault="001B7F78" w:rsidP="001B7F78">
      <w:pPr>
        <w:pStyle w:val="PPVBody"/>
      </w:pPr>
      <w:r>
        <w:t xml:space="preserve">Views varied on the appropriate affordable housing target, as summarised </w:t>
      </w:r>
      <w:r w:rsidRPr="00495E9C">
        <w:t xml:space="preserve">in </w:t>
      </w:r>
      <w:r w:rsidR="000E0848">
        <w:fldChar w:fldCharType="begin"/>
      </w:r>
      <w:r w:rsidR="000E0848">
        <w:instrText xml:space="preserve"> REF _Ref519718681 \h </w:instrText>
      </w:r>
      <w:r w:rsidR="000E0848">
        <w:fldChar w:fldCharType="separate"/>
      </w:r>
      <w:r w:rsidR="00A307EC" w:rsidRPr="00A07B71">
        <w:t xml:space="preserve">Table </w:t>
      </w:r>
      <w:r w:rsidR="00A307EC">
        <w:rPr>
          <w:noProof/>
        </w:rPr>
        <w:t>18</w:t>
      </w:r>
      <w:r w:rsidR="000E0848">
        <w:fldChar w:fldCharType="end"/>
      </w:r>
      <w:r w:rsidRPr="00495E9C">
        <w:t>.</w:t>
      </w:r>
    </w:p>
    <w:p w:rsidR="001B7F78" w:rsidRPr="00A07B71" w:rsidRDefault="001B7F78" w:rsidP="001B7F78">
      <w:pPr>
        <w:pStyle w:val="Caption"/>
        <w:rPr>
          <w:b w:val="0"/>
        </w:rPr>
      </w:pPr>
      <w:bookmarkStart w:id="365" w:name="_Ref519718681"/>
      <w:bookmarkStart w:id="366" w:name="_Toc519271077"/>
      <w:bookmarkStart w:id="367" w:name="_Toc519719143"/>
      <w:bookmarkStart w:id="368" w:name="_Toc519710366"/>
      <w:r w:rsidRPr="00A07B71">
        <w:t xml:space="preserve">Table </w:t>
      </w:r>
      <w:r>
        <w:rPr>
          <w:noProof/>
        </w:rPr>
        <w:fldChar w:fldCharType="begin"/>
      </w:r>
      <w:r>
        <w:rPr>
          <w:noProof/>
        </w:rPr>
        <w:instrText xml:space="preserve"> SEQ Table \* ARABIC </w:instrText>
      </w:r>
      <w:r>
        <w:rPr>
          <w:noProof/>
        </w:rPr>
        <w:fldChar w:fldCharType="separate"/>
      </w:r>
      <w:r w:rsidR="00A307EC">
        <w:rPr>
          <w:noProof/>
        </w:rPr>
        <w:t>18</w:t>
      </w:r>
      <w:r>
        <w:rPr>
          <w:noProof/>
        </w:rPr>
        <w:fldChar w:fldCharType="end"/>
      </w:r>
      <w:bookmarkEnd w:id="365"/>
      <w:r w:rsidRPr="00A07B71">
        <w:t>:</w:t>
      </w:r>
      <w:r w:rsidRPr="00A07B71">
        <w:tab/>
        <w:t>Affordable housing targets</w:t>
      </w:r>
      <w:bookmarkEnd w:id="366"/>
      <w:bookmarkEnd w:id="367"/>
      <w:bookmarkEnd w:id="368"/>
    </w:p>
    <w:tbl>
      <w:tblPr>
        <w:tblW w:w="9180" w:type="dxa"/>
        <w:tblBorders>
          <w:bottom w:val="single" w:sz="12" w:space="0" w:color="215868"/>
          <w:insideH w:val="dotted" w:sz="4" w:space="0" w:color="auto"/>
        </w:tblBorders>
        <w:tblLayout w:type="fixed"/>
        <w:tblLook w:val="04A0" w:firstRow="1" w:lastRow="0" w:firstColumn="1" w:lastColumn="0" w:noHBand="0" w:noVBand="1"/>
      </w:tblPr>
      <w:tblGrid>
        <w:gridCol w:w="2518"/>
        <w:gridCol w:w="1985"/>
        <w:gridCol w:w="4677"/>
      </w:tblGrid>
      <w:tr w:rsidR="001B7F78" w:rsidRPr="00FA7FC4" w:rsidTr="001B7F78">
        <w:trPr>
          <w:cantSplit/>
          <w:tblHeader/>
        </w:trPr>
        <w:tc>
          <w:tcPr>
            <w:tcW w:w="2518" w:type="dxa"/>
            <w:tcBorders>
              <w:top w:val="nil"/>
              <w:bottom w:val="dotted" w:sz="4" w:space="0" w:color="auto"/>
            </w:tcBorders>
            <w:shd w:val="clear" w:color="auto" w:fill="215868"/>
            <w:vAlign w:val="bottom"/>
          </w:tcPr>
          <w:p w:rsidR="001B7F78" w:rsidRPr="006A0F3A" w:rsidRDefault="001B7F78" w:rsidP="00FC2F90">
            <w:pPr>
              <w:pStyle w:val="PPVTableHeader"/>
              <w:rPr>
                <w:szCs w:val="20"/>
              </w:rPr>
            </w:pPr>
            <w:r w:rsidRPr="006A0F3A">
              <w:rPr>
                <w:szCs w:val="20"/>
              </w:rPr>
              <w:t>Party</w:t>
            </w:r>
          </w:p>
        </w:tc>
        <w:tc>
          <w:tcPr>
            <w:tcW w:w="1985" w:type="dxa"/>
            <w:tcBorders>
              <w:top w:val="nil"/>
              <w:bottom w:val="dotted" w:sz="4" w:space="0" w:color="auto"/>
            </w:tcBorders>
            <w:shd w:val="clear" w:color="auto" w:fill="215868"/>
            <w:vAlign w:val="bottom"/>
          </w:tcPr>
          <w:p w:rsidR="001B7F78" w:rsidRPr="006A0F3A" w:rsidRDefault="001B7F78" w:rsidP="00FC2F90">
            <w:pPr>
              <w:pStyle w:val="PPVTableHeader"/>
              <w:rPr>
                <w:szCs w:val="20"/>
              </w:rPr>
            </w:pPr>
            <w:r w:rsidRPr="006A0F3A">
              <w:rPr>
                <w:szCs w:val="20"/>
              </w:rPr>
              <w:t>Target</w:t>
            </w:r>
          </w:p>
        </w:tc>
        <w:tc>
          <w:tcPr>
            <w:tcW w:w="4677" w:type="dxa"/>
            <w:tcBorders>
              <w:top w:val="nil"/>
              <w:bottom w:val="dotted" w:sz="4" w:space="0" w:color="auto"/>
            </w:tcBorders>
            <w:shd w:val="clear" w:color="auto" w:fill="215868"/>
            <w:vAlign w:val="bottom"/>
          </w:tcPr>
          <w:p w:rsidR="001B7F78" w:rsidRPr="006A0F3A" w:rsidRDefault="001B7F78" w:rsidP="00FC2F90">
            <w:pPr>
              <w:pStyle w:val="PPVTableHeader"/>
              <w:rPr>
                <w:szCs w:val="20"/>
              </w:rPr>
            </w:pPr>
            <w:r w:rsidRPr="006A0F3A">
              <w:rPr>
                <w:szCs w:val="20"/>
              </w:rPr>
              <w:t>Target applies to</w:t>
            </w:r>
          </w:p>
        </w:tc>
      </w:tr>
      <w:tr w:rsidR="001B7F78" w:rsidRPr="00FA7FC4" w:rsidTr="001B7F78">
        <w:trPr>
          <w:cantSplit/>
        </w:trPr>
        <w:tc>
          <w:tcPr>
            <w:tcW w:w="2518" w:type="dxa"/>
            <w:tcBorders>
              <w:top w:val="dotted" w:sz="4" w:space="0" w:color="auto"/>
            </w:tcBorders>
            <w:shd w:val="clear" w:color="auto" w:fill="auto"/>
          </w:tcPr>
          <w:p w:rsidR="001B7F78" w:rsidRPr="00A76BF2" w:rsidRDefault="001B7F78" w:rsidP="00FC2F90">
            <w:pPr>
              <w:pStyle w:val="PPVTableText"/>
              <w:rPr>
                <w:szCs w:val="20"/>
              </w:rPr>
            </w:pPr>
            <w:r w:rsidRPr="00A76BF2">
              <w:rPr>
                <w:szCs w:val="20"/>
              </w:rPr>
              <w:t>Minister</w:t>
            </w:r>
          </w:p>
        </w:tc>
        <w:tc>
          <w:tcPr>
            <w:tcW w:w="1985" w:type="dxa"/>
            <w:tcBorders>
              <w:top w:val="dotted" w:sz="4" w:space="0" w:color="auto"/>
            </w:tcBorders>
            <w:shd w:val="clear" w:color="auto" w:fill="auto"/>
          </w:tcPr>
          <w:p w:rsidR="001B7F78" w:rsidRPr="00A76BF2" w:rsidRDefault="001B7F78" w:rsidP="00FC2F90">
            <w:pPr>
              <w:pStyle w:val="PPVTableText"/>
              <w:rPr>
                <w:szCs w:val="20"/>
              </w:rPr>
            </w:pPr>
            <w:r>
              <w:rPr>
                <w:szCs w:val="20"/>
              </w:rPr>
              <w:t>six</w:t>
            </w:r>
            <w:r w:rsidRPr="00A76BF2">
              <w:rPr>
                <w:szCs w:val="20"/>
              </w:rPr>
              <w:t xml:space="preserve"> per cent</w:t>
            </w:r>
          </w:p>
        </w:tc>
        <w:tc>
          <w:tcPr>
            <w:tcW w:w="4677" w:type="dxa"/>
            <w:tcBorders>
              <w:top w:val="dotted" w:sz="4" w:space="0" w:color="auto"/>
            </w:tcBorders>
            <w:shd w:val="clear" w:color="auto" w:fill="auto"/>
          </w:tcPr>
          <w:p w:rsidR="001B7F78" w:rsidRPr="00A76BF2" w:rsidRDefault="00312E12" w:rsidP="001B7F78">
            <w:pPr>
              <w:pStyle w:val="PPVTableText"/>
              <w:ind w:right="455"/>
              <w:rPr>
                <w:szCs w:val="20"/>
              </w:rPr>
            </w:pPr>
            <w:r>
              <w:rPr>
                <w:szCs w:val="20"/>
              </w:rPr>
              <w:t xml:space="preserve">draft </w:t>
            </w:r>
            <w:r w:rsidR="001B7F78" w:rsidRPr="00A76BF2">
              <w:rPr>
                <w:szCs w:val="20"/>
              </w:rPr>
              <w:t>Framework and Clause 22.</w:t>
            </w:r>
            <w:r w:rsidR="001B7F78">
              <w:rPr>
                <w:szCs w:val="20"/>
              </w:rPr>
              <w:t>XX</w:t>
            </w:r>
            <w:r w:rsidR="001B7F78" w:rsidRPr="00A76BF2">
              <w:rPr>
                <w:szCs w:val="20"/>
              </w:rPr>
              <w:t xml:space="preserve"> refer to a target of </w:t>
            </w:r>
            <w:r w:rsidR="001B7F78">
              <w:rPr>
                <w:szCs w:val="20"/>
              </w:rPr>
              <w:t>six</w:t>
            </w:r>
            <w:r w:rsidR="001B7F78" w:rsidRPr="00A76BF2">
              <w:rPr>
                <w:szCs w:val="20"/>
              </w:rPr>
              <w:t xml:space="preserve"> per cent </w:t>
            </w:r>
            <w:r w:rsidR="001B7F78" w:rsidRPr="00A76BF2">
              <w:rPr>
                <w:i/>
                <w:szCs w:val="20"/>
              </w:rPr>
              <w:t>affordable</w:t>
            </w:r>
            <w:r w:rsidR="001B7F78" w:rsidRPr="00A76BF2">
              <w:rPr>
                <w:szCs w:val="20"/>
              </w:rPr>
              <w:t xml:space="preserve"> housing.  Minister’s closing submission (D350) and SIN 20 (D351) refer to </w:t>
            </w:r>
            <w:r w:rsidR="001B7F78">
              <w:rPr>
                <w:szCs w:val="20"/>
              </w:rPr>
              <w:t>six</w:t>
            </w:r>
            <w:r w:rsidR="001B7F78" w:rsidRPr="00A76BF2">
              <w:rPr>
                <w:szCs w:val="20"/>
              </w:rPr>
              <w:t xml:space="preserve"> per cent </w:t>
            </w:r>
            <w:r w:rsidR="001B7F78" w:rsidRPr="00A76BF2">
              <w:rPr>
                <w:i/>
                <w:szCs w:val="20"/>
              </w:rPr>
              <w:t>social</w:t>
            </w:r>
            <w:r w:rsidR="001B7F78" w:rsidRPr="00A76BF2">
              <w:rPr>
                <w:szCs w:val="20"/>
              </w:rPr>
              <w:t xml:space="preserve"> housing being delive</w:t>
            </w:r>
            <w:r w:rsidR="001B7F78">
              <w:rPr>
                <w:szCs w:val="20"/>
              </w:rPr>
              <w:t>red through FAU</w:t>
            </w:r>
            <w:r w:rsidR="001B7F78" w:rsidRPr="00A76BF2">
              <w:rPr>
                <w:szCs w:val="20"/>
              </w:rPr>
              <w:t xml:space="preserve"> </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Melbourne</w:t>
            </w:r>
          </w:p>
        </w:tc>
        <w:tc>
          <w:tcPr>
            <w:tcW w:w="1985" w:type="dxa"/>
            <w:shd w:val="clear" w:color="auto" w:fill="auto"/>
          </w:tcPr>
          <w:p w:rsidR="001B7F78" w:rsidRPr="00A76BF2" w:rsidRDefault="001B7F78" w:rsidP="00FC2F90">
            <w:pPr>
              <w:pStyle w:val="PPVTableText"/>
              <w:rPr>
                <w:szCs w:val="20"/>
              </w:rPr>
            </w:pPr>
            <w:r w:rsidRPr="00A76BF2">
              <w:rPr>
                <w:szCs w:val="20"/>
              </w:rPr>
              <w:t xml:space="preserve">15 per cent overall, </w:t>
            </w:r>
            <w:r>
              <w:rPr>
                <w:szCs w:val="20"/>
              </w:rPr>
              <w:t xml:space="preserve">six </w:t>
            </w:r>
            <w:r w:rsidRPr="00A76BF2">
              <w:rPr>
                <w:szCs w:val="20"/>
              </w:rPr>
              <w:t xml:space="preserve">per cent per </w:t>
            </w:r>
            <w:r w:rsidR="00EE531A">
              <w:rPr>
                <w:szCs w:val="20"/>
              </w:rPr>
              <w:t>P</w:t>
            </w:r>
            <w:r w:rsidRPr="00A76BF2">
              <w:rPr>
                <w:szCs w:val="20"/>
              </w:rPr>
              <w:t>recinct</w:t>
            </w:r>
          </w:p>
        </w:tc>
        <w:tc>
          <w:tcPr>
            <w:tcW w:w="4677" w:type="dxa"/>
            <w:shd w:val="clear" w:color="auto" w:fill="auto"/>
          </w:tcPr>
          <w:p w:rsidR="001B7F78" w:rsidRPr="00A76BF2" w:rsidRDefault="001B7F78" w:rsidP="00FC2F90">
            <w:pPr>
              <w:pStyle w:val="PPVTableText"/>
              <w:rPr>
                <w:szCs w:val="20"/>
              </w:rPr>
            </w:pPr>
            <w:r w:rsidRPr="00A76BF2">
              <w:rPr>
                <w:i/>
                <w:szCs w:val="20"/>
              </w:rPr>
              <w:t>Affordable</w:t>
            </w:r>
            <w:r w:rsidRPr="00A76BF2">
              <w:rPr>
                <w:szCs w:val="20"/>
              </w:rPr>
              <w:t xml:space="preserve"> housing, including an unspecified proportion of </w:t>
            </w:r>
            <w:r w:rsidRPr="00A76BF2">
              <w:rPr>
                <w:i/>
                <w:szCs w:val="20"/>
              </w:rPr>
              <w:t>social</w:t>
            </w:r>
            <w:r>
              <w:rPr>
                <w:szCs w:val="20"/>
              </w:rPr>
              <w:t xml:space="preserve"> housing</w:t>
            </w:r>
            <w:r w:rsidRPr="00A76BF2">
              <w:rPr>
                <w:szCs w:val="20"/>
              </w:rPr>
              <w:t xml:space="preserve">  </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Port Phillip</w:t>
            </w:r>
          </w:p>
        </w:tc>
        <w:tc>
          <w:tcPr>
            <w:tcW w:w="1985" w:type="dxa"/>
            <w:shd w:val="clear" w:color="auto" w:fill="auto"/>
          </w:tcPr>
          <w:p w:rsidR="001B7F78" w:rsidRPr="00A76BF2" w:rsidRDefault="001B7F78" w:rsidP="00FC2F90">
            <w:pPr>
              <w:pStyle w:val="PPVTableText"/>
              <w:rPr>
                <w:szCs w:val="20"/>
              </w:rPr>
            </w:pPr>
            <w:r w:rsidRPr="00A76BF2">
              <w:rPr>
                <w:szCs w:val="20"/>
              </w:rPr>
              <w:t xml:space="preserve">20 per cent </w:t>
            </w:r>
          </w:p>
        </w:tc>
        <w:tc>
          <w:tcPr>
            <w:tcW w:w="4677" w:type="dxa"/>
            <w:shd w:val="clear" w:color="auto" w:fill="auto"/>
          </w:tcPr>
          <w:p w:rsidR="001B7F78" w:rsidRPr="00A76BF2" w:rsidRDefault="001B7F78" w:rsidP="00FC2F90">
            <w:pPr>
              <w:pStyle w:val="PPVTableText"/>
              <w:rPr>
                <w:szCs w:val="20"/>
              </w:rPr>
            </w:pPr>
            <w:r w:rsidRPr="00A76BF2">
              <w:rPr>
                <w:szCs w:val="20"/>
              </w:rPr>
              <w:t xml:space="preserve">20 per cent </w:t>
            </w:r>
            <w:r w:rsidRPr="00A76BF2">
              <w:rPr>
                <w:i/>
                <w:szCs w:val="20"/>
              </w:rPr>
              <w:t>affordable</w:t>
            </w:r>
            <w:r w:rsidRPr="00A76BF2">
              <w:rPr>
                <w:szCs w:val="20"/>
              </w:rPr>
              <w:t xml:space="preserve"> housing, including </w:t>
            </w:r>
            <w:r>
              <w:rPr>
                <w:szCs w:val="20"/>
              </w:rPr>
              <w:t>six</w:t>
            </w:r>
            <w:r w:rsidRPr="00A76BF2">
              <w:rPr>
                <w:szCs w:val="20"/>
              </w:rPr>
              <w:t xml:space="preserve"> per cent </w:t>
            </w:r>
            <w:r w:rsidRPr="00A76BF2">
              <w:rPr>
                <w:i/>
                <w:szCs w:val="20"/>
              </w:rPr>
              <w:t>social</w:t>
            </w:r>
            <w:r>
              <w:rPr>
                <w:szCs w:val="20"/>
              </w:rPr>
              <w:t xml:space="preserve"> housing</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Dr Spiller</w:t>
            </w:r>
          </w:p>
        </w:tc>
        <w:tc>
          <w:tcPr>
            <w:tcW w:w="1985" w:type="dxa"/>
            <w:shd w:val="clear" w:color="auto" w:fill="auto"/>
          </w:tcPr>
          <w:p w:rsidR="001B7F78" w:rsidRPr="00A76BF2" w:rsidRDefault="001B7F78" w:rsidP="00FC2F90">
            <w:pPr>
              <w:pStyle w:val="PPVTableText"/>
              <w:rPr>
                <w:szCs w:val="20"/>
              </w:rPr>
            </w:pPr>
            <w:r w:rsidRPr="00A76BF2">
              <w:rPr>
                <w:szCs w:val="20"/>
              </w:rPr>
              <w:t>20 per cent</w:t>
            </w:r>
          </w:p>
        </w:tc>
        <w:tc>
          <w:tcPr>
            <w:tcW w:w="4677" w:type="dxa"/>
            <w:shd w:val="clear" w:color="auto" w:fill="auto"/>
          </w:tcPr>
          <w:p w:rsidR="001B7F78" w:rsidRPr="00A76BF2" w:rsidRDefault="001B7F78" w:rsidP="00FC2F90">
            <w:pPr>
              <w:pStyle w:val="PPVTableText"/>
              <w:rPr>
                <w:szCs w:val="20"/>
              </w:rPr>
            </w:pPr>
            <w:r w:rsidRPr="00A76BF2">
              <w:rPr>
                <w:szCs w:val="20"/>
              </w:rPr>
              <w:t xml:space="preserve">10 per cent </w:t>
            </w:r>
            <w:r w:rsidRPr="00A76BF2">
              <w:rPr>
                <w:i/>
                <w:szCs w:val="20"/>
              </w:rPr>
              <w:t>social</w:t>
            </w:r>
            <w:r w:rsidRPr="00A76BF2">
              <w:rPr>
                <w:szCs w:val="20"/>
              </w:rPr>
              <w:t xml:space="preserve"> housing, 10 per cent </w:t>
            </w:r>
            <w:r w:rsidRPr="00A76BF2">
              <w:rPr>
                <w:i/>
                <w:szCs w:val="20"/>
              </w:rPr>
              <w:t>affordable</w:t>
            </w:r>
            <w:r>
              <w:rPr>
                <w:szCs w:val="20"/>
              </w:rPr>
              <w:t xml:space="preserve"> housing for key workers</w:t>
            </w:r>
            <w:r w:rsidRPr="00A76BF2">
              <w:rPr>
                <w:szCs w:val="20"/>
              </w:rPr>
              <w:t xml:space="preserve">  </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 xml:space="preserve">Fishermans Bend MAC </w:t>
            </w:r>
          </w:p>
        </w:tc>
        <w:tc>
          <w:tcPr>
            <w:tcW w:w="1985" w:type="dxa"/>
            <w:shd w:val="clear" w:color="auto" w:fill="auto"/>
          </w:tcPr>
          <w:p w:rsidR="001B7F78" w:rsidRPr="00A76BF2" w:rsidRDefault="001B7F78" w:rsidP="00FC2F90">
            <w:pPr>
              <w:pStyle w:val="PPVTableText"/>
              <w:rPr>
                <w:szCs w:val="20"/>
              </w:rPr>
            </w:pPr>
            <w:r w:rsidRPr="00A76BF2">
              <w:rPr>
                <w:szCs w:val="20"/>
              </w:rPr>
              <w:t>10 per cent</w:t>
            </w:r>
          </w:p>
        </w:tc>
        <w:tc>
          <w:tcPr>
            <w:tcW w:w="4677" w:type="dxa"/>
            <w:shd w:val="clear" w:color="auto" w:fill="auto"/>
          </w:tcPr>
          <w:p w:rsidR="001B7F78" w:rsidRPr="00A76BF2" w:rsidRDefault="001B7F78" w:rsidP="00FC2F90">
            <w:pPr>
              <w:pStyle w:val="PPVTableText"/>
              <w:rPr>
                <w:szCs w:val="20"/>
              </w:rPr>
            </w:pPr>
            <w:r w:rsidRPr="00A76BF2">
              <w:rPr>
                <w:i/>
                <w:szCs w:val="20"/>
              </w:rPr>
              <w:t>Affordable</w:t>
            </w:r>
            <w:r>
              <w:rPr>
                <w:szCs w:val="20"/>
              </w:rPr>
              <w:t xml:space="preserve"> housing</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Fishermans Bend Network (S125)</w:t>
            </w:r>
          </w:p>
        </w:tc>
        <w:tc>
          <w:tcPr>
            <w:tcW w:w="1985" w:type="dxa"/>
            <w:shd w:val="clear" w:color="auto" w:fill="auto"/>
          </w:tcPr>
          <w:p w:rsidR="001B7F78" w:rsidRPr="00A76BF2" w:rsidRDefault="001B7F78" w:rsidP="00FC2F90">
            <w:pPr>
              <w:pStyle w:val="PPVTableText"/>
              <w:rPr>
                <w:szCs w:val="20"/>
              </w:rPr>
            </w:pPr>
            <w:r w:rsidRPr="00A76BF2">
              <w:rPr>
                <w:szCs w:val="20"/>
              </w:rPr>
              <w:t>15 per cent</w:t>
            </w:r>
          </w:p>
        </w:tc>
        <w:tc>
          <w:tcPr>
            <w:tcW w:w="4677" w:type="dxa"/>
            <w:shd w:val="clear" w:color="auto" w:fill="auto"/>
          </w:tcPr>
          <w:p w:rsidR="001B7F78" w:rsidRPr="00A76BF2" w:rsidRDefault="001B7F78" w:rsidP="00FC2F90">
            <w:pPr>
              <w:pStyle w:val="PPVTableText"/>
              <w:rPr>
                <w:szCs w:val="20"/>
              </w:rPr>
            </w:pPr>
            <w:r w:rsidRPr="00A76BF2">
              <w:rPr>
                <w:szCs w:val="20"/>
              </w:rPr>
              <w:t xml:space="preserve">15 per cent </w:t>
            </w:r>
            <w:r w:rsidRPr="00A76BF2">
              <w:rPr>
                <w:i/>
                <w:szCs w:val="20"/>
              </w:rPr>
              <w:t>affordable</w:t>
            </w:r>
            <w:r w:rsidRPr="00A76BF2">
              <w:rPr>
                <w:szCs w:val="20"/>
              </w:rPr>
              <w:t xml:space="preserve"> housing, including </w:t>
            </w:r>
            <w:r w:rsidR="00E4408E">
              <w:rPr>
                <w:szCs w:val="20"/>
              </w:rPr>
              <w:t>six</w:t>
            </w:r>
            <w:r w:rsidRPr="00A76BF2">
              <w:rPr>
                <w:szCs w:val="20"/>
              </w:rPr>
              <w:t xml:space="preserve"> per cent </w:t>
            </w:r>
            <w:r w:rsidRPr="00A76BF2">
              <w:rPr>
                <w:i/>
                <w:szCs w:val="20"/>
              </w:rPr>
              <w:t>social</w:t>
            </w:r>
            <w:r w:rsidRPr="00A76BF2">
              <w:rPr>
                <w:szCs w:val="20"/>
              </w:rPr>
              <w:t xml:space="preserve"> hous</w:t>
            </w:r>
            <w:r>
              <w:rPr>
                <w:szCs w:val="20"/>
              </w:rPr>
              <w:t>ing</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South Port Community Housing Group (S142)</w:t>
            </w:r>
          </w:p>
        </w:tc>
        <w:tc>
          <w:tcPr>
            <w:tcW w:w="1985" w:type="dxa"/>
            <w:shd w:val="clear" w:color="auto" w:fill="auto"/>
          </w:tcPr>
          <w:p w:rsidR="001B7F78" w:rsidRPr="00A76BF2" w:rsidRDefault="001B7F78" w:rsidP="00FC2F90">
            <w:pPr>
              <w:pStyle w:val="PPVTableText"/>
              <w:rPr>
                <w:szCs w:val="20"/>
              </w:rPr>
            </w:pPr>
            <w:r w:rsidRPr="00A76BF2">
              <w:rPr>
                <w:szCs w:val="20"/>
              </w:rPr>
              <w:t>20 per cent</w:t>
            </w:r>
          </w:p>
        </w:tc>
        <w:tc>
          <w:tcPr>
            <w:tcW w:w="4677" w:type="dxa"/>
            <w:shd w:val="clear" w:color="auto" w:fill="auto"/>
          </w:tcPr>
          <w:p w:rsidR="001B7F78" w:rsidRPr="00A76BF2" w:rsidRDefault="001B7F78" w:rsidP="00FC2F90">
            <w:pPr>
              <w:pStyle w:val="PPVTableText"/>
              <w:rPr>
                <w:szCs w:val="20"/>
              </w:rPr>
            </w:pPr>
            <w:r w:rsidRPr="00A76BF2">
              <w:rPr>
                <w:szCs w:val="20"/>
              </w:rPr>
              <w:t xml:space="preserve">20 per cent </w:t>
            </w:r>
            <w:r w:rsidRPr="00A76BF2">
              <w:rPr>
                <w:i/>
                <w:szCs w:val="20"/>
              </w:rPr>
              <w:t>affordable</w:t>
            </w:r>
            <w:r w:rsidRPr="00A76BF2">
              <w:rPr>
                <w:szCs w:val="20"/>
              </w:rPr>
              <w:t xml:space="preserve"> housing, including 10 per cent </w:t>
            </w:r>
            <w:r w:rsidRPr="00A76BF2">
              <w:rPr>
                <w:i/>
                <w:szCs w:val="20"/>
              </w:rPr>
              <w:t>social</w:t>
            </w:r>
            <w:r>
              <w:rPr>
                <w:szCs w:val="20"/>
              </w:rPr>
              <w:t xml:space="preserve"> housing</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Pr>
                <w:szCs w:val="20"/>
              </w:rPr>
              <w:t>Star</w:t>
            </w:r>
            <w:r w:rsidRPr="00A76BF2">
              <w:rPr>
                <w:szCs w:val="20"/>
              </w:rPr>
              <w:t xml:space="preserve"> Health (S247)</w:t>
            </w:r>
          </w:p>
        </w:tc>
        <w:tc>
          <w:tcPr>
            <w:tcW w:w="1985" w:type="dxa"/>
            <w:shd w:val="clear" w:color="auto" w:fill="auto"/>
          </w:tcPr>
          <w:p w:rsidR="001B7F78" w:rsidRPr="00A76BF2" w:rsidRDefault="001B7F78" w:rsidP="00FC2F90">
            <w:pPr>
              <w:pStyle w:val="PPVTableText"/>
              <w:rPr>
                <w:szCs w:val="20"/>
              </w:rPr>
            </w:pPr>
            <w:r w:rsidRPr="00A76BF2">
              <w:rPr>
                <w:szCs w:val="20"/>
              </w:rPr>
              <w:t>20 per cent</w:t>
            </w:r>
          </w:p>
        </w:tc>
        <w:tc>
          <w:tcPr>
            <w:tcW w:w="4677" w:type="dxa"/>
            <w:shd w:val="clear" w:color="auto" w:fill="auto"/>
          </w:tcPr>
          <w:p w:rsidR="001B7F78" w:rsidRPr="00A76BF2" w:rsidRDefault="001B7F78" w:rsidP="00FC2F90">
            <w:pPr>
              <w:pStyle w:val="PPVTableText"/>
              <w:rPr>
                <w:szCs w:val="20"/>
              </w:rPr>
            </w:pPr>
            <w:r w:rsidRPr="00A76BF2">
              <w:rPr>
                <w:i/>
                <w:szCs w:val="20"/>
              </w:rPr>
              <w:t>Social</w:t>
            </w:r>
            <w:r w:rsidRPr="00A76BF2">
              <w:rPr>
                <w:szCs w:val="20"/>
              </w:rPr>
              <w:t xml:space="preserve"> and </w:t>
            </w:r>
            <w:r w:rsidRPr="00A76BF2">
              <w:rPr>
                <w:i/>
                <w:szCs w:val="20"/>
              </w:rPr>
              <w:t>public</w:t>
            </w:r>
            <w:r>
              <w:rPr>
                <w:szCs w:val="20"/>
              </w:rPr>
              <w:t xml:space="preserve"> housing</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UnChain Port Phillip Inc</w:t>
            </w:r>
            <w:r>
              <w:rPr>
                <w:szCs w:val="20"/>
              </w:rPr>
              <w:t>.</w:t>
            </w:r>
            <w:r w:rsidRPr="00A76BF2">
              <w:rPr>
                <w:szCs w:val="20"/>
              </w:rPr>
              <w:t xml:space="preserve"> (S64)</w:t>
            </w:r>
          </w:p>
        </w:tc>
        <w:tc>
          <w:tcPr>
            <w:tcW w:w="1985" w:type="dxa"/>
            <w:shd w:val="clear" w:color="auto" w:fill="auto"/>
          </w:tcPr>
          <w:p w:rsidR="001B7F78" w:rsidRPr="00A76BF2" w:rsidRDefault="001B7F78" w:rsidP="00FC2F90">
            <w:pPr>
              <w:pStyle w:val="PPVTableText"/>
              <w:rPr>
                <w:szCs w:val="20"/>
              </w:rPr>
            </w:pPr>
            <w:r w:rsidRPr="00A76BF2">
              <w:rPr>
                <w:szCs w:val="20"/>
              </w:rPr>
              <w:t>20 per cent</w:t>
            </w:r>
          </w:p>
        </w:tc>
        <w:tc>
          <w:tcPr>
            <w:tcW w:w="4677" w:type="dxa"/>
            <w:shd w:val="clear" w:color="auto" w:fill="auto"/>
          </w:tcPr>
          <w:p w:rsidR="001B7F78" w:rsidRPr="00A76BF2" w:rsidRDefault="001B7F78" w:rsidP="00FC2F90">
            <w:pPr>
              <w:pStyle w:val="PPVTableText"/>
              <w:rPr>
                <w:szCs w:val="20"/>
              </w:rPr>
            </w:pPr>
            <w:r w:rsidRPr="00A76BF2">
              <w:rPr>
                <w:szCs w:val="20"/>
              </w:rPr>
              <w:t xml:space="preserve">14 per cent </w:t>
            </w:r>
            <w:r w:rsidRPr="00A76BF2">
              <w:rPr>
                <w:i/>
                <w:szCs w:val="20"/>
              </w:rPr>
              <w:t>affordable</w:t>
            </w:r>
            <w:r>
              <w:rPr>
                <w:szCs w:val="20"/>
              </w:rPr>
              <w:t xml:space="preserve"> housing for key workers and six</w:t>
            </w:r>
            <w:r w:rsidRPr="00A76BF2">
              <w:rPr>
                <w:szCs w:val="20"/>
              </w:rPr>
              <w:t xml:space="preserve"> per cent </w:t>
            </w:r>
            <w:r w:rsidRPr="00A76BF2">
              <w:rPr>
                <w:i/>
                <w:szCs w:val="20"/>
              </w:rPr>
              <w:t>social</w:t>
            </w:r>
            <w:r w:rsidRPr="00A76BF2">
              <w:rPr>
                <w:szCs w:val="20"/>
              </w:rPr>
              <w:t xml:space="preserve"> housing</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Australian Institute of Architects (S176)</w:t>
            </w:r>
          </w:p>
        </w:tc>
        <w:tc>
          <w:tcPr>
            <w:tcW w:w="1985" w:type="dxa"/>
            <w:shd w:val="clear" w:color="auto" w:fill="auto"/>
          </w:tcPr>
          <w:p w:rsidR="001B7F78" w:rsidRPr="00A76BF2" w:rsidRDefault="001B7F78" w:rsidP="00FC2F90">
            <w:pPr>
              <w:pStyle w:val="PPVTableText"/>
              <w:rPr>
                <w:szCs w:val="20"/>
              </w:rPr>
            </w:pPr>
            <w:r w:rsidRPr="00A76BF2">
              <w:rPr>
                <w:szCs w:val="20"/>
              </w:rPr>
              <w:t>20 per cent</w:t>
            </w:r>
          </w:p>
        </w:tc>
        <w:tc>
          <w:tcPr>
            <w:tcW w:w="4677" w:type="dxa"/>
            <w:shd w:val="clear" w:color="auto" w:fill="auto"/>
          </w:tcPr>
          <w:p w:rsidR="001B7F78" w:rsidRPr="00A76BF2" w:rsidRDefault="001B7F78" w:rsidP="00FC2F90">
            <w:pPr>
              <w:pStyle w:val="PPVTableText"/>
              <w:rPr>
                <w:szCs w:val="20"/>
              </w:rPr>
            </w:pPr>
            <w:r w:rsidRPr="00A76BF2">
              <w:rPr>
                <w:i/>
                <w:szCs w:val="20"/>
              </w:rPr>
              <w:t>Affordable</w:t>
            </w:r>
            <w:r>
              <w:rPr>
                <w:szCs w:val="20"/>
              </w:rPr>
              <w:t xml:space="preserve"> housing</w:t>
            </w:r>
            <w:r w:rsidRPr="00A76BF2">
              <w:rPr>
                <w:szCs w:val="20"/>
              </w:rPr>
              <w:t xml:space="preserve"> </w:t>
            </w:r>
          </w:p>
        </w:tc>
      </w:tr>
      <w:tr w:rsidR="001B7F78" w:rsidRPr="00FA7FC4" w:rsidTr="001B7F78">
        <w:trPr>
          <w:cantSplit/>
        </w:trPr>
        <w:tc>
          <w:tcPr>
            <w:tcW w:w="2518" w:type="dxa"/>
            <w:shd w:val="clear" w:color="auto" w:fill="auto"/>
          </w:tcPr>
          <w:p w:rsidR="001B7F78" w:rsidRPr="00A76BF2" w:rsidRDefault="001B7F78" w:rsidP="00FC2F90">
            <w:pPr>
              <w:pStyle w:val="PPVTableText"/>
              <w:rPr>
                <w:szCs w:val="20"/>
              </w:rPr>
            </w:pPr>
            <w:r w:rsidRPr="00A76BF2">
              <w:rPr>
                <w:szCs w:val="20"/>
              </w:rPr>
              <w:t>Community Alliance Port Phillip (S139)</w:t>
            </w:r>
          </w:p>
        </w:tc>
        <w:tc>
          <w:tcPr>
            <w:tcW w:w="1985" w:type="dxa"/>
            <w:shd w:val="clear" w:color="auto" w:fill="auto"/>
          </w:tcPr>
          <w:p w:rsidR="001B7F78" w:rsidRPr="00A76BF2" w:rsidRDefault="001B7F78" w:rsidP="00FC2F90">
            <w:pPr>
              <w:pStyle w:val="PPVTableText"/>
              <w:rPr>
                <w:szCs w:val="20"/>
              </w:rPr>
            </w:pPr>
            <w:r w:rsidRPr="00A76BF2">
              <w:rPr>
                <w:szCs w:val="20"/>
              </w:rPr>
              <w:t>30 per cent</w:t>
            </w:r>
          </w:p>
        </w:tc>
        <w:tc>
          <w:tcPr>
            <w:tcW w:w="4677" w:type="dxa"/>
            <w:shd w:val="clear" w:color="auto" w:fill="auto"/>
          </w:tcPr>
          <w:p w:rsidR="001B7F78" w:rsidRPr="00A76BF2" w:rsidRDefault="001B7F78" w:rsidP="00FC2F90">
            <w:pPr>
              <w:pStyle w:val="PPVTableText"/>
              <w:rPr>
                <w:szCs w:val="20"/>
              </w:rPr>
            </w:pPr>
            <w:r w:rsidRPr="00A76BF2">
              <w:rPr>
                <w:szCs w:val="20"/>
              </w:rPr>
              <w:t xml:space="preserve">20 per cent </w:t>
            </w:r>
            <w:r w:rsidRPr="00A76BF2">
              <w:rPr>
                <w:i/>
                <w:szCs w:val="20"/>
              </w:rPr>
              <w:t>affordable</w:t>
            </w:r>
            <w:r w:rsidRPr="00A76BF2">
              <w:rPr>
                <w:szCs w:val="20"/>
              </w:rPr>
              <w:t xml:space="preserve"> hou</w:t>
            </w:r>
            <w:r>
              <w:rPr>
                <w:szCs w:val="20"/>
              </w:rPr>
              <w:t>sing</w:t>
            </w:r>
            <w:r w:rsidRPr="00A76BF2">
              <w:rPr>
                <w:szCs w:val="20"/>
              </w:rPr>
              <w:t xml:space="preserve"> </w:t>
            </w:r>
            <w:r>
              <w:rPr>
                <w:szCs w:val="20"/>
              </w:rPr>
              <w:t xml:space="preserve">and </w:t>
            </w:r>
            <w:r w:rsidRPr="00A76BF2">
              <w:rPr>
                <w:szCs w:val="20"/>
              </w:rPr>
              <w:t xml:space="preserve">10 per cent </w:t>
            </w:r>
            <w:r w:rsidRPr="00A76BF2">
              <w:rPr>
                <w:i/>
                <w:szCs w:val="20"/>
              </w:rPr>
              <w:t>social and community</w:t>
            </w:r>
            <w:r>
              <w:rPr>
                <w:szCs w:val="20"/>
              </w:rPr>
              <w:t xml:space="preserve"> housing</w:t>
            </w:r>
          </w:p>
        </w:tc>
      </w:tr>
    </w:tbl>
    <w:p w:rsidR="001B7F78" w:rsidRDefault="001B7F78" w:rsidP="001B7F78">
      <w:pPr>
        <w:pStyle w:val="PPVBody"/>
      </w:pPr>
      <w:r>
        <w:lastRenderedPageBreak/>
        <w:t>The Minister submitted that a six per cent target is realistic and achievable, and is consistent with recent VCAT decisions and PPV recommendations which range between five and 10 per cent.</w:t>
      </w:r>
      <w:r w:rsidRPr="00820B43">
        <w:rPr>
          <w:rStyle w:val="FootnoteReference"/>
        </w:rPr>
        <w:footnoteReference w:id="77"/>
      </w:r>
      <w:r>
        <w:t xml:space="preserve">  The Minister submitted that at this stage a higher figure may be unduly onerous, but that the figure could be amended in future depending on uptake.</w:t>
      </w:r>
    </w:p>
    <w:p w:rsidR="001B7F78" w:rsidRDefault="001B7F78" w:rsidP="001B7F78">
      <w:pPr>
        <w:pStyle w:val="PPVBody"/>
      </w:pPr>
      <w:r>
        <w:t>Melbourne submitted that 2011 census data indicates that 10 per cent of Victorians are homeless, in serious rental stress, or living in social housing.</w:t>
      </w:r>
      <w:r w:rsidRPr="00820B43">
        <w:rPr>
          <w:rStyle w:val="FootnoteReference"/>
        </w:rPr>
        <w:footnoteReference w:id="78"/>
      </w:r>
      <w:r>
        <w:t xml:space="preserve">  It submitted that a six per cent target is not high enough, and would simply result in the status quo being maintained, with no increase in the overall proportion of social housing.  Melbourne suggested a 15 per cent target was needed to achieve the Vision.</w:t>
      </w:r>
    </w:p>
    <w:p w:rsidR="001B7F78" w:rsidRDefault="001B7F78" w:rsidP="001B7F78">
      <w:pPr>
        <w:pStyle w:val="PPVBody"/>
      </w:pPr>
      <w:r>
        <w:t xml:space="preserve">Port Phillip’s housing policy </w:t>
      </w:r>
      <w:r w:rsidRPr="00A4079D">
        <w:rPr>
          <w:i/>
        </w:rPr>
        <w:t>In Our Backyard</w:t>
      </w:r>
      <w:r>
        <w:t xml:space="preserve"> endorses a strategic direction that at least 20 per cent of housing in Fishermans Bend </w:t>
      </w:r>
      <w:r w:rsidR="003C32A8">
        <w:t xml:space="preserve">be </w:t>
      </w:r>
      <w:r>
        <w:t>affordable, and that no less than 30 per cent of these dwellings are provided as community housing owned and managed by registered housing associations or providers.</w:t>
      </w:r>
      <w:r w:rsidRPr="00820B43">
        <w:rPr>
          <w:rStyle w:val="FootnoteReference"/>
        </w:rPr>
        <w:footnoteReference w:id="79"/>
      </w:r>
      <w:r>
        <w:t xml:space="preserve">  Port Phillip submitted that a 20 per cent target was consistent with </w:t>
      </w:r>
      <w:r w:rsidRPr="00AD7FB7">
        <w:rPr>
          <w:i/>
        </w:rPr>
        <w:t>In Our Backyard</w:t>
      </w:r>
      <w:r>
        <w:t>, and “</w:t>
      </w:r>
      <w:r w:rsidRPr="00FA0FC3">
        <w:rPr>
          <w:i/>
        </w:rPr>
        <w:t>not inconsistent</w:t>
      </w:r>
      <w:r>
        <w:t>” with the Vision.  It would provide a necessary and appropriate policy ‘nudge’ in circumstances where the market is already starting to pursue affordable housing options.</w:t>
      </w:r>
    </w:p>
    <w:p w:rsidR="001B7F78" w:rsidRDefault="001B7F78" w:rsidP="001B7F78">
      <w:pPr>
        <w:pStyle w:val="PPVBody"/>
      </w:pPr>
      <w:r>
        <w:t xml:space="preserve">Dr Spiller </w:t>
      </w:r>
      <w:r w:rsidR="003E6457">
        <w:t xml:space="preserve">gave evidence </w:t>
      </w:r>
      <w:r>
        <w:t xml:space="preserve">that, based on historic census data, an average of 10 per cent of the total housing stock in Fishermans Bend will be required for </w:t>
      </w:r>
      <w:r w:rsidRPr="00FA0FC3">
        <w:t>social</w:t>
      </w:r>
      <w:r>
        <w:t xml:space="preserve"> housing for the homeless, marginal households and low income households in rental stress, which was consistent with Melbourne’s figures.  He said that a further 10 per cent of housing should be made affordable to “</w:t>
      </w:r>
      <w:r w:rsidRPr="00B857EF">
        <w:rPr>
          <w:i/>
        </w:rPr>
        <w:t>key workers, students and other moderate income or transitional groups that are essential to a diverse, prosperous and healthy community</w:t>
      </w:r>
      <w:r>
        <w:rPr>
          <w:i/>
        </w:rPr>
        <w:t xml:space="preserve"> </w:t>
      </w:r>
      <w:r w:rsidRPr="00B857EF">
        <w:rPr>
          <w:i/>
        </w:rPr>
        <w:t>…</w:t>
      </w:r>
      <w:r>
        <w:t>”.</w:t>
      </w:r>
    </w:p>
    <w:p w:rsidR="001B7F78" w:rsidRDefault="001B7F78" w:rsidP="001B7F78">
      <w:pPr>
        <w:pStyle w:val="PPVBody"/>
      </w:pPr>
      <w:r>
        <w:t>S</w:t>
      </w:r>
      <w:r w:rsidRPr="003149D1">
        <w:t xml:space="preserve">everal </w:t>
      </w:r>
      <w:r>
        <w:t xml:space="preserve">other </w:t>
      </w:r>
      <w:r w:rsidRPr="003149D1">
        <w:t xml:space="preserve">submitters </w:t>
      </w:r>
      <w:r>
        <w:t>called for</w:t>
      </w:r>
      <w:r w:rsidRPr="003149D1">
        <w:t xml:space="preserve"> </w:t>
      </w:r>
      <w:r>
        <w:t xml:space="preserve">the </w:t>
      </w:r>
      <w:r w:rsidRPr="003149D1">
        <w:t>target</w:t>
      </w:r>
      <w:r>
        <w:t xml:space="preserve"> to be increased</w:t>
      </w:r>
      <w:r w:rsidRPr="003149D1">
        <w:t>.</w:t>
      </w:r>
      <w:r>
        <w:t xml:space="preserve">  For example, the Australian Institute of Architects submitted that the target should be increased in line with other jurisdictions such as Ireland (10 per cent), the United Kingdom (10 to 40 per cent) or South Australia (15 per cent).  Others, for example Goodman (S149) submitted that there should be no specific target.</w:t>
      </w:r>
    </w:p>
    <w:p w:rsidR="001B7F78" w:rsidRDefault="001B7F78" w:rsidP="001B7F78">
      <w:pPr>
        <w:pStyle w:val="Heading4"/>
      </w:pPr>
      <w:r>
        <w:t>Discussion</w:t>
      </w:r>
    </w:p>
    <w:p w:rsidR="001B7F78" w:rsidRDefault="001B7F78" w:rsidP="001B7F78">
      <w:pPr>
        <w:pStyle w:val="PPVBody"/>
      </w:pPr>
      <w:r>
        <w:t>Social and affordable housing are key priorit</w:t>
      </w:r>
      <w:r w:rsidR="003C32A8">
        <w:t>ies</w:t>
      </w:r>
      <w:r>
        <w:t xml:space="preserve"> in Victoria.  </w:t>
      </w:r>
      <w:r w:rsidRPr="00DC5CA8">
        <w:rPr>
          <w:i/>
        </w:rPr>
        <w:t xml:space="preserve">Victoria’s 30 Year Infrastructure Strategy </w:t>
      </w:r>
      <w:r>
        <w:t xml:space="preserve">(December 2016) nominates investment in social and affordable housing as a ‘top 3’ priority, and increasing the supply of social and affordable housing is a key direction in </w:t>
      </w:r>
      <w:r w:rsidRPr="00DC5CA8">
        <w:rPr>
          <w:i/>
        </w:rPr>
        <w:t>Plan Melbourne</w:t>
      </w:r>
      <w:r>
        <w:t xml:space="preserve"> (Direction 2.3).</w:t>
      </w:r>
    </w:p>
    <w:p w:rsidR="00785416" w:rsidRDefault="001B7F78" w:rsidP="001B7F78">
      <w:pPr>
        <w:pStyle w:val="PPVBody"/>
      </w:pPr>
      <w:r>
        <w:t xml:space="preserve">Yet, </w:t>
      </w:r>
      <w:r w:rsidRPr="00C07551">
        <w:t xml:space="preserve">the policy in the </w:t>
      </w:r>
      <w:r>
        <w:t>Port Phillip and Melbourne Planning S</w:t>
      </w:r>
      <w:r w:rsidRPr="00C07551">
        <w:t>cheme</w:t>
      </w:r>
      <w:r>
        <w:t>s</w:t>
      </w:r>
      <w:r w:rsidRPr="00C07551">
        <w:t xml:space="preserve"> is silent on the quantum of affordable housing to be provided</w:t>
      </w:r>
      <w:r>
        <w:t xml:space="preserve">.  Both Councils have adopted affordable housing strategies which set affordable housing targets (Melbourne’s </w:t>
      </w:r>
      <w:r>
        <w:rPr>
          <w:i/>
        </w:rPr>
        <w:t>Homes for People: Housing Strategy</w:t>
      </w:r>
      <w:r>
        <w:t xml:space="preserve"> and Port Phillip’s </w:t>
      </w:r>
      <w:r>
        <w:rPr>
          <w:i/>
        </w:rPr>
        <w:t>In Our Backyard</w:t>
      </w:r>
      <w:r>
        <w:t xml:space="preserve">), but these strategies </w:t>
      </w:r>
      <w:r w:rsidRPr="00C07551">
        <w:t>sit outside the planning scheme</w:t>
      </w:r>
      <w:r>
        <w:t>s</w:t>
      </w:r>
      <w:r w:rsidRPr="00C07551">
        <w:t>.</w:t>
      </w:r>
    </w:p>
    <w:p w:rsidR="001B7F78" w:rsidRDefault="001B7F78" w:rsidP="001B7F78">
      <w:pPr>
        <w:pStyle w:val="PPVBody"/>
      </w:pPr>
      <w:r>
        <w:lastRenderedPageBreak/>
        <w:t xml:space="preserve">The target outlined in the </w:t>
      </w:r>
      <w:r w:rsidRPr="0036423C">
        <w:rPr>
          <w:i/>
        </w:rPr>
        <w:t>Urban Design Strategy</w:t>
      </w:r>
      <w:r w:rsidRPr="0036423C">
        <w:t xml:space="preserve"> </w:t>
      </w:r>
      <w:r>
        <w:t xml:space="preserve">only applies to dwellings developed under the FAR, not to the additional dwellings delivered under the FAU scheme.  Ms Hodyl confirmed in evidence that this is how she understands the target contained in the </w:t>
      </w:r>
      <w:r w:rsidR="00FC563B">
        <w:t xml:space="preserve">draft </w:t>
      </w:r>
      <w:r>
        <w:t xml:space="preserve">Framework and Clause 22.XX is to operate.  </w:t>
      </w:r>
      <w:r w:rsidRPr="00A07B71">
        <w:t xml:space="preserve">In raw numbers, </w:t>
      </w:r>
      <w:r>
        <w:t xml:space="preserve">this </w:t>
      </w:r>
      <w:r w:rsidRPr="00A07B71">
        <w:t>translates to 2,214 affordable housing units (</w:t>
      </w:r>
      <w:r>
        <w:t>six</w:t>
      </w:r>
      <w:r w:rsidRPr="00A07B71">
        <w:t xml:space="preserve"> per cent of the 36,900 dwellings </w:t>
      </w:r>
      <w:r>
        <w:t>required to accommodate the target population of 80,000 residents</w:t>
      </w:r>
      <w:r w:rsidRPr="00A07B71">
        <w:t>)</w:t>
      </w:r>
      <w:r>
        <w:t>.</w:t>
      </w:r>
      <w:r w:rsidRPr="00820B43">
        <w:rPr>
          <w:rStyle w:val="FootnoteReference"/>
        </w:rPr>
        <w:footnoteReference w:id="80"/>
      </w:r>
      <w:r>
        <w:t xml:space="preserve">  If the target applies in this way, the total provision of affordable housing across Fishermans Bend is likely to be less than six per cent of all the housing in Fishermans Bend, possibly significantly so.</w:t>
      </w:r>
    </w:p>
    <w:p w:rsidR="00785416" w:rsidRDefault="001B7F78" w:rsidP="001B7F78">
      <w:pPr>
        <w:pStyle w:val="PPVBody"/>
      </w:pPr>
      <w:r>
        <w:t xml:space="preserve">The Minister clarified in his final closing submissions that it is not the intention to limit the target in this way.  The target is intended to apply to </w:t>
      </w:r>
      <w:r w:rsidRPr="002D1D6D">
        <w:rPr>
          <w:u w:val="single"/>
        </w:rPr>
        <w:t>all</w:t>
      </w:r>
      <w:r>
        <w:t xml:space="preserve"> dwellings across Fishermans Bend, whether they are delivered under FAR or FAU.  This is consistent with the way the target is expressed in the draft Framework.</w:t>
      </w:r>
    </w:p>
    <w:p w:rsidR="001B7F78" w:rsidRDefault="001B7F78" w:rsidP="001B7F78">
      <w:pPr>
        <w:pStyle w:val="PPVBody"/>
      </w:pPr>
      <w:r>
        <w:t>In 2013, Places Victoria retained Judith Stubbs and Associates to prepare a paper looking at options for the delivery of 20 per cent affordable housing across Fishermans Bend</w:t>
      </w:r>
      <w:r w:rsidR="000C7F97">
        <w:t xml:space="preserve"> (one of the background reports)</w:t>
      </w:r>
      <w:r>
        <w:t>.</w:t>
      </w:r>
      <w:r w:rsidRPr="00820B43">
        <w:rPr>
          <w:rStyle w:val="FootnoteReference"/>
        </w:rPr>
        <w:footnoteReference w:id="81"/>
      </w:r>
      <w:r>
        <w:t xml:space="preserve">  The paper noted that a 20 per cent target would result in groups in rental stress being “</w:t>
      </w:r>
      <w:r w:rsidRPr="009E0F8E">
        <w:rPr>
          <w:i/>
        </w:rPr>
        <w:t>well under</w:t>
      </w:r>
      <w:r w:rsidR="00165DB1">
        <w:rPr>
          <w:i/>
        </w:rPr>
        <w:t>-represented</w:t>
      </w:r>
      <w:r>
        <w:t>” compared to the general population, but that “</w:t>
      </w:r>
      <w:r w:rsidRPr="00F74153">
        <w:rPr>
          <w:i/>
        </w:rPr>
        <w:t>20 per cent is a commonly adopted target for affordable housing in other jurisdictions</w:t>
      </w:r>
      <w:r>
        <w:t>”.</w:t>
      </w:r>
      <w:r w:rsidRPr="00820B43">
        <w:rPr>
          <w:rStyle w:val="FootnoteReference"/>
        </w:rPr>
        <w:footnoteReference w:id="82"/>
      </w:r>
    </w:p>
    <w:p w:rsidR="00785416" w:rsidRDefault="0091718F" w:rsidP="001B7F78">
      <w:pPr>
        <w:pStyle w:val="PPVBody"/>
      </w:pPr>
      <w:r>
        <w:t xml:space="preserve">The </w:t>
      </w:r>
      <w:r w:rsidR="00C17EBA">
        <w:t>recently gazetted income levels</w:t>
      </w:r>
      <w:r>
        <w:t xml:space="preserve"> published by the Minister that define affordable housing</w:t>
      </w:r>
      <w:r w:rsidR="00B607EB">
        <w:t>,</w:t>
      </w:r>
      <w:r>
        <w:t xml:space="preserve"> refer to annual household incomes of up to approximately </w:t>
      </w:r>
      <w:r w:rsidR="00C17EBA" w:rsidRPr="00CD1B37">
        <w:t>$127,000</w:t>
      </w:r>
      <w:r>
        <w:t xml:space="preserve">.  It is likely that the six per cent target </w:t>
      </w:r>
      <w:r w:rsidR="00DF3472">
        <w:t>could be</w:t>
      </w:r>
      <w:r>
        <w:t xml:space="preserve"> met in Fishermans Bend, without any undue impost on developers</w:t>
      </w:r>
      <w:r w:rsidR="00DF3472">
        <w:t>.</w:t>
      </w:r>
      <w:r w:rsidR="00B607EB">
        <w:t xml:space="preserve"> </w:t>
      </w:r>
      <w:r w:rsidR="00BE09EF">
        <w:t xml:space="preserve"> </w:t>
      </w:r>
      <w:r>
        <w:t xml:space="preserve">The definition of affordable housing in the Act effectively means affordable to the lower three income quintiles, which is effectively 60 per cent of the general population.  </w:t>
      </w:r>
      <w:r w:rsidR="001B7F78">
        <w:t xml:space="preserve">In light of </w:t>
      </w:r>
      <w:r>
        <w:t xml:space="preserve">this, and in light of </w:t>
      </w:r>
      <w:r w:rsidR="001B7F78">
        <w:t xml:space="preserve">the submissions and evidence, the Review Panel has doubts about whether </w:t>
      </w:r>
      <w:r>
        <w:t xml:space="preserve">a target of </w:t>
      </w:r>
      <w:r w:rsidR="001B7F78">
        <w:t xml:space="preserve">six per cent is adequate.  However, the </w:t>
      </w:r>
      <w:r>
        <w:t xml:space="preserve">applicable </w:t>
      </w:r>
      <w:r w:rsidR="001B7F78">
        <w:t xml:space="preserve">policy framework </w:t>
      </w:r>
      <w:r>
        <w:t xml:space="preserve">in the planning schemes </w:t>
      </w:r>
      <w:r w:rsidR="001B7F78">
        <w:t>does not provide an alternative target.  Nor do the Councils’ respective adopted strategies provide a clear and consistent alternative target.</w:t>
      </w:r>
    </w:p>
    <w:p w:rsidR="001B7F78" w:rsidRDefault="001B7F78" w:rsidP="001B7F78">
      <w:pPr>
        <w:pStyle w:val="PPVBody"/>
      </w:pPr>
      <w:r>
        <w:t>No examples were brought to the Review Panel’s attention where a 10, 15 or 20 per cent target has been applied in a context similar to Fishermans Bend – a metropolitan Melbourne urban renewal area consisting largely of privately owned land.</w:t>
      </w:r>
    </w:p>
    <w:p w:rsidR="001B7F78" w:rsidRDefault="001B7F78" w:rsidP="001B7F78">
      <w:pPr>
        <w:pStyle w:val="PPVBody"/>
      </w:pPr>
      <w:r>
        <w:t>Accordingly, the Review Panel is in not a position to recommend a different target.</w:t>
      </w:r>
    </w:p>
    <w:p w:rsidR="001B7F78" w:rsidRDefault="001B7F78" w:rsidP="001B7F78">
      <w:pPr>
        <w:pStyle w:val="PPVBody"/>
      </w:pPr>
      <w:r>
        <w:t>While targets are important, a target alone has limited potential to deliver affordable housing.  To be effective, targets must operate in conjunction with other mechanisms, such as incentives and direct government investment.</w:t>
      </w:r>
    </w:p>
    <w:p w:rsidR="001B7F78" w:rsidRDefault="001B7F78" w:rsidP="001B7F78">
      <w:pPr>
        <w:pStyle w:val="Heading4"/>
      </w:pPr>
      <w:r>
        <w:t>Findings</w:t>
      </w:r>
    </w:p>
    <w:p w:rsidR="001B7F78" w:rsidRDefault="001B7F78" w:rsidP="001B7F78">
      <w:pPr>
        <w:pStyle w:val="PPVBody"/>
      </w:pPr>
      <w:r>
        <w:t>The Review Panel finds:</w:t>
      </w:r>
    </w:p>
    <w:p w:rsidR="001B7F78" w:rsidRPr="00CC1E71" w:rsidRDefault="001B7F78" w:rsidP="001B7F78">
      <w:pPr>
        <w:pStyle w:val="PPVBullet1"/>
      </w:pPr>
      <w:r>
        <w:t xml:space="preserve">The six per cent target should apply to </w:t>
      </w:r>
      <w:r w:rsidRPr="002D1D6D">
        <w:rPr>
          <w:u w:val="single"/>
        </w:rPr>
        <w:t>all</w:t>
      </w:r>
      <w:r w:rsidRPr="00FB46A8">
        <w:t xml:space="preserve"> dwellings</w:t>
      </w:r>
      <w:r>
        <w:t xml:space="preserve"> within Fishermans Bend, not just the 36,900 dwellings required to accommodate the target population of 80,000.</w:t>
      </w:r>
    </w:p>
    <w:p w:rsidR="001B7F78" w:rsidRDefault="001B7F78" w:rsidP="001B7F78">
      <w:pPr>
        <w:pStyle w:val="PPVBullet1"/>
      </w:pPr>
      <w:r>
        <w:lastRenderedPageBreak/>
        <w:t>Although the Review Panel has doubts about whether the six per cent target is adequate, it is not in a position to recommend a different target.</w:t>
      </w:r>
    </w:p>
    <w:p w:rsidR="001B7F78" w:rsidRDefault="001B7F78" w:rsidP="001B7F78">
      <w:pPr>
        <w:pStyle w:val="Heading2"/>
      </w:pPr>
      <w:bookmarkStart w:id="369" w:name="_Toc519270996"/>
      <w:bookmarkStart w:id="370" w:name="_Toc519710282"/>
      <w:bookmarkStart w:id="371" w:name="_Toc519766842"/>
      <w:r>
        <w:t>Mandatory versus voluntary contributions</w:t>
      </w:r>
      <w:bookmarkEnd w:id="369"/>
      <w:bookmarkEnd w:id="370"/>
      <w:bookmarkEnd w:id="371"/>
    </w:p>
    <w:p w:rsidR="001B7F78" w:rsidRDefault="001B7F78" w:rsidP="001B7F78">
      <w:pPr>
        <w:pStyle w:val="Heading4"/>
      </w:pPr>
      <w:r>
        <w:t>Submissions and evidence</w:t>
      </w:r>
    </w:p>
    <w:p w:rsidR="001B7F78" w:rsidRDefault="001B7F78" w:rsidP="001B7F78">
      <w:pPr>
        <w:pStyle w:val="PPVBody"/>
      </w:pPr>
      <w:r>
        <w:t>The Minister did not support mandatory affordable housing contributions for Fishermans Bend.  He submitted that the existing statutory framework does not support mandatory requirements.  The issue of affordable housing is not confined to Fishermans Bend, and the development of Fishermans Bend would be prejudiced if mandatory obligations were introduced in the absence of state</w:t>
      </w:r>
      <w:r w:rsidR="00165DB1">
        <w:t>-wide</w:t>
      </w:r>
      <w:r>
        <w:t xml:space="preserve"> mandatory obligations that apply in other urban renewal locations.</w:t>
      </w:r>
    </w:p>
    <w:p w:rsidR="001B7F78" w:rsidRDefault="001B7F78" w:rsidP="001B7F78">
      <w:pPr>
        <w:pStyle w:val="PPVBody"/>
      </w:pPr>
      <w:r>
        <w:t>Melbourne did not directly support mandatory affordable housing requirements in Fishermans Bend, but it tabled an extract from the West Melbourne Structure Plan which states that a permit applicant should provide a minimum of six per cent affordable housing, unless it can demonstrate why it is unable to deliver the affordable housing through an open book assessment or detailed viability report.</w:t>
      </w:r>
      <w:r w:rsidRPr="00820B43">
        <w:rPr>
          <w:rStyle w:val="FootnoteReference"/>
        </w:rPr>
        <w:footnoteReference w:id="83"/>
      </w:r>
      <w:r>
        <w:t xml:space="preserve">  The Review Panel notes that the West Melbourne Structure Plan is </w:t>
      </w:r>
      <w:r w:rsidR="0091718F">
        <w:t xml:space="preserve">in its early stages.  The Amendment to introduce the Structure Plan has been exhibited, but has not yet gone through a panel process.  Accordingly, the Review Panel notes the approach adopted in the Structure Plan, but has not placed </w:t>
      </w:r>
      <w:r w:rsidR="00DF3472">
        <w:t xml:space="preserve">any </w:t>
      </w:r>
      <w:r w:rsidR="0091718F">
        <w:t>weight on it given its current status</w:t>
      </w:r>
      <w:r>
        <w:t>.</w:t>
      </w:r>
    </w:p>
    <w:p w:rsidR="001B7F78" w:rsidRDefault="001B7F78" w:rsidP="001B7F78">
      <w:pPr>
        <w:pStyle w:val="PPVBody"/>
      </w:pPr>
      <w:r>
        <w:t xml:space="preserve">Port Phillip submitted that there should be a </w:t>
      </w:r>
      <w:r w:rsidRPr="001A12BD">
        <w:t xml:space="preserve">mandatory </w:t>
      </w:r>
      <w:r>
        <w:t xml:space="preserve">requirement for developers to deliver three per cent </w:t>
      </w:r>
      <w:r w:rsidRPr="00E225EE">
        <w:t>social</w:t>
      </w:r>
      <w:r w:rsidRPr="001A12BD">
        <w:t xml:space="preserve"> housing</w:t>
      </w:r>
      <w:r>
        <w:t xml:space="preserve"> within the FAR, to ensure a base level of social housing is provided.  The remainder of the affordable housing provision could be voluntary.  Dr Spiller supported a mix of mandatory and voluntary requirements.  He said that the FAU scheme is as yet untested and unproven in its capacity to deliver social housing, and cannot be relied upon in isolation.  He recommended a mandatory contribution at a rate of 0.016 square metres of social housing floorspace (or $142 cash-in-lieu) for every square metre of commercially marketed floorspace.</w:t>
      </w:r>
    </w:p>
    <w:p w:rsidR="001B7F78" w:rsidRDefault="001B7F78" w:rsidP="001B7F78">
      <w:pPr>
        <w:pStyle w:val="PPVBody"/>
      </w:pPr>
      <w:r>
        <w:t>Mr Canavan submitted that social housing was the responsibility of the entire community, and should be provided by the State.  He submitted that in the absence of consistent state</w:t>
      </w:r>
      <w:r w:rsidR="00165DB1">
        <w:t>-wide</w:t>
      </w:r>
      <w:r>
        <w:t xml:space="preserve"> requirements in all planning schemes, affordable housing requirements should not be included for Fishermans Bend.  Mr Wren endorsed this position.</w:t>
      </w:r>
    </w:p>
    <w:p w:rsidR="001B7F78" w:rsidRDefault="001B7F78" w:rsidP="001B7F78">
      <w:pPr>
        <w:pStyle w:val="PPVBody"/>
      </w:pPr>
      <w:r>
        <w:t xml:space="preserve">Mr Canavan called planning evidence from Mr Biacsi who said that affordable housing is a shared responsibility, and that the private sector has a key role to play in delivering affordable housing.  He emphasised that the Housing Affordability Act encourages </w:t>
      </w:r>
      <w:r w:rsidRPr="002D1D6D">
        <w:t>voluntary</w:t>
      </w:r>
      <w:r>
        <w:t xml:space="preserve"> affordable housing contributions via section 173 agreements, but conceded in cross examination that he has no difficulty with mandatory (inclusionary) requirements, provided they are equitable and are applied consistently across Melbourne.  His evidence was that mandatory requirements would put Fishermans Bend at a disadvantage if they are not consistently applied across all urban renewal areas.</w:t>
      </w:r>
    </w:p>
    <w:p w:rsidR="001B7F78" w:rsidRDefault="001B7F78" w:rsidP="001B7F78">
      <w:pPr>
        <w:pStyle w:val="PPVBody"/>
      </w:pPr>
      <w:r>
        <w:lastRenderedPageBreak/>
        <w:t>The Minister called Mr Mackintosh to give general development viability evidence.  In cross examination, Mr Canavan asked him the impact mandatory affordable housing contributions would have on development viability.  His evidence was that while he was not instructed to take that into account, a mandatory contribution of six per cent would in his view “</w:t>
      </w:r>
      <w:r w:rsidRPr="00FA7FC4">
        <w:rPr>
          <w:i/>
        </w:rPr>
        <w:t>pretty near wipe out</w:t>
      </w:r>
      <w:r>
        <w:t>” residual land values in Fishermans Bend</w:t>
      </w:r>
      <w:r w:rsidRPr="00F02E5B">
        <w:t>.</w:t>
      </w:r>
    </w:p>
    <w:p w:rsidR="001B7F78" w:rsidRDefault="001B7F78" w:rsidP="001B7F78">
      <w:pPr>
        <w:pStyle w:val="PPVBody"/>
      </w:pPr>
      <w:r>
        <w:t>Several other submitters called for mandatory contributions, including the Australian Institute of Architects, Community Alliance of Port Phillip and the Fishermans Bend Network.  The MAC did not support mandatory requirements but recommended that providing affordable housing be reviewed in five years, and that mandatory requirements be applied if progress towards the target was insufficient.</w:t>
      </w:r>
    </w:p>
    <w:p w:rsidR="001B7F78" w:rsidRDefault="001B7F78" w:rsidP="001B7F78">
      <w:pPr>
        <w:pStyle w:val="Heading4"/>
      </w:pPr>
      <w:r>
        <w:t>Discussion</w:t>
      </w:r>
    </w:p>
    <w:p w:rsidR="001B7F78" w:rsidRDefault="001B7F78" w:rsidP="001B7F78">
      <w:pPr>
        <w:pStyle w:val="PPVBody"/>
      </w:pPr>
      <w:r>
        <w:t>Social housing, and affordable housing more generally, are state</w:t>
      </w:r>
      <w:r w:rsidR="00165DB1">
        <w:t>-wide</w:t>
      </w:r>
      <w:r>
        <w:t xml:space="preserve"> issues requiring a coordinated state</w:t>
      </w:r>
      <w:r w:rsidR="00165DB1">
        <w:t>-wide</w:t>
      </w:r>
      <w:r>
        <w:t xml:space="preserve"> response.  It is not the role of Fishermans Bend to solve these issues, although it (like every other urban renewal area in Victoria) has a part to play.</w:t>
      </w:r>
    </w:p>
    <w:p w:rsidR="001B7F78" w:rsidRDefault="001B7F78" w:rsidP="001B7F78">
      <w:pPr>
        <w:pStyle w:val="PPVBody"/>
      </w:pPr>
      <w:r>
        <w:t xml:space="preserve">The Review Panel does not support mandatory affordable housing contributions in Fishermans Bend.  The current statutory and policy framework in Victoria is geared towards voluntary, rather than mandatory, contributions.  This is reinforced by the recently passed </w:t>
      </w:r>
      <w:r w:rsidRPr="002D1D6D">
        <w:t>Housing Affordability Act</w:t>
      </w:r>
      <w:r>
        <w:t>, which establishes a framework to support voluntary section 173 agreements to support the provision of affordable housing.</w:t>
      </w:r>
    </w:p>
    <w:p w:rsidR="001B7F78" w:rsidRDefault="001B7F78" w:rsidP="001B7F78">
      <w:pPr>
        <w:pStyle w:val="PPVBody"/>
      </w:pPr>
      <w:r>
        <w:t xml:space="preserve">The Review Panel accepts the evidence of Mr Biacsi and Mr Mackintosh that imposing mandatory requirements would likely put Fishermans Bend at a competitive disadvantage compared to other urban renewal precincts that do not have mandatory requirements.  The Review Panel is cognisant of Mr Mackintosh’s evidence that a mandatory requirement </w:t>
      </w:r>
      <w:r w:rsidR="003C32A8">
        <w:t>‘</w:t>
      </w:r>
      <w:r>
        <w:t>to gift</w:t>
      </w:r>
      <w:r w:rsidR="003C32A8">
        <w:t>’</w:t>
      </w:r>
      <w:r>
        <w:t xml:space="preserve"> affordable housing could impact on development viability.  These concerns may be lessened if the affordable housing is purchased at a market or dis</w:t>
      </w:r>
      <w:r w:rsidR="003C32A8">
        <w:t xml:space="preserve">counted rate, or subsidised by </w:t>
      </w:r>
      <w:r w:rsidR="0079402A">
        <w:t>g</w:t>
      </w:r>
      <w:r>
        <w:t>overnment.</w:t>
      </w:r>
    </w:p>
    <w:p w:rsidR="001B7F78" w:rsidRDefault="001B7F78" w:rsidP="001B7F78">
      <w:pPr>
        <w:pStyle w:val="PPVBody"/>
      </w:pPr>
      <w:r>
        <w:t>It may be that</w:t>
      </w:r>
      <w:r w:rsidR="00BC1E04">
        <w:t xml:space="preserve"> policy and</w:t>
      </w:r>
      <w:r>
        <w:t xml:space="preserve"> voluntary mechanisms will not deliver the social and affordable housing needs in Fishermans Bend, and that some form of mandatory requirement is needed.  But until there is a suitable statutory framework in place to support mandatory contributions, they should remain </w:t>
      </w:r>
      <w:r w:rsidR="00BC1E04">
        <w:t xml:space="preserve">as a policy and </w:t>
      </w:r>
      <w:r>
        <w:t>voluntary</w:t>
      </w:r>
      <w:r w:rsidR="00BC1E04">
        <w:t xml:space="preserve"> uplift scheme</w:t>
      </w:r>
      <w:r>
        <w:t>.</w:t>
      </w:r>
    </w:p>
    <w:p w:rsidR="001B7F78" w:rsidRDefault="001B7F78" w:rsidP="001B7F78">
      <w:pPr>
        <w:pStyle w:val="Heading4"/>
      </w:pPr>
      <w:r>
        <w:t>Findings</w:t>
      </w:r>
    </w:p>
    <w:p w:rsidR="001B7F78" w:rsidRDefault="001B7F78" w:rsidP="001B7F78">
      <w:pPr>
        <w:pStyle w:val="PPVBody"/>
      </w:pPr>
      <w:r>
        <w:t>The Review Panel finds:</w:t>
      </w:r>
    </w:p>
    <w:p w:rsidR="001B7F78" w:rsidRPr="00020D23" w:rsidRDefault="001B7F78" w:rsidP="001B7F78">
      <w:pPr>
        <w:pStyle w:val="PPVBullet1"/>
      </w:pPr>
      <w:r>
        <w:t>a</w:t>
      </w:r>
      <w:r w:rsidRPr="00020D23">
        <w:t xml:space="preserve">ffordable housing requirements in Fishermans Bend should </w:t>
      </w:r>
      <w:r w:rsidR="00BC1E04">
        <w:t>not be mandatory</w:t>
      </w:r>
      <w:r w:rsidRPr="00020D23">
        <w:t>.</w:t>
      </w:r>
    </w:p>
    <w:p w:rsidR="001B7F78" w:rsidRDefault="001B7F78" w:rsidP="001B7F78">
      <w:pPr>
        <w:pStyle w:val="Heading2"/>
      </w:pPr>
      <w:bookmarkStart w:id="372" w:name="_Toc519270997"/>
      <w:bookmarkStart w:id="373" w:name="_Toc519710283"/>
      <w:bookmarkStart w:id="374" w:name="_Toc519766843"/>
      <w:r>
        <w:t>Effectiveness of the proposed delivery mechanisms</w:t>
      </w:r>
      <w:bookmarkEnd w:id="372"/>
      <w:bookmarkEnd w:id="373"/>
      <w:bookmarkEnd w:id="374"/>
    </w:p>
    <w:p w:rsidR="001B7F78" w:rsidRDefault="001B7F78" w:rsidP="001B7F78">
      <w:pPr>
        <w:pStyle w:val="Heading4"/>
      </w:pPr>
      <w:r>
        <w:t>Submissions and evidence</w:t>
      </w:r>
    </w:p>
    <w:p w:rsidR="001B7F78" w:rsidRDefault="001B7F78" w:rsidP="001B7F78">
      <w:pPr>
        <w:pStyle w:val="PPVBody"/>
      </w:pPr>
      <w:r>
        <w:t>The draft Amendment proposes two voluntary mechanisms to encourage developers to provide affordable housing</w:t>
      </w:r>
      <w:r w:rsidR="003E6457">
        <w:t xml:space="preserve">.  These are </w:t>
      </w:r>
      <w:r>
        <w:t>encouragement through Clause 22.XX (which applies to affordable housing more broadly), and incentives through the FAU scheme (which applies to social housing only).  The FAU scheme offers an uplift of eight private dwellings for every social housing dwelling provided.</w:t>
      </w:r>
    </w:p>
    <w:p w:rsidR="001B7F78" w:rsidRDefault="001B7F78" w:rsidP="001B7F78">
      <w:pPr>
        <w:pStyle w:val="PPVBody"/>
      </w:pPr>
      <w:r>
        <w:t>The Minister clarified in oral submissions on the final day of the Hearings that:</w:t>
      </w:r>
    </w:p>
    <w:p w:rsidR="001B7F78" w:rsidRDefault="001B7F78" w:rsidP="001B7F78">
      <w:pPr>
        <w:pStyle w:val="PPVBullet1"/>
      </w:pPr>
      <w:r>
        <w:lastRenderedPageBreak/>
        <w:t>the six per cent target applies to affordable housing more broadly,</w:t>
      </w:r>
      <w:r w:rsidRPr="00902F32">
        <w:t xml:space="preserve"> </w:t>
      </w:r>
      <w:r>
        <w:t>including social housing</w:t>
      </w:r>
    </w:p>
    <w:p w:rsidR="001B7F78" w:rsidRDefault="001B7F78" w:rsidP="001B7F78">
      <w:pPr>
        <w:pStyle w:val="PPVBullet1"/>
      </w:pPr>
      <w:r>
        <w:t>no separate target is set for the social housing component of affordable housing</w:t>
      </w:r>
    </w:p>
    <w:p w:rsidR="001B7F78" w:rsidRDefault="001B7F78" w:rsidP="001B7F78">
      <w:pPr>
        <w:pStyle w:val="PPVBullet1"/>
      </w:pPr>
      <w:r>
        <w:t>the target is intended to apply across Fishermans Bend as a whole, and is not intended to apply on a site-by-site basis.</w:t>
      </w:r>
    </w:p>
    <w:p w:rsidR="001B7F78" w:rsidRDefault="001B7F78" w:rsidP="001B7F78">
      <w:pPr>
        <w:pStyle w:val="PPVBody"/>
      </w:pPr>
      <w:r>
        <w:t>The Minister submitted that Clause 22.XX and the FAU scheme, working together, would be effective in delivering the target.  He submitted that the 8:1 ratio under the FAU scheme would be cost neutral for developers, and sufficient to incentivise them to provide social housing.  No evidence was called by the Minister to directly support the proposed 8:1 ratio, although the D</w:t>
      </w:r>
      <w:r w:rsidR="003E6457">
        <w:t>ELWP</w:t>
      </w:r>
      <w:r>
        <w:t xml:space="preserve"> commissioned Charter Keck Cramer to test the efficacy of the FAU scheme.  According to Dr Spiller’s evidence, the Charter Keck Cramer report</w:t>
      </w:r>
      <w:r w:rsidR="003E6457">
        <w:t xml:space="preserve"> </w:t>
      </w:r>
      <w:r>
        <w:t>found that, based on several case studies, social housing provided through FAU would be cost neutral at a ratio of between 3:1 and 5:1.</w:t>
      </w:r>
      <w:r w:rsidRPr="00820B43">
        <w:rPr>
          <w:rStyle w:val="FootnoteReference"/>
        </w:rPr>
        <w:footnoteReference w:id="84"/>
      </w:r>
    </w:p>
    <w:p w:rsidR="001B7F78" w:rsidRDefault="001B7F78" w:rsidP="001B7F78">
      <w:pPr>
        <w:pStyle w:val="PPVBody"/>
      </w:pPr>
      <w:r>
        <w:t>Melbourne supported the FAU scheme as a mechanism for encouraging social housing, but submitted that the Part C controls do not provide policy guidance as to how much social housing is required for how much FAU, and do not require the social housing to be provided within Fishermans</w:t>
      </w:r>
      <w:r w:rsidR="003E6457">
        <w:t xml:space="preserve"> Bend.  Melbourne provided a re</w:t>
      </w:r>
      <w:r>
        <w:t>write of the proposed FAU note</w:t>
      </w:r>
      <w:r w:rsidRPr="00820B43">
        <w:rPr>
          <w:rStyle w:val="FootnoteReference"/>
        </w:rPr>
        <w:footnoteReference w:id="85"/>
      </w:r>
      <w:r>
        <w:t xml:space="preserve">, and submitted that it should be an </w:t>
      </w:r>
      <w:r w:rsidR="0079402A">
        <w:t>I</w:t>
      </w:r>
      <w:r>
        <w:t xml:space="preserve">ncorporated </w:t>
      </w:r>
      <w:r w:rsidR="0079402A">
        <w:t>D</w:t>
      </w:r>
      <w:r>
        <w:t xml:space="preserve">ocument in the planning schemes.  It further submitted that six per cent affordable housing should be a base requirement, and that FAU should only be available for social housing delivered </w:t>
      </w:r>
      <w:r w:rsidRPr="002D1D6D">
        <w:t>above</w:t>
      </w:r>
      <w:r>
        <w:t xml:space="preserve"> the base requirement.  It submitted that other mechanisms such as </w:t>
      </w:r>
      <w:r w:rsidRPr="00D45D91">
        <w:t xml:space="preserve">government funded </w:t>
      </w:r>
      <w:r>
        <w:t xml:space="preserve">affordable </w:t>
      </w:r>
      <w:r w:rsidRPr="00D45D91">
        <w:t>housing</w:t>
      </w:r>
      <w:r>
        <w:t xml:space="preserve"> would also likely be required to achieve the target.</w:t>
      </w:r>
    </w:p>
    <w:p w:rsidR="001B7F78" w:rsidRDefault="001B7F78" w:rsidP="001B7F78">
      <w:pPr>
        <w:pStyle w:val="PPVBody"/>
      </w:pPr>
      <w:r>
        <w:t>Port Phillip supported FAU to incentivise the voluntary component of the affordable housing contributions, but questioned the logic of having a six per cent affordable housing target under Clause 22.XX, and a six per cent social housing target under the FAU scheme – in other words, making the subset (social housing) equal the sum of the parts (all types of affordable housing).</w:t>
      </w:r>
    </w:p>
    <w:p w:rsidR="001B7F78" w:rsidRDefault="001B7F78" w:rsidP="001B7F78">
      <w:pPr>
        <w:pStyle w:val="PPVBody"/>
      </w:pPr>
      <w:r>
        <w:t>Dr Spiller noted that the FAU scheme was an appropriate (albeit untested) mechanism to deliver the voluntary component, and that a DCP or ICP could also potentially be used to fund affordable housing.</w:t>
      </w:r>
    </w:p>
    <w:p w:rsidR="001B7F78" w:rsidRDefault="001B7F78" w:rsidP="001B7F78">
      <w:pPr>
        <w:pStyle w:val="PPVBody"/>
      </w:pPr>
      <w:r>
        <w:t xml:space="preserve">Dr Spiller questioned whether the proposed 8:1 ratio under the FAU scheme would be sufficient to incentivise developers to provide social housing.  He noted that a 10:1 ratio applies in the </w:t>
      </w:r>
      <w:r w:rsidR="0079402A">
        <w:t>C</w:t>
      </w:r>
      <w:r>
        <w:t>entral City.  Dr Spiller expressed reservations about the Charter Keck Cramer analysis, suggesting that on his analysis, providing social housing would only be cost neutral at a ratio of between 5:1 and 12:1.  A key difference between the Charter Keck Cramer analysis and Dr Spiller’s analysis was that Charter Keck Cramer based their costings on an assumed cost price of $300,000 per social housing unit, whereas Dr Spiller based his costings on an assumed market price of $585,000 per social housing unit, including a land component.</w:t>
      </w:r>
    </w:p>
    <w:p w:rsidR="001B7F78" w:rsidRDefault="001B7F78" w:rsidP="001B7F78">
      <w:pPr>
        <w:pStyle w:val="PPVBody"/>
      </w:pPr>
      <w:r>
        <w:lastRenderedPageBreak/>
        <w:t xml:space="preserve">Mr Tweedie submitted that a requirement for developers </w:t>
      </w:r>
      <w:r w:rsidR="003C32A8">
        <w:t>‘</w:t>
      </w:r>
      <w:r>
        <w:t>to gift</w:t>
      </w:r>
      <w:r w:rsidR="003C32A8">
        <w:t>’</w:t>
      </w:r>
      <w:r>
        <w:t xml:space="preserve"> social housing under the FAU scheme faces significant issues with satisfying the principles of need and nexus, as the need for affordable housing arises from macroeconomic factors, not from the development of the land.</w:t>
      </w:r>
      <w:r w:rsidRPr="00820B43">
        <w:rPr>
          <w:rStyle w:val="FootnoteReference"/>
        </w:rPr>
        <w:footnoteReference w:id="86"/>
      </w:r>
      <w:r>
        <w:t xml:space="preserve">  When he put this proposition to Ms Hodyl in cross examination, her response was that developers were not being asked to gift social housing, as they receive an uplift in return for providing the social housing.</w:t>
      </w:r>
    </w:p>
    <w:p w:rsidR="001B7F78" w:rsidRDefault="001B7F78" w:rsidP="001B7F78">
      <w:pPr>
        <w:pStyle w:val="PPVBody"/>
      </w:pPr>
      <w:r>
        <w:t>The Affordable Housing Industry Advisory Group (S243) supported the FAU mechanism, including the 8:1 ratio, but (like Melbourne) submitted that some form of government investment is likely to be required to achieve the six per cent target.</w:t>
      </w:r>
      <w:r w:rsidRPr="00820B43">
        <w:rPr>
          <w:rStyle w:val="FootnoteReference"/>
        </w:rPr>
        <w:footnoteReference w:id="87"/>
      </w:r>
    </w:p>
    <w:p w:rsidR="001B7F78" w:rsidRDefault="001B7F78" w:rsidP="001B7F78">
      <w:pPr>
        <w:pStyle w:val="Heading4"/>
      </w:pPr>
      <w:r>
        <w:t>Discussion</w:t>
      </w:r>
    </w:p>
    <w:p w:rsidR="001B7F78" w:rsidRPr="00F34841" w:rsidRDefault="001B7F78" w:rsidP="001B7F78">
      <w:pPr>
        <w:pStyle w:val="Heading5"/>
      </w:pPr>
      <w:r w:rsidRPr="00A76BF2">
        <w:t>Clause 22.XX</w:t>
      </w:r>
    </w:p>
    <w:p w:rsidR="001B7F78" w:rsidRDefault="001B7F78" w:rsidP="001B7F78">
      <w:pPr>
        <w:pStyle w:val="PPVBody"/>
      </w:pPr>
      <w:r>
        <w:t>The Review Panel is not persuaded that Clause 22.XX in its current form will be effective in delivering six per cent affordable housing across Fishermans Bend, even with the support of the FAU scheme to incentivise delivery of a social housing component.  As observed by Melbourne, an effective local policy framework requires “</w:t>
      </w:r>
      <w:r w:rsidRPr="00A8386F">
        <w:rPr>
          <w:i/>
        </w:rPr>
        <w:t>strong targets and high standards</w:t>
      </w:r>
      <w:r>
        <w:t>”.</w:t>
      </w:r>
      <w:r w:rsidRPr="00820B43">
        <w:rPr>
          <w:rStyle w:val="FootnoteReference"/>
        </w:rPr>
        <w:footnoteReference w:id="88"/>
      </w:r>
      <w:r>
        <w:t xml:space="preserve">  Without them, the implementation of the affordable housing goals in the Vision and the </w:t>
      </w:r>
      <w:r w:rsidR="00FC563B">
        <w:t xml:space="preserve">draft </w:t>
      </w:r>
      <w:r>
        <w:t>Framework are potentially compromised.</w:t>
      </w:r>
    </w:p>
    <w:p w:rsidR="001B7F78" w:rsidRDefault="001B7F78" w:rsidP="001B7F78">
      <w:pPr>
        <w:pStyle w:val="PPVBody"/>
      </w:pPr>
      <w:r>
        <w:t>Clause 22.XX does not provide any detail as to how the six per cent affordable housing is to be supported or delivered, or by whom.  There is no reference to a minimum requirement of affordable housing (only a target).  There is no indication that the private sector is expected or encouraged to deliver affordable housing, or that developers are incentivised to deliver social housing through the FAU scheme.  Nor is there any reference to other mechanisms that may be required to meet the six per cent target.  To adopt Mr Milner’s words, in its current form Clause 22.XX could be seen as merely “</w:t>
      </w:r>
      <w:r w:rsidRPr="001C1AB7">
        <w:rPr>
          <w:i/>
        </w:rPr>
        <w:t>paying lip service</w:t>
      </w:r>
      <w:r>
        <w:t>” to affordable housing.</w:t>
      </w:r>
    </w:p>
    <w:p w:rsidR="001B7F78" w:rsidRDefault="001B7F78" w:rsidP="001B7F78">
      <w:pPr>
        <w:pStyle w:val="PPVBody"/>
      </w:pPr>
      <w:r>
        <w:t>This is in contrast to the approach taken in Clause 22.XX to encouraging employment generating floorspace.  Clause 22.XX-3 contains preferred minimum floor areas for employment generating uses in each core area, and sets out a range of matters that will be considered to help guide decision makers where an application proposes less than the preferred minimum floor area.</w:t>
      </w:r>
    </w:p>
    <w:p w:rsidR="001B7F78" w:rsidRPr="00A504B1" w:rsidRDefault="001B7F78" w:rsidP="001B7F78">
      <w:pPr>
        <w:pStyle w:val="PPVBody"/>
      </w:pPr>
      <w:r w:rsidRPr="00A504B1">
        <w:t>The Review Panel considers that Clause 22.XX needs to be substantially rewritten to strengthen the policy basis for affordable housing in Fishermans Bend, and</w:t>
      </w:r>
      <w:r w:rsidR="003C32A8" w:rsidRPr="007D6422">
        <w:t xml:space="preserve"> to</w:t>
      </w:r>
      <w:r w:rsidRPr="007D6422">
        <w:t xml:space="preserve"> include strategies for its implementation.  It should specify a preferred minimum </w:t>
      </w:r>
      <w:r w:rsidR="00A504B1">
        <w:t>amount</w:t>
      </w:r>
      <w:r w:rsidR="00A504B1" w:rsidRPr="00A504B1">
        <w:t xml:space="preserve"> </w:t>
      </w:r>
      <w:r w:rsidR="00A504B1">
        <w:t xml:space="preserve">of </w:t>
      </w:r>
      <w:r w:rsidRPr="00A504B1">
        <w:t>affordable housing</w:t>
      </w:r>
      <w:r w:rsidR="00A504B1">
        <w:t xml:space="preserve"> to be provided</w:t>
      </w:r>
      <w:r w:rsidRPr="00A504B1">
        <w:t>, much like the approach taken to employment generating floorspace.  To support Clause 22.XX and make it more effective as a delivery mechanism, the CCZ Schedule should include application requirements and decision guidelines prompting decision makers to consider whether applications before them are consistent with Clause 22.XX.</w:t>
      </w:r>
    </w:p>
    <w:p w:rsidR="001B7F78" w:rsidRDefault="001B7F78" w:rsidP="001B7F78">
      <w:pPr>
        <w:pStyle w:val="PPVBody"/>
      </w:pPr>
      <w:r w:rsidRPr="007D6422">
        <w:lastRenderedPageBreak/>
        <w:t>Notwithstanding the Min</w:t>
      </w:r>
      <w:r w:rsidR="0060322C">
        <w:t>i</w:t>
      </w:r>
      <w:r w:rsidRPr="007D6422">
        <w:t xml:space="preserve">ster’s oral submissions on the final day of the Hearing, the Review Panel considers that the minimum affordable housing requirement </w:t>
      </w:r>
      <w:r w:rsidRPr="007D6422">
        <w:rPr>
          <w:u w:val="single"/>
        </w:rPr>
        <w:t>should</w:t>
      </w:r>
      <w:r w:rsidRPr="007D6422">
        <w:t xml:space="preserve"> apply on a site-by-site basis.  If it does not, there is little prospect that affordable housing will be delivered as part of development in Fishermans Bend.  In the absence of any firm commitments, or even indications, as to how affordable housing is to be delivered other than through incentivising developers through FAU to deliver social housing, this is unacceptable.</w:t>
      </w:r>
    </w:p>
    <w:p w:rsidR="001B7F78" w:rsidRDefault="001B7F78" w:rsidP="001B7F78">
      <w:pPr>
        <w:pStyle w:val="PPVBody"/>
      </w:pPr>
      <w:r>
        <w:t>The Review Panel acknowledges that it may be more difficult to provide six per cent affordable housing on some sites than others.  Accordingly, the controls should set out circumstances in which it might be appropriate to relax this requirement, such as where the developer is able to establish that the affordable housing component would re</w:t>
      </w:r>
      <w:r w:rsidR="003E6457">
        <w:t>nder the development unviable</w:t>
      </w:r>
      <w:r w:rsidR="00A504B1">
        <w:t xml:space="preserve">.  The Review Panel notes that this approach is consistent with the approach to employment generating floor space in Clause 22.XX, and with </w:t>
      </w:r>
      <w:r w:rsidRPr="00A504B1">
        <w:t xml:space="preserve">the approach in the </w:t>
      </w:r>
      <w:r w:rsidR="00A504B1" w:rsidRPr="00CD1B37">
        <w:t xml:space="preserve">(yet to be tested) </w:t>
      </w:r>
      <w:r w:rsidRPr="00A504B1">
        <w:t>West Melbourne Structure Plan.</w:t>
      </w:r>
      <w:r w:rsidRPr="00A504B1">
        <w:rPr>
          <w:rStyle w:val="FootnoteReference"/>
        </w:rPr>
        <w:footnoteReference w:id="89"/>
      </w:r>
    </w:p>
    <w:p w:rsidR="00785416" w:rsidRDefault="00A504B1" w:rsidP="001B7F78">
      <w:pPr>
        <w:pStyle w:val="PPVBody"/>
      </w:pPr>
      <w:r>
        <w:t xml:space="preserve">Finally, the Review Panel notes that it has taken the approach of strengthening the policy basis for a </w:t>
      </w:r>
      <w:r w:rsidR="00DF3472">
        <w:t>six</w:t>
      </w:r>
      <w:r>
        <w:t xml:space="preserve"> per cent affordable housing contribution because there is currently no legislative basis for imposing mandatory affordable housing requirements in planning schemes.  There can be little doubt that, if there was a legislative basis for mandatory contributions, they would be more effective in ensuring the affordable housing targets and objectives for Fishermans Bend will be achieved.</w:t>
      </w:r>
    </w:p>
    <w:p w:rsidR="001B7F78" w:rsidRPr="00F34841" w:rsidRDefault="001B7F78" w:rsidP="001B7F78">
      <w:pPr>
        <w:pStyle w:val="Heading5"/>
      </w:pPr>
      <w:r w:rsidRPr="00A76BF2">
        <w:t>The FAU scheme</w:t>
      </w:r>
    </w:p>
    <w:p w:rsidR="001B7F78" w:rsidRDefault="001B7F78" w:rsidP="001B7F78">
      <w:pPr>
        <w:pStyle w:val="PPVBody"/>
      </w:pPr>
      <w:r>
        <w:t>The FAU mechanism is relatively untested in its capacity to effectively deliver social housing, at least</w:t>
      </w:r>
      <w:r w:rsidRPr="007F2B90">
        <w:t xml:space="preserve"> </w:t>
      </w:r>
      <w:r>
        <w:t xml:space="preserve">in the Victorian context.  The only other location in which it is used is the </w:t>
      </w:r>
      <w:r w:rsidR="0079402A">
        <w:t>C</w:t>
      </w:r>
      <w:r>
        <w:t xml:space="preserve">entral City area, and as </w:t>
      </w:r>
      <w:r w:rsidR="003E6457">
        <w:t xml:space="preserve">both </w:t>
      </w:r>
      <w:r>
        <w:t>Mr Milner and Dr Spiller pointed out, it is too early to properly assess its effectiveness.</w:t>
      </w:r>
    </w:p>
    <w:p w:rsidR="001B7F78" w:rsidRDefault="001B7F78" w:rsidP="001B7F78">
      <w:pPr>
        <w:pStyle w:val="PPVBody"/>
      </w:pPr>
      <w:r>
        <w:t>Having said that, evidence from several witnesses was that FAU is effective in various other locations throughout the world</w:t>
      </w:r>
      <w:r w:rsidRPr="00630FD7">
        <w:t xml:space="preserve"> </w:t>
      </w:r>
      <w:r>
        <w:t>to incentivise the delivery of affordable housing, and ensure affordability and diversity is maintained</w:t>
      </w:r>
      <w:r w:rsidRPr="001420C0">
        <w:t xml:space="preserve"> </w:t>
      </w:r>
      <w:r>
        <w:t>within communities.  Examples included Sydney, New York, London and Vancouver.</w:t>
      </w:r>
      <w:r w:rsidRPr="00820B43">
        <w:rPr>
          <w:rStyle w:val="FootnoteReference"/>
        </w:rPr>
        <w:footnoteReference w:id="90"/>
      </w:r>
      <w:r>
        <w:t xml:space="preserve">  </w:t>
      </w:r>
      <w:r w:rsidRPr="00A504B1">
        <w:t>Further, social housing is now the only form of public benefit which entitles a developer to FAU, making it more likely that the FAU scheme will be effective in delivering social housing.</w:t>
      </w:r>
    </w:p>
    <w:p w:rsidR="00785416" w:rsidRDefault="001B7F78" w:rsidP="001B7F78">
      <w:pPr>
        <w:pStyle w:val="PPVBody"/>
      </w:pPr>
      <w:r>
        <w:t xml:space="preserve">The FAU note </w:t>
      </w:r>
      <w:r w:rsidR="003C32A8">
        <w:t xml:space="preserve">that was included in the exhibited Amendment </w:t>
      </w:r>
      <w:r>
        <w:t>is no longer needed, because the Review Panel’s changes to Clause 22.XX translate relevant content from the FAU note into Clause 22.XX.  This addresses concerns of various submitters that the FAU note should be incorporated into the schemes if it is intended to guide discretion on whether to accept social housing in return for FAU.</w:t>
      </w:r>
    </w:p>
    <w:p w:rsidR="001B7F78" w:rsidRDefault="001B7F78" w:rsidP="001B7F78">
      <w:pPr>
        <w:pStyle w:val="PPVBody"/>
        <w:rPr>
          <w:rStyle w:val="PPVBodyChar"/>
          <w:sz w:val="24"/>
          <w:szCs w:val="24"/>
        </w:rPr>
      </w:pPr>
      <w:r>
        <w:t xml:space="preserve">Incentives (in the form of FAU) are only available for social housing, not for other types of affordable housing.  While the Review Panel’s changes to Clause 22.XX seek to strengthen its effectiveness in delivering affordable housing, the Review Panel has some doubt as to whether the local policy alone will be effective in delivering other forms of affordable housing.  </w:t>
      </w:r>
      <w:r>
        <w:rPr>
          <w:rStyle w:val="PPVBodyChar"/>
          <w:sz w:val="24"/>
          <w:szCs w:val="24"/>
        </w:rPr>
        <w:t xml:space="preserve">Other </w:t>
      </w:r>
      <w:r w:rsidRPr="0065512E">
        <w:rPr>
          <w:rStyle w:val="PPVBodyChar"/>
          <w:sz w:val="24"/>
          <w:szCs w:val="24"/>
        </w:rPr>
        <w:t xml:space="preserve">incentives </w:t>
      </w:r>
      <w:r>
        <w:rPr>
          <w:rStyle w:val="PPVBodyChar"/>
          <w:sz w:val="24"/>
          <w:szCs w:val="24"/>
        </w:rPr>
        <w:t>or government support may be required,</w:t>
      </w:r>
      <w:r w:rsidRPr="0065512E">
        <w:rPr>
          <w:rStyle w:val="PPVBodyChar"/>
          <w:sz w:val="24"/>
          <w:szCs w:val="24"/>
        </w:rPr>
        <w:t xml:space="preserve"> for example </w:t>
      </w:r>
      <w:r w:rsidR="003E6457">
        <w:rPr>
          <w:rStyle w:val="PPVBodyChar"/>
          <w:sz w:val="24"/>
          <w:szCs w:val="24"/>
        </w:rPr>
        <w:t xml:space="preserve">State </w:t>
      </w:r>
      <w:r>
        <w:rPr>
          <w:rStyle w:val="PPVBodyChar"/>
          <w:sz w:val="24"/>
          <w:szCs w:val="24"/>
        </w:rPr>
        <w:t>G</w:t>
      </w:r>
      <w:r w:rsidRPr="0065512E">
        <w:rPr>
          <w:rStyle w:val="PPVBodyChar"/>
          <w:sz w:val="24"/>
          <w:szCs w:val="24"/>
        </w:rPr>
        <w:t>overnment pre-commitment to contribute to the purchase of affordable housing dwellings</w:t>
      </w:r>
      <w:r>
        <w:rPr>
          <w:rStyle w:val="PPVBodyChar"/>
          <w:sz w:val="24"/>
          <w:szCs w:val="24"/>
        </w:rPr>
        <w:t xml:space="preserve">.  </w:t>
      </w:r>
      <w:r>
        <w:rPr>
          <w:rStyle w:val="PPVBodyChar"/>
          <w:sz w:val="24"/>
          <w:szCs w:val="24"/>
        </w:rPr>
        <w:lastRenderedPageBreak/>
        <w:t>Additional incentives or support should be explored, although this can occur outside the Amendment.</w:t>
      </w:r>
    </w:p>
    <w:p w:rsidR="001B7F78" w:rsidRDefault="001B7F78" w:rsidP="001B7F78">
      <w:pPr>
        <w:pStyle w:val="Heading5"/>
      </w:pPr>
      <w:r>
        <w:t>The 8:1 ratio</w:t>
      </w:r>
    </w:p>
    <w:p w:rsidR="001B7F78" w:rsidRDefault="001B7F78" w:rsidP="001B7F78">
      <w:pPr>
        <w:pStyle w:val="PPVBody"/>
      </w:pPr>
      <w:r>
        <w:t>The Review Panel does not consider it appropriate to endorse the proposed 8:1 ratio on the evidence before</w:t>
      </w:r>
      <w:r w:rsidR="003E6457">
        <w:t xml:space="preserve"> it</w:t>
      </w:r>
      <w:r>
        <w:t>.  However, it represents a starting point.  The uptake of FAU will need to be monitored.  If uptake is too low and insufficient social housing is being delivered, it may be necessary to adjust the ratio upward to provide more incentive to developers to provide social housing.  Similarly, if uptake is high, the 8:1 ratio may need to be adjusted downward.</w:t>
      </w:r>
    </w:p>
    <w:p w:rsidR="001B7F78" w:rsidRDefault="001B7F78" w:rsidP="001B7F78">
      <w:pPr>
        <w:pStyle w:val="Heading5"/>
      </w:pPr>
      <w:r>
        <w:t>The effect of a capped FAU</w:t>
      </w:r>
    </w:p>
    <w:p w:rsidR="001B7F78" w:rsidRDefault="001B7F78" w:rsidP="001B7F78">
      <w:pPr>
        <w:pStyle w:val="PPVBody"/>
      </w:pPr>
      <w:r>
        <w:t xml:space="preserve">Melbourne submitted that FAU should be capped.  The Review Panel </w:t>
      </w:r>
      <w:r w:rsidR="000C7F97">
        <w:t>does not support this submission</w:t>
      </w:r>
      <w:r>
        <w:t>.  The analysis in the Minister’s SIN 20 demonstrates that capping the FAU could potentially result in a significant under-delivery of social housing in Fishermans Bend as demonstrated in</w:t>
      </w:r>
      <w:r w:rsidR="00A504B1">
        <w:t xml:space="preserve"> </w:t>
      </w:r>
      <w:r w:rsidR="00A504B1">
        <w:fldChar w:fldCharType="begin"/>
      </w:r>
      <w:r w:rsidR="00A504B1">
        <w:instrText xml:space="preserve"> REF _Ref519690664 \h </w:instrText>
      </w:r>
      <w:r w:rsidR="00A504B1">
        <w:fldChar w:fldCharType="separate"/>
      </w:r>
      <w:r w:rsidR="00A307EC">
        <w:t xml:space="preserve">Table </w:t>
      </w:r>
      <w:r w:rsidR="00A307EC">
        <w:rPr>
          <w:noProof/>
        </w:rPr>
        <w:t>19</w:t>
      </w:r>
      <w:r w:rsidR="00A504B1">
        <w:fldChar w:fldCharType="end"/>
      </w:r>
      <w:r>
        <w:t>.</w:t>
      </w:r>
    </w:p>
    <w:p w:rsidR="001B7F78" w:rsidRDefault="001B7F78" w:rsidP="001B7F78">
      <w:pPr>
        <w:pStyle w:val="Caption"/>
      </w:pPr>
      <w:bookmarkStart w:id="375" w:name="_Ref519690664"/>
      <w:bookmarkStart w:id="376" w:name="_Toc519271078"/>
      <w:bookmarkStart w:id="377" w:name="_Toc519719144"/>
      <w:bookmarkStart w:id="378" w:name="_Toc519710367"/>
      <w:r>
        <w:t xml:space="preserve">Table </w:t>
      </w:r>
      <w:r>
        <w:rPr>
          <w:noProof/>
        </w:rPr>
        <w:fldChar w:fldCharType="begin"/>
      </w:r>
      <w:r>
        <w:rPr>
          <w:noProof/>
        </w:rPr>
        <w:instrText xml:space="preserve"> SEQ Table \* ARABIC </w:instrText>
      </w:r>
      <w:r>
        <w:rPr>
          <w:noProof/>
        </w:rPr>
        <w:fldChar w:fldCharType="separate"/>
      </w:r>
      <w:r w:rsidR="00A307EC">
        <w:rPr>
          <w:noProof/>
        </w:rPr>
        <w:t>19</w:t>
      </w:r>
      <w:r>
        <w:rPr>
          <w:noProof/>
        </w:rPr>
        <w:fldChar w:fldCharType="end"/>
      </w:r>
      <w:bookmarkEnd w:id="375"/>
      <w:r>
        <w:t>:</w:t>
      </w:r>
      <w:r>
        <w:tab/>
        <w:t>Effect of FAU cap based on an assumed 75 per cent build out</w:t>
      </w:r>
      <w:bookmarkEnd w:id="376"/>
      <w:bookmarkEnd w:id="377"/>
      <w:bookmarkEnd w:id="378"/>
    </w:p>
    <w:tbl>
      <w:tblPr>
        <w:tblW w:w="0" w:type="auto"/>
        <w:tblBorders>
          <w:bottom w:val="single" w:sz="12" w:space="0" w:color="215868"/>
          <w:insideH w:val="dotted" w:sz="4" w:space="0" w:color="auto"/>
        </w:tblBorders>
        <w:tblLayout w:type="fixed"/>
        <w:tblLook w:val="04A0" w:firstRow="1" w:lastRow="0" w:firstColumn="1" w:lastColumn="0" w:noHBand="0" w:noVBand="1"/>
      </w:tblPr>
      <w:tblGrid>
        <w:gridCol w:w="2321"/>
        <w:gridCol w:w="2321"/>
        <w:gridCol w:w="2322"/>
        <w:gridCol w:w="2322"/>
      </w:tblGrid>
      <w:tr w:rsidR="001B7F78" w:rsidTr="00FC2F90">
        <w:trPr>
          <w:cantSplit/>
          <w:tblHeader/>
        </w:trPr>
        <w:tc>
          <w:tcPr>
            <w:tcW w:w="2321" w:type="dxa"/>
            <w:tcBorders>
              <w:top w:val="nil"/>
              <w:bottom w:val="dotted" w:sz="4" w:space="0" w:color="auto"/>
            </w:tcBorders>
            <w:shd w:val="clear" w:color="auto" w:fill="215868"/>
            <w:vAlign w:val="bottom"/>
          </w:tcPr>
          <w:p w:rsidR="001B7F78" w:rsidRDefault="001B7F78" w:rsidP="00FC2F90">
            <w:pPr>
              <w:pStyle w:val="PPVTableHeader"/>
              <w:jc w:val="left"/>
            </w:pPr>
            <w:r>
              <w:t>FAU cap</w:t>
            </w:r>
          </w:p>
        </w:tc>
        <w:tc>
          <w:tcPr>
            <w:tcW w:w="2321" w:type="dxa"/>
            <w:tcBorders>
              <w:top w:val="nil"/>
              <w:bottom w:val="dotted" w:sz="4" w:space="0" w:color="auto"/>
            </w:tcBorders>
            <w:shd w:val="clear" w:color="auto" w:fill="215868"/>
            <w:vAlign w:val="bottom"/>
          </w:tcPr>
          <w:p w:rsidR="001B7F78" w:rsidRDefault="001B7F78" w:rsidP="00FC2F90">
            <w:pPr>
              <w:pStyle w:val="PPVTableHeader"/>
              <w:jc w:val="left"/>
            </w:pPr>
            <w:r>
              <w:t>Limit on additional dwellings</w:t>
            </w:r>
          </w:p>
        </w:tc>
        <w:tc>
          <w:tcPr>
            <w:tcW w:w="2322" w:type="dxa"/>
            <w:tcBorders>
              <w:top w:val="nil"/>
              <w:bottom w:val="dotted" w:sz="4" w:space="0" w:color="auto"/>
            </w:tcBorders>
            <w:shd w:val="clear" w:color="auto" w:fill="215868"/>
            <w:vAlign w:val="bottom"/>
          </w:tcPr>
          <w:p w:rsidR="001B7F78" w:rsidRDefault="001B7F78" w:rsidP="00FC2F90">
            <w:pPr>
              <w:pStyle w:val="PPVTableHeader"/>
              <w:jc w:val="left"/>
            </w:pPr>
            <w:r>
              <w:t>Additional social housing dwellings</w:t>
            </w:r>
          </w:p>
        </w:tc>
        <w:tc>
          <w:tcPr>
            <w:tcW w:w="2322" w:type="dxa"/>
            <w:tcBorders>
              <w:top w:val="nil"/>
              <w:bottom w:val="dotted" w:sz="4" w:space="0" w:color="auto"/>
            </w:tcBorders>
            <w:shd w:val="clear" w:color="auto" w:fill="215868"/>
            <w:vAlign w:val="bottom"/>
          </w:tcPr>
          <w:p w:rsidR="001B7F78" w:rsidRDefault="001B7F78" w:rsidP="00FC2F90">
            <w:pPr>
              <w:pStyle w:val="PPVTableHeader"/>
              <w:jc w:val="left"/>
            </w:pPr>
            <w:r>
              <w:t>Additional private dwellings</w:t>
            </w:r>
          </w:p>
        </w:tc>
      </w:tr>
      <w:tr w:rsidR="001B7F78" w:rsidRPr="002C6060" w:rsidTr="00FC2F90">
        <w:trPr>
          <w:cantSplit/>
        </w:trPr>
        <w:tc>
          <w:tcPr>
            <w:tcW w:w="2321" w:type="dxa"/>
            <w:tcBorders>
              <w:top w:val="dotted" w:sz="4" w:space="0" w:color="auto"/>
            </w:tcBorders>
            <w:shd w:val="clear" w:color="auto" w:fill="auto"/>
          </w:tcPr>
          <w:p w:rsidR="001B7F78" w:rsidRPr="002C6060" w:rsidRDefault="001B7F78" w:rsidP="00FC2F90">
            <w:pPr>
              <w:pStyle w:val="PPVTableText"/>
            </w:pPr>
            <w:r w:rsidRPr="002C6060">
              <w:t>10 per cent</w:t>
            </w:r>
          </w:p>
        </w:tc>
        <w:tc>
          <w:tcPr>
            <w:tcW w:w="2321" w:type="dxa"/>
            <w:tcBorders>
              <w:top w:val="dotted" w:sz="4" w:space="0" w:color="auto"/>
            </w:tcBorders>
            <w:shd w:val="clear" w:color="auto" w:fill="auto"/>
          </w:tcPr>
          <w:p w:rsidR="001B7F78" w:rsidRPr="002C6060" w:rsidRDefault="001B7F78" w:rsidP="00FC2F90">
            <w:pPr>
              <w:pStyle w:val="PPVTableText"/>
            </w:pPr>
            <w:r w:rsidRPr="002C6060">
              <w:t>5,901</w:t>
            </w:r>
          </w:p>
        </w:tc>
        <w:tc>
          <w:tcPr>
            <w:tcW w:w="2322" w:type="dxa"/>
            <w:tcBorders>
              <w:top w:val="dotted" w:sz="4" w:space="0" w:color="auto"/>
            </w:tcBorders>
            <w:shd w:val="clear" w:color="auto" w:fill="auto"/>
          </w:tcPr>
          <w:p w:rsidR="001B7F78" w:rsidRPr="002C6060" w:rsidRDefault="001B7F78" w:rsidP="00FC2F90">
            <w:pPr>
              <w:pStyle w:val="PPVTableText"/>
            </w:pPr>
            <w:r w:rsidRPr="002C6060">
              <w:t>656</w:t>
            </w:r>
          </w:p>
        </w:tc>
        <w:tc>
          <w:tcPr>
            <w:tcW w:w="2322" w:type="dxa"/>
            <w:tcBorders>
              <w:top w:val="dotted" w:sz="4" w:space="0" w:color="auto"/>
            </w:tcBorders>
            <w:shd w:val="clear" w:color="auto" w:fill="auto"/>
          </w:tcPr>
          <w:p w:rsidR="001B7F78" w:rsidRPr="002C6060" w:rsidRDefault="001B7F78" w:rsidP="00FC2F90">
            <w:pPr>
              <w:pStyle w:val="PPVTableText"/>
            </w:pPr>
            <w:r w:rsidRPr="002C6060">
              <w:t>5,245</w:t>
            </w:r>
          </w:p>
        </w:tc>
      </w:tr>
      <w:tr w:rsidR="001B7F78" w:rsidRPr="002C6060" w:rsidTr="00FC2F90">
        <w:trPr>
          <w:cantSplit/>
        </w:trPr>
        <w:tc>
          <w:tcPr>
            <w:tcW w:w="2321" w:type="dxa"/>
            <w:shd w:val="clear" w:color="auto" w:fill="auto"/>
          </w:tcPr>
          <w:p w:rsidR="001B7F78" w:rsidRPr="002C6060" w:rsidRDefault="001B7F78" w:rsidP="00FC2F90">
            <w:pPr>
              <w:pStyle w:val="PPVTableText"/>
            </w:pPr>
            <w:r w:rsidRPr="002C6060">
              <w:t>20 per cent</w:t>
            </w:r>
          </w:p>
        </w:tc>
        <w:tc>
          <w:tcPr>
            <w:tcW w:w="2321" w:type="dxa"/>
            <w:shd w:val="clear" w:color="auto" w:fill="auto"/>
          </w:tcPr>
          <w:p w:rsidR="001B7F78" w:rsidRPr="002C6060" w:rsidRDefault="001B7F78" w:rsidP="00FC2F90">
            <w:pPr>
              <w:pStyle w:val="PPVTableText"/>
            </w:pPr>
            <w:r w:rsidRPr="002C6060">
              <w:t>11,802</w:t>
            </w:r>
          </w:p>
        </w:tc>
        <w:tc>
          <w:tcPr>
            <w:tcW w:w="2322" w:type="dxa"/>
            <w:shd w:val="clear" w:color="auto" w:fill="auto"/>
          </w:tcPr>
          <w:p w:rsidR="001B7F78" w:rsidRPr="002C6060" w:rsidRDefault="001B7F78" w:rsidP="00FC2F90">
            <w:pPr>
              <w:pStyle w:val="PPVTableText"/>
            </w:pPr>
            <w:r w:rsidRPr="002C6060">
              <w:t>1,311</w:t>
            </w:r>
          </w:p>
        </w:tc>
        <w:tc>
          <w:tcPr>
            <w:tcW w:w="2322" w:type="dxa"/>
            <w:shd w:val="clear" w:color="auto" w:fill="auto"/>
          </w:tcPr>
          <w:p w:rsidR="001B7F78" w:rsidRPr="002C6060" w:rsidRDefault="001B7F78" w:rsidP="00FC2F90">
            <w:pPr>
              <w:pStyle w:val="PPVTableText"/>
            </w:pPr>
            <w:r w:rsidRPr="002C6060">
              <w:t>10,491</w:t>
            </w:r>
          </w:p>
        </w:tc>
      </w:tr>
      <w:tr w:rsidR="001B7F78" w:rsidRPr="002C6060" w:rsidTr="00FC2F90">
        <w:trPr>
          <w:cantSplit/>
        </w:trPr>
        <w:tc>
          <w:tcPr>
            <w:tcW w:w="2321" w:type="dxa"/>
            <w:shd w:val="clear" w:color="auto" w:fill="auto"/>
          </w:tcPr>
          <w:p w:rsidR="001B7F78" w:rsidRPr="002C6060" w:rsidRDefault="001B7F78" w:rsidP="00FC2F90">
            <w:pPr>
              <w:pStyle w:val="PPVTableText"/>
            </w:pPr>
            <w:r w:rsidRPr="002C6060">
              <w:t>30 per cent</w:t>
            </w:r>
          </w:p>
        </w:tc>
        <w:tc>
          <w:tcPr>
            <w:tcW w:w="2321" w:type="dxa"/>
            <w:shd w:val="clear" w:color="auto" w:fill="auto"/>
          </w:tcPr>
          <w:p w:rsidR="001B7F78" w:rsidRPr="002C6060" w:rsidRDefault="001B7F78" w:rsidP="00FC2F90">
            <w:pPr>
              <w:pStyle w:val="PPVTableText"/>
            </w:pPr>
            <w:r w:rsidRPr="002C6060">
              <w:t>17,703</w:t>
            </w:r>
          </w:p>
        </w:tc>
        <w:tc>
          <w:tcPr>
            <w:tcW w:w="2322" w:type="dxa"/>
            <w:shd w:val="clear" w:color="auto" w:fill="auto"/>
          </w:tcPr>
          <w:p w:rsidR="001B7F78" w:rsidRPr="002C6060" w:rsidRDefault="001B7F78" w:rsidP="00FC2F90">
            <w:pPr>
              <w:pStyle w:val="PPVTableText"/>
            </w:pPr>
            <w:r w:rsidRPr="002C6060">
              <w:t>1,967</w:t>
            </w:r>
          </w:p>
        </w:tc>
        <w:tc>
          <w:tcPr>
            <w:tcW w:w="2322" w:type="dxa"/>
            <w:shd w:val="clear" w:color="auto" w:fill="auto"/>
          </w:tcPr>
          <w:p w:rsidR="001B7F78" w:rsidRPr="002C6060" w:rsidRDefault="001B7F78" w:rsidP="00FC2F90">
            <w:pPr>
              <w:pStyle w:val="PPVTableText"/>
            </w:pPr>
            <w:r w:rsidRPr="002C6060">
              <w:t xml:space="preserve">15,736 </w:t>
            </w:r>
          </w:p>
        </w:tc>
      </w:tr>
    </w:tbl>
    <w:p w:rsidR="001B7F78" w:rsidRPr="00623C98" w:rsidRDefault="001B7F78" w:rsidP="001B7F78">
      <w:pPr>
        <w:pStyle w:val="PPVBody"/>
        <w:rPr>
          <w:sz w:val="20"/>
          <w:szCs w:val="20"/>
        </w:rPr>
      </w:pPr>
      <w:r w:rsidRPr="00623C98">
        <w:rPr>
          <w:sz w:val="20"/>
          <w:szCs w:val="20"/>
        </w:rPr>
        <w:t>Source: SIN 20</w:t>
      </w:r>
    </w:p>
    <w:p w:rsidR="001B7F78" w:rsidRPr="00F34841" w:rsidRDefault="001B7F78" w:rsidP="001B7F78">
      <w:pPr>
        <w:pStyle w:val="Heading5"/>
      </w:pPr>
      <w:r>
        <w:t xml:space="preserve">Limiting </w:t>
      </w:r>
      <w:r w:rsidRPr="00A76BF2">
        <w:t xml:space="preserve">FAU </w:t>
      </w:r>
      <w:r>
        <w:t>to social housing delivered above the six per cent affordable housing target</w:t>
      </w:r>
    </w:p>
    <w:p w:rsidR="00785416" w:rsidRDefault="001B7F78" w:rsidP="001B7F78">
      <w:pPr>
        <w:pStyle w:val="PPVBody"/>
      </w:pPr>
      <w:r w:rsidRPr="007901A4">
        <w:t xml:space="preserve">Melbourne recommended removing FAU for the base </w:t>
      </w:r>
      <w:r>
        <w:t>six</w:t>
      </w:r>
      <w:r w:rsidRPr="007901A4">
        <w:t xml:space="preserve"> per cent affordable housing in each</w:t>
      </w:r>
      <w:r>
        <w:t xml:space="preserve"> </w:t>
      </w:r>
      <w:r w:rsidR="00EE531A">
        <w:t>P</w:t>
      </w:r>
      <w:r>
        <w:t xml:space="preserve">recinct, and only allowing FAU for social housing delivered above the six per cent minimum </w:t>
      </w:r>
      <w:r w:rsidR="003E6457">
        <w:t>requirement</w:t>
      </w:r>
      <w:r>
        <w:t>.  This approach would be at odds with the Minister’s position that FAU should be available for all social housing delivered by developers.</w:t>
      </w:r>
    </w:p>
    <w:p w:rsidR="00785416" w:rsidRDefault="001B7F78" w:rsidP="001B7F78">
      <w:pPr>
        <w:pStyle w:val="PPVBody"/>
      </w:pPr>
      <w:r>
        <w:t xml:space="preserve">Provision of social housing is a critical issue in Fishermans Bend.  This weighs in favour of all social housing being eligible for an uplift, including social housing that is provided in satisfaction of the minimum </w:t>
      </w:r>
      <w:r w:rsidR="003E6457">
        <w:t>six</w:t>
      </w:r>
      <w:r>
        <w:t xml:space="preserve"> per cent affordable housing requirement under Clause 22.XX.  On the other hand, if this were the case, there may be little prospect of developers providing other forms of affordable housing within the minimum </w:t>
      </w:r>
      <w:r w:rsidR="003E6457">
        <w:t>six</w:t>
      </w:r>
      <w:r>
        <w:t xml:space="preserve"> per cent requirement.  This would be an equally poor outcome as an under-delivery of social housing.</w:t>
      </w:r>
    </w:p>
    <w:p w:rsidR="001B7F78" w:rsidRDefault="001B7F78" w:rsidP="001B7F78">
      <w:pPr>
        <w:pStyle w:val="PPVBody"/>
      </w:pPr>
      <w:r>
        <w:t xml:space="preserve">Therefore, on balance, the Review Panel agrees that FAU should only be available for social housing that is provided over and above the minimum </w:t>
      </w:r>
      <w:r w:rsidR="003E6457">
        <w:t>six</w:t>
      </w:r>
      <w:r>
        <w:t xml:space="preserve"> per cent affordable housing </w:t>
      </w:r>
      <w:r w:rsidR="00A504B1">
        <w:t xml:space="preserve">contribution referred to </w:t>
      </w:r>
      <w:r>
        <w:t>in Clause 22.XX.  This sends a clear message to the private sector that is it expected to play its part in delivering all forms of affordable housing in Fishermans Bend.</w:t>
      </w:r>
    </w:p>
    <w:p w:rsidR="00785416" w:rsidRDefault="001B7F78" w:rsidP="001B7F78">
      <w:pPr>
        <w:pStyle w:val="Heading5"/>
      </w:pPr>
      <w:r>
        <w:t>Need and nexus</w:t>
      </w:r>
    </w:p>
    <w:p w:rsidR="001B7F78" w:rsidRDefault="001B7F78" w:rsidP="001B7F78">
      <w:pPr>
        <w:pStyle w:val="PPVBody"/>
      </w:pPr>
      <w:r w:rsidRPr="00AD534F">
        <w:t>For completeness, the Review Panel notes the submissions of Mr Tweedie regarding need and nexus.  However</w:t>
      </w:r>
      <w:r>
        <w:t>,</w:t>
      </w:r>
      <w:r w:rsidRPr="00AD534F">
        <w:t xml:space="preserve"> it does not regard this as a fundamental obstacle</w:t>
      </w:r>
      <w:r>
        <w:t xml:space="preserve">.  The </w:t>
      </w:r>
      <w:r w:rsidRPr="00AD534F">
        <w:t xml:space="preserve">FAU scheme is purely voluntary.  </w:t>
      </w:r>
      <w:r>
        <w:t>Providing social housing will be a negotiated outcome, and n</w:t>
      </w:r>
      <w:r w:rsidRPr="00AD534F">
        <w:t xml:space="preserve">othing in the </w:t>
      </w:r>
      <w:r>
        <w:t xml:space="preserve">draft </w:t>
      </w:r>
      <w:r w:rsidRPr="00AD534F">
        <w:t>Amendment</w:t>
      </w:r>
      <w:r>
        <w:t>, including the Review Panel’s recommended version of Clause 22.XX,</w:t>
      </w:r>
      <w:r w:rsidRPr="00AD534F">
        <w:t xml:space="preserve"> </w:t>
      </w:r>
      <w:r w:rsidRPr="00AD534F">
        <w:lastRenderedPageBreak/>
        <w:t>compels developers to ‘gift’ social housing if they do not wish to do so.</w:t>
      </w:r>
      <w:r>
        <w:t xml:space="preserve">  The draft Amendment, including the proposed FAU scheme, relies on voluntary section 173 agreements to procure social housing from developers.  The draft Amendment is consistent with the emerging policy framework, including the Housing Affordability Act, in this regard.</w:t>
      </w:r>
    </w:p>
    <w:p w:rsidR="001B7F78" w:rsidRDefault="001B7F78" w:rsidP="001B7F78">
      <w:pPr>
        <w:pStyle w:val="Heading4"/>
      </w:pPr>
      <w:r>
        <w:t>Findings</w:t>
      </w:r>
    </w:p>
    <w:p w:rsidR="001B7F78" w:rsidRDefault="001B7F78" w:rsidP="001B7F78">
      <w:pPr>
        <w:pStyle w:val="PPVBody"/>
      </w:pPr>
      <w:r>
        <w:t>The Review Panel finds:</w:t>
      </w:r>
    </w:p>
    <w:p w:rsidR="001B7F78" w:rsidRDefault="001B7F78" w:rsidP="001B7F78">
      <w:pPr>
        <w:pStyle w:val="PPVBullet1"/>
      </w:pPr>
      <w:r>
        <w:t>Clause 22.XX-3 should be rewritten to:</w:t>
      </w:r>
    </w:p>
    <w:p w:rsidR="00785416" w:rsidRDefault="001B7F78" w:rsidP="001B7F78">
      <w:pPr>
        <w:pStyle w:val="PPVBullet2"/>
      </w:pPr>
      <w:r>
        <w:t xml:space="preserve">specify </w:t>
      </w:r>
      <w:r w:rsidR="00A504B1">
        <w:t xml:space="preserve">that it is policy that </w:t>
      </w:r>
      <w:r>
        <w:t>applications for residential development in Fishermans Bend</w:t>
      </w:r>
      <w:r w:rsidR="00A504B1" w:rsidRPr="00A504B1">
        <w:t xml:space="preserve"> </w:t>
      </w:r>
      <w:r w:rsidR="00A504B1">
        <w:t>include at least six per cent affordable housing</w:t>
      </w:r>
    </w:p>
    <w:p w:rsidR="001B7F78" w:rsidRDefault="001B7F78" w:rsidP="001B7F78">
      <w:pPr>
        <w:pStyle w:val="PPVBullet2"/>
      </w:pPr>
      <w:r>
        <w:t xml:space="preserve">specify appropriate circumstances in which the </w:t>
      </w:r>
      <w:r w:rsidR="00A504B1">
        <w:t xml:space="preserve">policy </w:t>
      </w:r>
      <w:r>
        <w:t>can be relaxed.</w:t>
      </w:r>
    </w:p>
    <w:p w:rsidR="001B7F78" w:rsidRDefault="001B7F78" w:rsidP="001B7F78">
      <w:pPr>
        <w:pStyle w:val="PPVBullet1"/>
      </w:pPr>
      <w:r>
        <w:t>The CCZ Schedule should include application requirements and decision guidelines linking back to the local policy requirements for affordable housing.</w:t>
      </w:r>
    </w:p>
    <w:p w:rsidR="001B7F78" w:rsidRDefault="001B7F78" w:rsidP="001B7F78">
      <w:pPr>
        <w:pStyle w:val="PPVBullet1"/>
      </w:pPr>
      <w:r>
        <w:t>Subject to monitoring and review, the FAU scheme is an appropriate mechanism to support the delivery of social housing in Fishermans Bend</w:t>
      </w:r>
      <w:r w:rsidR="003C32A8">
        <w:t xml:space="preserve">, although other incentives or </w:t>
      </w:r>
      <w:r w:rsidR="0079402A">
        <w:t>g</w:t>
      </w:r>
      <w:r>
        <w:t xml:space="preserve">overnment support </w:t>
      </w:r>
      <w:r w:rsidR="003C32A8">
        <w:t>are</w:t>
      </w:r>
      <w:r>
        <w:t xml:space="preserve"> likely to be required to deliver affordable housing that is not social housing</w:t>
      </w:r>
      <w:r w:rsidR="00A504B1">
        <w:t xml:space="preserve"> (including a legislative basis for mandatory affordable housing requirements)</w:t>
      </w:r>
      <w:r>
        <w:t>.</w:t>
      </w:r>
      <w:r w:rsidR="00B607EB" w:rsidRPr="00B607EB">
        <w:t xml:space="preserve"> </w:t>
      </w:r>
      <w:r w:rsidR="000513D7">
        <w:t xml:space="preserve"> </w:t>
      </w:r>
      <w:r>
        <w:t>These should be explored</w:t>
      </w:r>
      <w:r w:rsidRPr="00E44695">
        <w:rPr>
          <w:rStyle w:val="PPVBodyChar"/>
          <w:sz w:val="24"/>
          <w:szCs w:val="24"/>
        </w:rPr>
        <w:t xml:space="preserve"> outside th</w:t>
      </w:r>
      <w:r w:rsidR="003C32A8">
        <w:rPr>
          <w:rStyle w:val="PPVBodyChar"/>
          <w:sz w:val="24"/>
          <w:szCs w:val="24"/>
        </w:rPr>
        <w:t>is draft</w:t>
      </w:r>
      <w:r w:rsidRPr="00E44695">
        <w:rPr>
          <w:rStyle w:val="PPVBodyChar"/>
          <w:sz w:val="24"/>
          <w:szCs w:val="24"/>
        </w:rPr>
        <w:t xml:space="preserve"> Amendment</w:t>
      </w:r>
      <w:r>
        <w:t>.</w:t>
      </w:r>
    </w:p>
    <w:p w:rsidR="00785416" w:rsidRDefault="001B7F78" w:rsidP="001B7F78">
      <w:pPr>
        <w:pStyle w:val="PPVBullet1"/>
      </w:pPr>
      <w:r>
        <w:t xml:space="preserve">FAU should only be available for social housing delivered above the minimum </w:t>
      </w:r>
      <w:r w:rsidR="000F5B3F">
        <w:t>six</w:t>
      </w:r>
      <w:r>
        <w:t xml:space="preserve"> per cent affordable housing </w:t>
      </w:r>
      <w:r w:rsidR="00A504B1">
        <w:t>referred to in the local policy</w:t>
      </w:r>
      <w:r>
        <w:t>.</w:t>
      </w:r>
    </w:p>
    <w:p w:rsidR="001B7F78" w:rsidRDefault="001B7F78" w:rsidP="001B7F78">
      <w:pPr>
        <w:pStyle w:val="PPVBullet1"/>
      </w:pPr>
      <w:r>
        <w:t>The Review Panel does not consider it appropriate to endorse the proposed 8:1 ratio on the evidence before</w:t>
      </w:r>
      <w:r w:rsidR="003C32A8">
        <w:t xml:space="preserve"> it</w:t>
      </w:r>
      <w:r>
        <w:t>, but considers that it represents a reasonable starting point.  The ratio may need to be adjusted depending on the delivery of social housing and the uptake of FAU.</w:t>
      </w:r>
    </w:p>
    <w:p w:rsidR="001B7F78" w:rsidRDefault="001B7F78" w:rsidP="001B7F78">
      <w:pPr>
        <w:pStyle w:val="PPVBullet1"/>
      </w:pPr>
      <w:r>
        <w:t>The FAU note is no longer needed as a result of the Review Panel’s changes to Clau</w:t>
      </w:r>
      <w:r w:rsidR="000F5B3F">
        <w:t>se 22.XX-3 and the CCZ Schedule.</w:t>
      </w:r>
    </w:p>
    <w:p w:rsidR="001B7F78" w:rsidRDefault="001B7F78" w:rsidP="001B7F78">
      <w:pPr>
        <w:pStyle w:val="Heading2"/>
      </w:pPr>
      <w:bookmarkStart w:id="379" w:name="_Toc519270998"/>
      <w:bookmarkStart w:id="380" w:name="_Toc519710284"/>
      <w:bookmarkStart w:id="381" w:name="_Toc519766844"/>
      <w:r>
        <w:t>Flexibility in the delivery mechanisms</w:t>
      </w:r>
      <w:bookmarkEnd w:id="379"/>
      <w:bookmarkEnd w:id="380"/>
      <w:bookmarkEnd w:id="381"/>
    </w:p>
    <w:p w:rsidR="001B7F78" w:rsidRDefault="001B7F78" w:rsidP="001B7F78">
      <w:pPr>
        <w:pStyle w:val="Heading4"/>
      </w:pPr>
      <w:r>
        <w:t>Submissions and evidence</w:t>
      </w:r>
    </w:p>
    <w:p w:rsidR="001B7F78" w:rsidRDefault="001B7F78" w:rsidP="001B7F78">
      <w:pPr>
        <w:pStyle w:val="PPVBody"/>
      </w:pPr>
      <w:r>
        <w:t>The Councils and the MAC supported flexibility to allow developers to make cash-in-lieu contributions towards affordable housing, and to deliver ‘in-kind’ affordable housing contributions off-site.  Dr Spiller and Mr Milner supported flexibility in how developers deliver their affordable housing contributions.  According to Mr Milner, pooled contributions (whether cash or in-kind) are a more equitable and efficient way of delivering affordable housing.  They provide a source of funding to support partnerships with entities such a</w:t>
      </w:r>
      <w:r w:rsidR="000F5B3F">
        <w:t>s community housing providers, o</w:t>
      </w:r>
      <w:r>
        <w:t>ff-site contributions and cash-in-lieu contributions.</w:t>
      </w:r>
    </w:p>
    <w:p w:rsidR="001B7F78" w:rsidRDefault="001B7F78" w:rsidP="001B7F78">
      <w:pPr>
        <w:pStyle w:val="PPVBody"/>
      </w:pPr>
      <w:r>
        <w:t xml:space="preserve">Other delivery mechanisms </w:t>
      </w:r>
      <w:r w:rsidR="000124BB">
        <w:t xml:space="preserve">suggested by submitters </w:t>
      </w:r>
      <w:r>
        <w:t>included:</w:t>
      </w:r>
    </w:p>
    <w:p w:rsidR="001B7F78" w:rsidRDefault="001B7F78" w:rsidP="001B7F78">
      <w:pPr>
        <w:pStyle w:val="PPVBullet1"/>
      </w:pPr>
      <w:r>
        <w:t>an application with an affordable housing component is referred to an independent development assessment panel, with a guaranteed assessment period (maximum three months) and exemption from third party appeals, with or without a FAU</w:t>
      </w:r>
    </w:p>
    <w:p w:rsidR="001B7F78" w:rsidRDefault="001B7F78" w:rsidP="001B7F78">
      <w:pPr>
        <w:pStyle w:val="PPVBullet1"/>
      </w:pPr>
      <w:r>
        <w:t xml:space="preserve">a mandatory requirement that a developer sells a percentage of units at below market value (eg at a 30 per cent discount) to a not-for-profit housing provider or a private investor who manages the dwellings as affordable (such as through a ‘rent </w:t>
      </w:r>
      <w:r>
        <w:lastRenderedPageBreak/>
        <w:t>to buy’ arrangement) – a similar mechanism was recommended for Precinct 15 by the Panel considering Hobsons Bay Amendment C88</w:t>
      </w:r>
    </w:p>
    <w:p w:rsidR="001B7F78" w:rsidRDefault="001B7F78" w:rsidP="001B7F78">
      <w:pPr>
        <w:pStyle w:val="PPVBullet1"/>
      </w:pPr>
      <w:r>
        <w:t>cash contributions made direct to State Government or registered housing providers, with or without a FAU</w:t>
      </w:r>
    </w:p>
    <w:p w:rsidR="001B7F78" w:rsidRDefault="001B7F78" w:rsidP="001B7F78">
      <w:pPr>
        <w:pStyle w:val="PPVBullet1"/>
      </w:pPr>
      <w:r>
        <w:t>the Homes for Homes model (S88), which broadly involves voluntary tax-deductible donations of 0.1% of sale proceeds of all dwellings to independent social enterprise Homes for Homes, who would pool the contributions and invest them in increasing the supply of social and affordable housing across Melbourne</w:t>
      </w:r>
    </w:p>
    <w:p w:rsidR="001B7F78" w:rsidRDefault="001B7F78" w:rsidP="001B7F78">
      <w:pPr>
        <w:pStyle w:val="PPVBullet1"/>
      </w:pPr>
      <w:r>
        <w:t>other affordable home ownership models such as ‘build to rent’ schemes, shared equity housing and community land trusts.</w:t>
      </w:r>
    </w:p>
    <w:p w:rsidR="001B7F78" w:rsidRDefault="001B7F78" w:rsidP="001B7F78">
      <w:pPr>
        <w:pStyle w:val="Heading4"/>
      </w:pPr>
      <w:r>
        <w:t>Discussion</w:t>
      </w:r>
    </w:p>
    <w:p w:rsidR="00785416" w:rsidRDefault="001B7F78" w:rsidP="001B7F78">
      <w:pPr>
        <w:pStyle w:val="PPVBody"/>
      </w:pPr>
      <w:r>
        <w:t>The Review Panel agrees that there are potential benefits in allowing a degree of flexibility in how affordable housing contributions are delivered.  However, more work will be needed to facilitate this level of flexibility.  Transparency and consistency are crucial.  If cash contributions are to be accepted, the amount must be supported by clear and robust financial analysis, and must be applied consistently across Fishermans Bend.</w:t>
      </w:r>
      <w:r w:rsidR="007D6422">
        <w:t xml:space="preserve">  Consideration needs to be given to whether there is a suitable statutory basis for pooled contributions to affordable housing.</w:t>
      </w:r>
    </w:p>
    <w:p w:rsidR="00785416" w:rsidRDefault="001B7F78" w:rsidP="001B7F78">
      <w:pPr>
        <w:pStyle w:val="PPVBody"/>
      </w:pPr>
      <w:r>
        <w:t>Affordable housing that is funded or supported by pooled contributions (whether they be cash or in-kind contributions) should be strategically planned and coordinated in the right locations, and remain integrated with (and not segregated from) the broader community.</w:t>
      </w:r>
      <w:r w:rsidRPr="00BF5296">
        <w:t xml:space="preserve"> </w:t>
      </w:r>
      <w:r>
        <w:t xml:space="preserve"> The Review Panel considers that any pooled contributions should be used to ensure that affordable housing is delivered within the Precinct from which the contribution was sourced.  Once a precinct has achieved its six per cent target, then it might be appropriate to allow pooled contributions to be used to deliver affordable housing in another Precinct within Fishermans Bend.</w:t>
      </w:r>
      <w:r w:rsidRPr="00BF5296">
        <w:t xml:space="preserve"> </w:t>
      </w:r>
      <w:r>
        <w:t xml:space="preserve"> Governance arrangements will be required to ensure that this occurs.</w:t>
      </w:r>
    </w:p>
    <w:p w:rsidR="001B7F78" w:rsidRPr="0065512E" w:rsidRDefault="001B7F78" w:rsidP="001B7F78">
      <w:pPr>
        <w:pStyle w:val="PPVBody"/>
      </w:pPr>
      <w:r>
        <w:t>M</w:t>
      </w:r>
      <w:r w:rsidRPr="0065512E">
        <w:t xml:space="preserve">any practicalities will need to be worked through </w:t>
      </w:r>
      <w:r>
        <w:t xml:space="preserve">to ensure the successful </w:t>
      </w:r>
      <w:r w:rsidRPr="0065512E">
        <w:t>delivery of affordable and social housing in Fishermans Bend.  In particular, there are questions around the management arrangements</w:t>
      </w:r>
      <w:r>
        <w:t>, including</w:t>
      </w:r>
      <w:r w:rsidRPr="0065512E">
        <w:t>:</w:t>
      </w:r>
    </w:p>
    <w:p w:rsidR="001B7F78" w:rsidRDefault="001B7F78" w:rsidP="001B7F78">
      <w:pPr>
        <w:pStyle w:val="PPVBullet1"/>
      </w:pPr>
      <w:r>
        <w:t>how the registered participating agency proposed to own/manage the social housing will be identified, and by whom</w:t>
      </w:r>
    </w:p>
    <w:p w:rsidR="001B7F78" w:rsidRDefault="001B7F78" w:rsidP="001B7F78">
      <w:pPr>
        <w:pStyle w:val="PPVBullet1"/>
      </w:pPr>
      <w:r>
        <w:t>what happens if a suitable and willing registered participating agency cannot be found</w:t>
      </w:r>
    </w:p>
    <w:p w:rsidR="001B7F78" w:rsidRDefault="001B7F78" w:rsidP="001B7F78">
      <w:pPr>
        <w:pStyle w:val="PPVBullet1"/>
      </w:pPr>
      <w:r>
        <w:t>arrangements to ensure the dwellings are operated as social housing in perpetuity</w:t>
      </w:r>
    </w:p>
    <w:p w:rsidR="001B7F78" w:rsidRDefault="001B7F78" w:rsidP="001B7F78">
      <w:pPr>
        <w:pStyle w:val="PPVBullet1"/>
      </w:pPr>
      <w:r>
        <w:t>arrangements to manage other forms of affordable housing, and to ensure that it remains affordable in perpetuity (for example, through section 173 agreements).</w:t>
      </w:r>
    </w:p>
    <w:p w:rsidR="001B7F78" w:rsidRDefault="001B7F78" w:rsidP="001B7F78">
      <w:pPr>
        <w:pStyle w:val="PPVBody"/>
      </w:pPr>
      <w:r>
        <w:t>Some guidance is provided by recent panel reports in this regard, including the Precinct 15 report (Hobsons Bay C88).</w:t>
      </w:r>
    </w:p>
    <w:p w:rsidR="001B7F78" w:rsidRDefault="001B7F78" w:rsidP="001B7F78">
      <w:pPr>
        <w:pStyle w:val="PPVBody"/>
      </w:pPr>
      <w:r>
        <w:t>The Review Panel considers that these are not matters that need to be addressed directly in the draft Amendment, as more work is needed and a suitable support framework will need to be put in place.  This could be a responsibility of an overall governance body.</w:t>
      </w:r>
    </w:p>
    <w:p w:rsidR="00BD3A87" w:rsidRDefault="00BD3A87">
      <w:pPr>
        <w:spacing w:before="0"/>
        <w:jc w:val="left"/>
        <w:rPr>
          <w:b/>
        </w:rPr>
      </w:pPr>
      <w:r>
        <w:br w:type="page"/>
      </w:r>
    </w:p>
    <w:p w:rsidR="001B7F78" w:rsidRDefault="001B7F78" w:rsidP="001B7F78">
      <w:pPr>
        <w:pStyle w:val="Heading4"/>
      </w:pPr>
      <w:r>
        <w:lastRenderedPageBreak/>
        <w:t>Findings</w:t>
      </w:r>
    </w:p>
    <w:p w:rsidR="001B7F78" w:rsidRDefault="001B7F78" w:rsidP="001B7F78">
      <w:pPr>
        <w:pStyle w:val="PPVBody"/>
      </w:pPr>
      <w:r>
        <w:t>The Review Panel finds:</w:t>
      </w:r>
    </w:p>
    <w:p w:rsidR="001B7F78" w:rsidRDefault="001B7F78" w:rsidP="001B7F78">
      <w:pPr>
        <w:pStyle w:val="PPVBullet1"/>
      </w:pPr>
      <w:r>
        <w:t>It supports flexibility in how affordable housing contributions are to be delivered, including cash-in-lieu contributions and off-site</w:t>
      </w:r>
      <w:r w:rsidR="003C32A8">
        <w:t>,</w:t>
      </w:r>
      <w:r>
        <w:t xml:space="preserve"> in-kind contributions.  However, more work is needed to facilitate this flexibility.</w:t>
      </w:r>
    </w:p>
    <w:p w:rsidR="001B7F78" w:rsidRPr="00E20040" w:rsidRDefault="001B7F78" w:rsidP="001B7F78">
      <w:pPr>
        <w:pStyle w:val="PPVBullet1"/>
      </w:pPr>
      <w:r>
        <w:t>C</w:t>
      </w:r>
      <w:r w:rsidRPr="00E20040">
        <w:t>ash or off-site</w:t>
      </w:r>
      <w:r w:rsidR="003C32A8">
        <w:t>,</w:t>
      </w:r>
      <w:r w:rsidRPr="00E20040">
        <w:t xml:space="preserve"> in</w:t>
      </w:r>
      <w:r>
        <w:t>-</w:t>
      </w:r>
      <w:r w:rsidRPr="00E20040">
        <w:t xml:space="preserve">kind contributions should be used to deliver affordable housing within the </w:t>
      </w:r>
      <w:r>
        <w:t>P</w:t>
      </w:r>
      <w:r w:rsidRPr="00E20040">
        <w:t xml:space="preserve">recinct from which the contribution was sourced.  Once a </w:t>
      </w:r>
      <w:r>
        <w:t>P</w:t>
      </w:r>
      <w:r w:rsidRPr="00E20040">
        <w:t xml:space="preserve">recinct has achieved its </w:t>
      </w:r>
      <w:r>
        <w:t>six</w:t>
      </w:r>
      <w:r w:rsidRPr="00E20040">
        <w:t xml:space="preserve"> per cent target, then it might be appropriate to allow alternative contributions to be used to deliver affordable housing in another </w:t>
      </w:r>
      <w:r>
        <w:t>P</w:t>
      </w:r>
      <w:r w:rsidRPr="00E20040">
        <w:t>recinct within Fishermans Bend.</w:t>
      </w:r>
    </w:p>
    <w:p w:rsidR="001B7F78" w:rsidRPr="001C078B" w:rsidRDefault="001B7F78" w:rsidP="001B7F78">
      <w:pPr>
        <w:pStyle w:val="PPVBody"/>
        <w:rPr>
          <w:b/>
        </w:rPr>
      </w:pPr>
      <w:r>
        <w:rPr>
          <w:b/>
        </w:rPr>
        <w:t>In accordance with the primary recommendation of the Review Panel to progress Amendment GC81</w:t>
      </w:r>
      <w:r w:rsidRPr="001C078B">
        <w:rPr>
          <w:b/>
        </w:rPr>
        <w:t xml:space="preserve">, the following key changes have been included in the amended </w:t>
      </w:r>
      <w:r>
        <w:rPr>
          <w:b/>
        </w:rPr>
        <w:t xml:space="preserve">Clause 22.XX and the </w:t>
      </w:r>
      <w:r w:rsidRPr="001C078B">
        <w:rPr>
          <w:b/>
        </w:rPr>
        <w:t>Capital City Zone:</w:t>
      </w:r>
    </w:p>
    <w:p w:rsidR="001B7F78" w:rsidRPr="001C078B" w:rsidRDefault="001B7F78" w:rsidP="001B7F78">
      <w:pPr>
        <w:pStyle w:val="PPVRecommendationDrafting"/>
      </w:pPr>
      <w:r w:rsidRPr="001C078B">
        <w:t>In Clause 22.XX-3, include the Review Panel’s recommended wording regarding affordable housin</w:t>
      </w:r>
      <w:r w:rsidRPr="001C078B">
        <w:rPr>
          <w:rStyle w:val="PPVBodyChar"/>
        </w:rPr>
        <w:t>g.</w:t>
      </w:r>
    </w:p>
    <w:p w:rsidR="001B7F78" w:rsidRPr="001C078B" w:rsidRDefault="001B7F78" w:rsidP="001B7F78">
      <w:pPr>
        <w:pStyle w:val="PPVRecommendationDrafting"/>
      </w:pPr>
      <w:r w:rsidRPr="001C078B">
        <w:t>In the Capital City Zone, include the Review Panel’s recommended application requirements and decision guidelines regarding affordable housing.</w:t>
      </w:r>
    </w:p>
    <w:p w:rsidR="00A35456" w:rsidRDefault="00C7761C" w:rsidP="008B68A1">
      <w:pPr>
        <w:pStyle w:val="Heading1"/>
        <w:rPr>
          <w:rFonts w:asciiTheme="minorHAnsi" w:hAnsiTheme="minorHAnsi"/>
        </w:rPr>
      </w:pPr>
      <w:bookmarkStart w:id="382" w:name="_Toc519710285"/>
      <w:bookmarkStart w:id="383" w:name="_Toc519766845"/>
      <w:r w:rsidRPr="00A90F8A">
        <w:rPr>
          <w:rFonts w:asciiTheme="minorHAnsi" w:hAnsiTheme="minorHAnsi"/>
        </w:rPr>
        <w:lastRenderedPageBreak/>
        <w:t xml:space="preserve">Open </w:t>
      </w:r>
      <w:bookmarkEnd w:id="382"/>
      <w:r w:rsidR="00363FB4">
        <w:rPr>
          <w:rFonts w:asciiTheme="minorHAnsi" w:hAnsiTheme="minorHAnsi"/>
        </w:rPr>
        <w:t>s</w:t>
      </w:r>
      <w:r w:rsidRPr="00A90F8A">
        <w:rPr>
          <w:rFonts w:asciiTheme="minorHAnsi" w:hAnsiTheme="minorHAnsi"/>
        </w:rPr>
        <w:t>pace</w:t>
      </w:r>
      <w:bookmarkEnd w:id="383"/>
    </w:p>
    <w:p w:rsidR="00824A51" w:rsidRPr="00A90F8A" w:rsidRDefault="00623C98" w:rsidP="00DD6314">
      <w:pPr>
        <w:pStyle w:val="Heading2"/>
      </w:pPr>
      <w:bookmarkStart w:id="384" w:name="_Toc519710286"/>
      <w:bookmarkStart w:id="385" w:name="_Toc519766846"/>
      <w:bookmarkStart w:id="386" w:name="_Toc516753996"/>
      <w:bookmarkStart w:id="387" w:name="_Toc516065560"/>
      <w:r>
        <w:t>Context and k</w:t>
      </w:r>
      <w:r w:rsidR="00824A51" w:rsidRPr="00A90F8A">
        <w:t>ey issues</w:t>
      </w:r>
      <w:bookmarkEnd w:id="384"/>
      <w:bookmarkEnd w:id="385"/>
    </w:p>
    <w:p w:rsidR="00785416" w:rsidRDefault="00FC2F90" w:rsidP="00FC2F90">
      <w:pPr>
        <w:pStyle w:val="PPVBody"/>
      </w:pPr>
      <w:r>
        <w:t xml:space="preserve">The Vision </w:t>
      </w:r>
      <w:r w:rsidRPr="0043410E">
        <w:t>emphasises</w:t>
      </w:r>
      <w:r w:rsidRPr="00AF6500">
        <w:t xml:space="preserve"> the importance of providing high quality public open space to enhance liveability</w:t>
      </w:r>
      <w:r>
        <w:t xml:space="preserve"> and provide </w:t>
      </w:r>
      <w:r w:rsidRPr="00AF6500">
        <w:t>a foundation for strong communities</w:t>
      </w:r>
      <w:r>
        <w:t xml:space="preserve">.  It sets a </w:t>
      </w:r>
      <w:r w:rsidRPr="00AF6500">
        <w:t>benchmark of a network of open space within 200</w:t>
      </w:r>
      <w:r>
        <w:t xml:space="preserve"> metres</w:t>
      </w:r>
      <w:r w:rsidRPr="00AF6500">
        <w:t xml:space="preserve"> walking distance for all residents and workers</w:t>
      </w:r>
      <w:r>
        <w:t>.</w:t>
      </w:r>
      <w:r>
        <w:rPr>
          <w:rStyle w:val="FootnoteReference"/>
        </w:rPr>
        <w:footnoteReference w:id="91"/>
      </w:r>
    </w:p>
    <w:p w:rsidR="00FC2F90" w:rsidRPr="00A90F8A" w:rsidRDefault="00FC2F90" w:rsidP="00FC2F90">
      <w:pPr>
        <w:rPr>
          <w:rFonts w:asciiTheme="minorHAnsi" w:hAnsiTheme="minorHAnsi"/>
        </w:rPr>
      </w:pPr>
      <w:r w:rsidRPr="00A90F8A">
        <w:rPr>
          <w:rFonts w:asciiTheme="minorHAnsi" w:hAnsiTheme="minorHAnsi"/>
        </w:rPr>
        <w:t xml:space="preserve">The Taskforce engaged Planisphere to prepare the </w:t>
      </w:r>
      <w:r w:rsidRPr="00A90F8A">
        <w:rPr>
          <w:rFonts w:asciiTheme="minorHAnsi" w:hAnsiTheme="minorHAnsi"/>
          <w:i/>
        </w:rPr>
        <w:t>Fishermans Bend Public Space Strategy</w:t>
      </w:r>
      <w:r w:rsidRPr="00A90F8A">
        <w:rPr>
          <w:rFonts w:asciiTheme="minorHAnsi" w:hAnsiTheme="minorHAnsi"/>
        </w:rPr>
        <w:t xml:space="preserve"> April 2017 (the Planisphere Strategy)</w:t>
      </w:r>
      <w:r>
        <w:rPr>
          <w:rFonts w:asciiTheme="minorHAnsi" w:hAnsiTheme="minorHAnsi"/>
        </w:rPr>
        <w:t>, which informed the draft Framework and draft Amendment</w:t>
      </w:r>
      <w:r w:rsidRPr="00A90F8A">
        <w:rPr>
          <w:rFonts w:asciiTheme="minorHAnsi" w:hAnsiTheme="minorHAnsi"/>
        </w:rPr>
        <w:t>.  The Planisphere Strategy</w:t>
      </w:r>
      <w:r>
        <w:rPr>
          <w:rFonts w:asciiTheme="minorHAnsi" w:hAnsiTheme="minorHAnsi"/>
        </w:rPr>
        <w:t xml:space="preserve"> </w:t>
      </w:r>
      <w:r w:rsidRPr="00A90F8A">
        <w:rPr>
          <w:rFonts w:asciiTheme="minorHAnsi" w:hAnsiTheme="minorHAnsi"/>
        </w:rPr>
        <w:t>aimed to ensure the provision of “</w:t>
      </w:r>
      <w:r w:rsidRPr="00A90F8A">
        <w:rPr>
          <w:rFonts w:asciiTheme="minorHAnsi" w:hAnsiTheme="minorHAnsi"/>
          <w:i/>
        </w:rPr>
        <w:t>considered, resilient, robust and delightful spaces within a few minutes’ walk of every resident</w:t>
      </w:r>
      <w:r>
        <w:rPr>
          <w:rFonts w:asciiTheme="minorHAnsi" w:hAnsiTheme="minorHAnsi"/>
        </w:rPr>
        <w:t xml:space="preserve">”, in </w:t>
      </w:r>
      <w:r w:rsidRPr="00A90F8A">
        <w:rPr>
          <w:rFonts w:asciiTheme="minorHAnsi" w:hAnsiTheme="minorHAnsi"/>
        </w:rPr>
        <w:t>a hierarchy of open space consisting of:</w:t>
      </w:r>
    </w:p>
    <w:p w:rsidR="00FC2F90" w:rsidRPr="00A90F8A" w:rsidRDefault="00FC2F90" w:rsidP="00FC2F90">
      <w:pPr>
        <w:pStyle w:val="PPVBullet1"/>
      </w:pPr>
      <w:r w:rsidRPr="00A90F8A">
        <w:rPr>
          <w:rFonts w:asciiTheme="minorHAnsi" w:hAnsiTheme="minorHAnsi"/>
        </w:rPr>
        <w:t>metropolitan</w:t>
      </w:r>
    </w:p>
    <w:p w:rsidR="00FC2F90" w:rsidRPr="00A90F8A" w:rsidRDefault="00FC2F90" w:rsidP="00FC2F90">
      <w:pPr>
        <w:pStyle w:val="PPVBullet1"/>
      </w:pPr>
      <w:r w:rsidRPr="00A90F8A">
        <w:t>municipal/regional</w:t>
      </w:r>
    </w:p>
    <w:p w:rsidR="00FC2F90" w:rsidRPr="00A90F8A" w:rsidRDefault="00FC2F90" w:rsidP="00FC2F90">
      <w:pPr>
        <w:pStyle w:val="PPVBullet1"/>
      </w:pPr>
      <w:r w:rsidRPr="00A90F8A">
        <w:t>district</w:t>
      </w:r>
    </w:p>
    <w:p w:rsidR="00FC2F90" w:rsidRPr="00A90F8A" w:rsidRDefault="00FC2F90" w:rsidP="00FC2F90">
      <w:pPr>
        <w:pStyle w:val="PPVBullet1"/>
      </w:pPr>
      <w:r w:rsidRPr="00A90F8A">
        <w:t>precinct</w:t>
      </w:r>
    </w:p>
    <w:p w:rsidR="00FC2F90" w:rsidRPr="00A90F8A" w:rsidRDefault="00FC2F90" w:rsidP="00FC2F90">
      <w:pPr>
        <w:pStyle w:val="PPVBullet1"/>
      </w:pPr>
      <w:r w:rsidRPr="00A90F8A">
        <w:t>neighbourhood</w:t>
      </w:r>
    </w:p>
    <w:p w:rsidR="00FC2F90" w:rsidRDefault="00FC2F90" w:rsidP="00FC2F90">
      <w:pPr>
        <w:pStyle w:val="PPVBullet1"/>
      </w:pPr>
      <w:r w:rsidRPr="00A90F8A">
        <w:t>pocket and linear open spaces.</w:t>
      </w:r>
    </w:p>
    <w:p w:rsidR="00FC2F90" w:rsidRDefault="00FC2F90" w:rsidP="00FC2F90">
      <w:pPr>
        <w:pStyle w:val="PPVBody"/>
      </w:pPr>
      <w:r>
        <w:t xml:space="preserve">These principles are carried through to the draft Framework, which contemplates </w:t>
      </w:r>
      <w:r w:rsidRPr="00AF6500">
        <w:t>a network of green spaces designed for a range of active and passive uses</w:t>
      </w:r>
      <w:r>
        <w:t xml:space="preserve"> that </w:t>
      </w:r>
      <w:r w:rsidRPr="00AF6500">
        <w:t>encourage walking and cycling</w:t>
      </w:r>
      <w:r>
        <w:t xml:space="preserve">, and a </w:t>
      </w:r>
      <w:r w:rsidRPr="00AF6500">
        <w:t>distribution of diverse, well</w:t>
      </w:r>
      <w:r>
        <w:t>-</w:t>
      </w:r>
      <w:r w:rsidRPr="00AF6500">
        <w:t>designed and safe public open spaces</w:t>
      </w:r>
      <w:r>
        <w:t xml:space="preserve"> with varying degrees of overshadowing protection depending on their position in the hierarchy</w:t>
      </w:r>
      <w:r w:rsidRPr="00AF6500">
        <w:t>.</w:t>
      </w:r>
      <w:r>
        <w:rPr>
          <w:rStyle w:val="FootnoteReference"/>
        </w:rPr>
        <w:footnoteReference w:id="92"/>
      </w:r>
    </w:p>
    <w:p w:rsidR="00FC2F90" w:rsidRPr="00A90F8A" w:rsidRDefault="00FC2F90" w:rsidP="00FC2F90">
      <w:pPr>
        <w:pStyle w:val="PPVBody"/>
        <w:rPr>
          <w:rFonts w:asciiTheme="minorHAnsi" w:hAnsiTheme="minorHAnsi"/>
        </w:rPr>
      </w:pPr>
      <w:r w:rsidRPr="00A90F8A">
        <w:rPr>
          <w:rFonts w:asciiTheme="minorHAnsi" w:hAnsiTheme="minorHAnsi"/>
        </w:rPr>
        <w:t>The key issues to be addressed are:</w:t>
      </w:r>
    </w:p>
    <w:p w:rsidR="00FC2F90" w:rsidRDefault="00FC2F90" w:rsidP="00FC2F90">
      <w:pPr>
        <w:pStyle w:val="PPVBullet1"/>
      </w:pPr>
      <w:r w:rsidRPr="00A90F8A">
        <w:rPr>
          <w:rFonts w:asciiTheme="minorHAnsi" w:hAnsiTheme="minorHAnsi"/>
        </w:rPr>
        <w:t>quantum and distribution of public open space</w:t>
      </w:r>
    </w:p>
    <w:p w:rsidR="00FC2F90" w:rsidRPr="00A90F8A" w:rsidRDefault="00FC2F90" w:rsidP="00FC2F90">
      <w:pPr>
        <w:pStyle w:val="PPVBullet1"/>
      </w:pPr>
      <w:r w:rsidRPr="00A90F8A">
        <w:t>funding open space</w:t>
      </w:r>
    </w:p>
    <w:p w:rsidR="00FC2F90" w:rsidRDefault="00FC2F90" w:rsidP="00FC2F90">
      <w:pPr>
        <w:pStyle w:val="PPVBullet1"/>
      </w:pPr>
      <w:r w:rsidRPr="00A90F8A">
        <w:t xml:space="preserve">overshadowing </w:t>
      </w:r>
      <w:r>
        <w:t>requirements.</w:t>
      </w:r>
    </w:p>
    <w:p w:rsidR="00FC2F90" w:rsidRDefault="00FC2F90" w:rsidP="00FC2F90">
      <w:pPr>
        <w:pStyle w:val="PPVBody"/>
        <w:rPr>
          <w:rFonts w:asciiTheme="minorHAnsi" w:hAnsiTheme="minorHAnsi"/>
        </w:rPr>
      </w:pPr>
      <w:r>
        <w:t>M</w:t>
      </w:r>
      <w:r w:rsidRPr="00A90F8A">
        <w:t xml:space="preserve">echanisms for acquiring land for </w:t>
      </w:r>
      <w:r>
        <w:t xml:space="preserve">public purposes (including </w:t>
      </w:r>
      <w:r w:rsidRPr="00A90F8A">
        <w:t>open space</w:t>
      </w:r>
      <w:r>
        <w:t xml:space="preserve">) is addressed in </w:t>
      </w:r>
      <w:r w:rsidRPr="00210CCA">
        <w:t xml:space="preserve">Chapter </w:t>
      </w:r>
      <w:r>
        <w:t>14</w:t>
      </w:r>
      <w:r w:rsidRPr="00210CCA">
        <w:t xml:space="preserve">.  </w:t>
      </w:r>
      <w:r w:rsidRPr="00210CCA">
        <w:rPr>
          <w:rFonts w:asciiTheme="minorHAnsi" w:hAnsiTheme="minorHAnsi"/>
        </w:rPr>
        <w:t>Further</w:t>
      </w:r>
      <w:r>
        <w:rPr>
          <w:rFonts w:asciiTheme="minorHAnsi" w:hAnsiTheme="minorHAnsi"/>
        </w:rPr>
        <w:t xml:space="preserve"> site and Precinct</w:t>
      </w:r>
      <w:r w:rsidR="00165DB1">
        <w:rPr>
          <w:rFonts w:asciiTheme="minorHAnsi" w:hAnsiTheme="minorHAnsi"/>
        </w:rPr>
        <w:t xml:space="preserve"> </w:t>
      </w:r>
      <w:r w:rsidRPr="00A90F8A">
        <w:rPr>
          <w:rFonts w:asciiTheme="minorHAnsi" w:hAnsiTheme="minorHAnsi"/>
        </w:rPr>
        <w:t xml:space="preserve">specific issues are discussed in the </w:t>
      </w:r>
      <w:r>
        <w:rPr>
          <w:rFonts w:asciiTheme="minorHAnsi" w:hAnsiTheme="minorHAnsi"/>
        </w:rPr>
        <w:t xml:space="preserve">separate </w:t>
      </w:r>
      <w:r w:rsidRPr="00A90F8A">
        <w:rPr>
          <w:rFonts w:asciiTheme="minorHAnsi" w:hAnsiTheme="minorHAnsi"/>
        </w:rPr>
        <w:t>Precinct Reports.</w:t>
      </w:r>
    </w:p>
    <w:p w:rsidR="00FC2F90" w:rsidRPr="00A90F8A" w:rsidRDefault="00FC2F90" w:rsidP="00FC2F90">
      <w:pPr>
        <w:pStyle w:val="Heading2"/>
      </w:pPr>
      <w:bookmarkStart w:id="389" w:name="_Toc519271002"/>
      <w:bookmarkStart w:id="390" w:name="_Toc519710287"/>
      <w:bookmarkStart w:id="391" w:name="_Toc519766847"/>
      <w:r w:rsidRPr="00A90F8A">
        <w:t>Quantum and distribution of public open space</w:t>
      </w:r>
      <w:bookmarkEnd w:id="389"/>
      <w:bookmarkEnd w:id="390"/>
      <w:bookmarkEnd w:id="391"/>
    </w:p>
    <w:p w:rsidR="00FC2F90" w:rsidRDefault="00FC2F90" w:rsidP="00FC2F90">
      <w:pPr>
        <w:pStyle w:val="Heading4"/>
        <w:rPr>
          <w:rFonts w:asciiTheme="minorHAnsi" w:hAnsiTheme="minorHAnsi"/>
        </w:rPr>
      </w:pPr>
      <w:r w:rsidRPr="00A90F8A">
        <w:rPr>
          <w:rFonts w:asciiTheme="minorHAnsi" w:hAnsiTheme="minorHAnsi"/>
        </w:rPr>
        <w:t>Submissions and evidence</w:t>
      </w:r>
    </w:p>
    <w:p w:rsidR="00785416" w:rsidRDefault="00FC2F90" w:rsidP="00FC2F90">
      <w:pPr>
        <w:pStyle w:val="PPVBody"/>
        <w:rPr>
          <w:rFonts w:asciiTheme="minorHAnsi" w:hAnsiTheme="minorHAnsi"/>
        </w:rPr>
      </w:pPr>
      <w:r w:rsidRPr="00A90F8A">
        <w:rPr>
          <w:rFonts w:asciiTheme="minorHAnsi" w:hAnsiTheme="minorHAnsi"/>
        </w:rPr>
        <w:t xml:space="preserve">The </w:t>
      </w:r>
      <w:r w:rsidR="00FC563B">
        <w:rPr>
          <w:rFonts w:asciiTheme="minorHAnsi" w:hAnsiTheme="minorHAnsi"/>
        </w:rPr>
        <w:t xml:space="preserve">draft </w:t>
      </w:r>
      <w:r w:rsidRPr="00A90F8A">
        <w:rPr>
          <w:rFonts w:asciiTheme="minorHAnsi" w:hAnsiTheme="minorHAnsi"/>
        </w:rPr>
        <w:t>Framework proposes just over</w:t>
      </w:r>
      <w:r>
        <w:rPr>
          <w:rFonts w:asciiTheme="minorHAnsi" w:hAnsiTheme="minorHAnsi"/>
        </w:rPr>
        <w:t xml:space="preserve"> 106 hectares</w:t>
      </w:r>
      <w:r w:rsidRPr="00A90F8A">
        <w:rPr>
          <w:rFonts w:asciiTheme="minorHAnsi" w:hAnsiTheme="minorHAnsi"/>
        </w:rPr>
        <w:t xml:space="preserve"> of open space distributed across </w:t>
      </w:r>
      <w:r>
        <w:rPr>
          <w:rFonts w:asciiTheme="minorHAnsi" w:hAnsiTheme="minorHAnsi"/>
        </w:rPr>
        <w:t xml:space="preserve">Fishermans Bend, with roughly 42 hectares in the CCZ zoned Precincts and 64 hectares in the </w:t>
      </w:r>
      <w:r w:rsidRPr="00A90F8A">
        <w:rPr>
          <w:rFonts w:asciiTheme="minorHAnsi" w:hAnsiTheme="minorHAnsi"/>
        </w:rPr>
        <w:t xml:space="preserve">Employment Precinct.  </w:t>
      </w:r>
      <w:r>
        <w:rPr>
          <w:rFonts w:asciiTheme="minorHAnsi" w:hAnsiTheme="minorHAnsi"/>
        </w:rPr>
        <w:t xml:space="preserve">This amounts to between 4 and 6.6 square metres </w:t>
      </w:r>
      <w:r w:rsidRPr="00A90F8A">
        <w:rPr>
          <w:rFonts w:asciiTheme="minorHAnsi" w:hAnsiTheme="minorHAnsi"/>
        </w:rPr>
        <w:t xml:space="preserve">per resident and worker.  </w:t>
      </w:r>
      <w:r>
        <w:rPr>
          <w:rFonts w:asciiTheme="minorHAnsi" w:hAnsiTheme="minorHAnsi"/>
        </w:rPr>
        <w:t>The provision within some Precincts is significantly lower (1.6 square metres per resident and worker in Montague, and 2.7 square metres per resident and worker in Lorimer and Sandridge).</w:t>
      </w:r>
    </w:p>
    <w:p w:rsidR="00FC2F90" w:rsidRDefault="00FC2F90" w:rsidP="00FC2F90">
      <w:pPr>
        <w:pStyle w:val="PPVBody"/>
        <w:rPr>
          <w:rFonts w:asciiTheme="minorHAnsi" w:hAnsiTheme="minorHAnsi"/>
        </w:rPr>
      </w:pPr>
      <w:r w:rsidRPr="00A90F8A">
        <w:rPr>
          <w:rFonts w:asciiTheme="minorHAnsi" w:hAnsiTheme="minorHAnsi"/>
        </w:rPr>
        <w:t xml:space="preserve">The Minister called </w:t>
      </w:r>
      <w:r>
        <w:rPr>
          <w:rFonts w:asciiTheme="minorHAnsi" w:hAnsiTheme="minorHAnsi"/>
        </w:rPr>
        <w:t xml:space="preserve">Ms </w:t>
      </w:r>
      <w:r w:rsidRPr="00A90F8A">
        <w:rPr>
          <w:rFonts w:asciiTheme="minorHAnsi" w:hAnsiTheme="minorHAnsi"/>
        </w:rPr>
        <w:t>Thompson to address the quantum and distribution of open space</w:t>
      </w:r>
      <w:r>
        <w:rPr>
          <w:rFonts w:asciiTheme="minorHAnsi" w:hAnsiTheme="minorHAnsi"/>
        </w:rPr>
        <w:t xml:space="preserve">.  </w:t>
      </w:r>
      <w:r w:rsidRPr="00A90F8A">
        <w:rPr>
          <w:rFonts w:asciiTheme="minorHAnsi" w:hAnsiTheme="minorHAnsi"/>
        </w:rPr>
        <w:t xml:space="preserve">Her evidence was that there is no accepted standard for the quantum of open space that </w:t>
      </w:r>
      <w:r w:rsidRPr="00A90F8A">
        <w:rPr>
          <w:rFonts w:asciiTheme="minorHAnsi" w:hAnsiTheme="minorHAnsi"/>
        </w:rPr>
        <w:lastRenderedPageBreak/>
        <w:t xml:space="preserve">should be provided in high density residential areas like Fishermans Bend.  </w:t>
      </w:r>
      <w:r>
        <w:rPr>
          <w:rFonts w:asciiTheme="minorHAnsi" w:hAnsiTheme="minorHAnsi"/>
        </w:rPr>
        <w:t xml:space="preserve">She </w:t>
      </w:r>
      <w:r w:rsidRPr="00A90F8A">
        <w:rPr>
          <w:rFonts w:asciiTheme="minorHAnsi" w:hAnsiTheme="minorHAnsi"/>
        </w:rPr>
        <w:t>concluded that “</w:t>
      </w:r>
      <w:r w:rsidRPr="00A90F8A">
        <w:rPr>
          <w:rFonts w:asciiTheme="minorHAnsi" w:hAnsiTheme="minorHAnsi"/>
          <w:i/>
        </w:rPr>
        <w:t>with the changes I have recommended, I am satisfied that the quantum … will be acceptable</w:t>
      </w:r>
      <w:r w:rsidRPr="00A90F8A">
        <w:rPr>
          <w:rFonts w:asciiTheme="minorHAnsi" w:hAnsiTheme="minorHAnsi"/>
        </w:rPr>
        <w:t>”.  She highlighted the importance of ensuring a diverse offering of high quality open space catering for a range of uses, given the relatively low quantum proposed.</w:t>
      </w:r>
    </w:p>
    <w:p w:rsidR="00FC2F90" w:rsidRDefault="00FC2F90" w:rsidP="00FC2F90">
      <w:pPr>
        <w:pStyle w:val="PPVBody"/>
        <w:rPr>
          <w:rFonts w:asciiTheme="minorHAnsi" w:hAnsiTheme="minorHAnsi"/>
        </w:rPr>
      </w:pPr>
      <w:bookmarkStart w:id="392" w:name="_Toc519270780"/>
      <w:r>
        <w:rPr>
          <w:rFonts w:asciiTheme="minorHAnsi" w:hAnsiTheme="minorHAnsi"/>
        </w:rPr>
        <w:t xml:space="preserve">Ms Thompson’s calculations of the amount of open space per </w:t>
      </w:r>
      <w:r w:rsidRPr="00A90F8A">
        <w:rPr>
          <w:rFonts w:asciiTheme="minorHAnsi" w:hAnsiTheme="minorHAnsi"/>
        </w:rPr>
        <w:t>resident and worker</w:t>
      </w:r>
      <w:r w:rsidRPr="009F3323">
        <w:rPr>
          <w:rFonts w:asciiTheme="minorHAnsi" w:hAnsiTheme="minorHAnsi"/>
        </w:rPr>
        <w:t xml:space="preserve"> </w:t>
      </w:r>
      <w:r>
        <w:rPr>
          <w:rFonts w:asciiTheme="minorHAnsi" w:hAnsiTheme="minorHAnsi"/>
        </w:rPr>
        <w:t>are e</w:t>
      </w:r>
      <w:r w:rsidRPr="00210CCA">
        <w:rPr>
          <w:rFonts w:asciiTheme="minorHAnsi" w:hAnsiTheme="minorHAnsi"/>
        </w:rPr>
        <w:t xml:space="preserve">xtracted in </w:t>
      </w:r>
      <w:r w:rsidR="000E0848">
        <w:rPr>
          <w:rFonts w:asciiTheme="minorHAnsi" w:hAnsiTheme="minorHAnsi"/>
        </w:rPr>
        <w:fldChar w:fldCharType="begin"/>
      </w:r>
      <w:r w:rsidR="000E0848">
        <w:rPr>
          <w:rFonts w:asciiTheme="minorHAnsi" w:hAnsiTheme="minorHAnsi"/>
        </w:rPr>
        <w:instrText xml:space="preserve"> REF _Ref519718705 \h </w:instrText>
      </w:r>
      <w:r w:rsidR="000E0848">
        <w:rPr>
          <w:rFonts w:asciiTheme="minorHAnsi" w:hAnsiTheme="minorHAnsi"/>
        </w:rPr>
      </w:r>
      <w:r w:rsidR="000E0848">
        <w:rPr>
          <w:rFonts w:asciiTheme="minorHAnsi" w:hAnsiTheme="minorHAnsi"/>
        </w:rPr>
        <w:fldChar w:fldCharType="separate"/>
      </w:r>
      <w:r w:rsidR="00A307EC">
        <w:t xml:space="preserve">Table </w:t>
      </w:r>
      <w:r w:rsidR="00A307EC">
        <w:rPr>
          <w:noProof/>
        </w:rPr>
        <w:t>20</w:t>
      </w:r>
      <w:r w:rsidR="000E0848">
        <w:rPr>
          <w:rFonts w:asciiTheme="minorHAnsi" w:hAnsiTheme="minorHAnsi"/>
        </w:rPr>
        <w:fldChar w:fldCharType="end"/>
      </w:r>
      <w:r w:rsidR="000E0848">
        <w:rPr>
          <w:rFonts w:asciiTheme="minorHAnsi" w:hAnsiTheme="minorHAnsi"/>
        </w:rPr>
        <w:t xml:space="preserve"> </w:t>
      </w:r>
      <w:r>
        <w:rPr>
          <w:rFonts w:asciiTheme="minorHAnsi" w:hAnsiTheme="minorHAnsi"/>
        </w:rPr>
        <w:t xml:space="preserve">(with corrections to the arithmetic).  These include the open space in the Employment Precinct, and exclude </w:t>
      </w:r>
      <w:r w:rsidRPr="00A90F8A">
        <w:rPr>
          <w:rFonts w:asciiTheme="minorHAnsi" w:hAnsiTheme="minorHAnsi"/>
        </w:rPr>
        <w:t>the proposed linear parks and encumbered open space such as the transmission line easement</w:t>
      </w:r>
      <w:r>
        <w:rPr>
          <w:rFonts w:asciiTheme="minorHAnsi" w:hAnsiTheme="minorHAnsi"/>
        </w:rPr>
        <w:t>.</w:t>
      </w:r>
    </w:p>
    <w:p w:rsidR="002566E0" w:rsidRDefault="002566E0" w:rsidP="002566E0">
      <w:pPr>
        <w:pStyle w:val="PPVBody"/>
        <w:rPr>
          <w:rFonts w:asciiTheme="minorHAnsi" w:hAnsiTheme="minorHAnsi"/>
        </w:rPr>
      </w:pPr>
      <w:r>
        <w:rPr>
          <w:rFonts w:asciiTheme="minorHAnsi" w:hAnsiTheme="minorHAnsi"/>
        </w:rPr>
        <w:t xml:space="preserve">Ms Thompson’s calculations of the amount of open space per </w:t>
      </w:r>
      <w:r w:rsidRPr="00A90F8A">
        <w:rPr>
          <w:rFonts w:asciiTheme="minorHAnsi" w:hAnsiTheme="minorHAnsi"/>
        </w:rPr>
        <w:t>resident and worker</w:t>
      </w:r>
      <w:r w:rsidRPr="009F3323">
        <w:rPr>
          <w:rFonts w:asciiTheme="minorHAnsi" w:hAnsiTheme="minorHAnsi"/>
        </w:rPr>
        <w:t xml:space="preserve"> </w:t>
      </w:r>
      <w:r>
        <w:rPr>
          <w:rFonts w:asciiTheme="minorHAnsi" w:hAnsiTheme="minorHAnsi"/>
        </w:rPr>
        <w:t>are e</w:t>
      </w:r>
      <w:r w:rsidRPr="00210CCA">
        <w:rPr>
          <w:rFonts w:asciiTheme="minorHAnsi" w:hAnsiTheme="minorHAnsi"/>
        </w:rPr>
        <w:t xml:space="preserve">xtracted in </w:t>
      </w:r>
      <w:r>
        <w:rPr>
          <w:rFonts w:asciiTheme="minorHAnsi" w:hAnsiTheme="minorHAnsi"/>
        </w:rPr>
        <w:fldChar w:fldCharType="begin"/>
      </w:r>
      <w:r>
        <w:rPr>
          <w:rFonts w:asciiTheme="minorHAnsi" w:hAnsiTheme="minorHAnsi"/>
        </w:rPr>
        <w:instrText xml:space="preserve"> REF _Ref519692043 \h </w:instrText>
      </w:r>
      <w:r>
        <w:rPr>
          <w:rFonts w:asciiTheme="minorHAnsi" w:hAnsiTheme="minorHAnsi"/>
        </w:rPr>
      </w:r>
      <w:r>
        <w:rPr>
          <w:rFonts w:asciiTheme="minorHAnsi" w:hAnsiTheme="minorHAnsi"/>
        </w:rPr>
        <w:fldChar w:fldCharType="separate"/>
      </w:r>
      <w:r w:rsidR="00A307EC">
        <w:rPr>
          <w:noProof/>
        </w:rPr>
        <w:t>20</w:t>
      </w:r>
      <w:r>
        <w:rPr>
          <w:rFonts w:asciiTheme="minorHAnsi" w:hAnsiTheme="minorHAnsi"/>
        </w:rPr>
        <w:fldChar w:fldCharType="end"/>
      </w:r>
      <w:r>
        <w:rPr>
          <w:rFonts w:asciiTheme="minorHAnsi" w:hAnsiTheme="minorHAnsi"/>
        </w:rPr>
        <w:t xml:space="preserve"> (with corrections to the arithmetic).  These include the open space in the Employment Precinct, and exclude </w:t>
      </w:r>
      <w:r w:rsidRPr="00A90F8A">
        <w:rPr>
          <w:rFonts w:asciiTheme="minorHAnsi" w:hAnsiTheme="minorHAnsi"/>
        </w:rPr>
        <w:t>the proposed linear parks and encumbered open space such as the transmission line easement</w:t>
      </w:r>
      <w:r>
        <w:rPr>
          <w:rFonts w:asciiTheme="minorHAnsi" w:hAnsiTheme="minorHAnsi"/>
        </w:rPr>
        <w:t>.</w:t>
      </w:r>
    </w:p>
    <w:p w:rsidR="002566E0" w:rsidRDefault="002566E0" w:rsidP="002566E0">
      <w:pPr>
        <w:pStyle w:val="Caption"/>
        <w:rPr>
          <w:rFonts w:asciiTheme="minorHAnsi" w:hAnsiTheme="minorHAnsi"/>
        </w:rPr>
      </w:pPr>
      <w:bookmarkStart w:id="393" w:name="_Ref519718705"/>
      <w:bookmarkStart w:id="394" w:name="_Toc519719145"/>
      <w:bookmarkStart w:id="395" w:name="_Toc519710368"/>
      <w:r>
        <w:t xml:space="preserve">Table </w:t>
      </w:r>
      <w:bookmarkStart w:id="396" w:name="_Ref519692043"/>
      <w:r>
        <w:fldChar w:fldCharType="begin"/>
      </w:r>
      <w:r>
        <w:instrText xml:space="preserve"> SEQ Table \* ARABIC </w:instrText>
      </w:r>
      <w:r>
        <w:fldChar w:fldCharType="separate"/>
      </w:r>
      <w:r w:rsidR="00A307EC">
        <w:rPr>
          <w:noProof/>
        </w:rPr>
        <w:t>20</w:t>
      </w:r>
      <w:r>
        <w:rPr>
          <w:noProof/>
        </w:rPr>
        <w:fldChar w:fldCharType="end"/>
      </w:r>
      <w:bookmarkEnd w:id="393"/>
      <w:bookmarkEnd w:id="396"/>
      <w:r>
        <w:t>:</w:t>
      </w:r>
      <w:r>
        <w:tab/>
      </w:r>
      <w:r>
        <w:rPr>
          <w:rFonts w:asciiTheme="minorHAnsi" w:hAnsiTheme="minorHAnsi"/>
        </w:rPr>
        <w:t>C</w:t>
      </w:r>
      <w:r w:rsidRPr="00A90F8A">
        <w:rPr>
          <w:rFonts w:asciiTheme="minorHAnsi" w:hAnsiTheme="minorHAnsi"/>
        </w:rPr>
        <w:t>alculations of open space per resident/worker</w:t>
      </w:r>
      <w:bookmarkEnd w:id="394"/>
      <w:bookmarkEnd w:id="395"/>
      <w:r w:rsidRPr="00A90F8A">
        <w:rPr>
          <w:rFonts w:asciiTheme="minorHAnsi" w:hAnsiTheme="minorHAnsi"/>
        </w:rPr>
        <w:t xml:space="preserve"> </w:t>
      </w:r>
    </w:p>
    <w:tbl>
      <w:tblPr>
        <w:tblStyle w:val="TableGrid"/>
        <w:tblW w:w="9889" w:type="dxa"/>
        <w:tblBorders>
          <w:top w:val="none" w:sz="0" w:space="0" w:color="auto"/>
          <w:left w:val="none" w:sz="0" w:space="0" w:color="auto"/>
          <w:bottom w:val="single" w:sz="12" w:space="0" w:color="215868"/>
          <w:right w:val="none" w:sz="0" w:space="0" w:color="auto"/>
          <w:insideH w:val="dotted" w:sz="4" w:space="0" w:color="auto"/>
          <w:insideV w:val="none" w:sz="0" w:space="0" w:color="auto"/>
        </w:tblBorders>
        <w:tblLayout w:type="fixed"/>
        <w:tblLook w:val="04A0" w:firstRow="1" w:lastRow="0" w:firstColumn="1" w:lastColumn="0" w:noHBand="0" w:noVBand="1"/>
      </w:tblPr>
      <w:tblGrid>
        <w:gridCol w:w="1560"/>
        <w:gridCol w:w="992"/>
        <w:gridCol w:w="1417"/>
        <w:gridCol w:w="1418"/>
        <w:gridCol w:w="1559"/>
        <w:gridCol w:w="1559"/>
        <w:gridCol w:w="1384"/>
      </w:tblGrid>
      <w:tr w:rsidR="002566E0" w:rsidTr="002566E0">
        <w:trPr>
          <w:cantSplit/>
          <w:tblHeader/>
        </w:trPr>
        <w:tc>
          <w:tcPr>
            <w:tcW w:w="1560" w:type="dxa"/>
            <w:tcBorders>
              <w:top w:val="nil"/>
              <w:bottom w:val="dotted" w:sz="4" w:space="0" w:color="auto"/>
            </w:tcBorders>
            <w:shd w:val="clear" w:color="auto" w:fill="215868"/>
            <w:vAlign w:val="bottom"/>
          </w:tcPr>
          <w:p w:rsidR="002566E0" w:rsidRDefault="002566E0" w:rsidP="008D421B">
            <w:pPr>
              <w:pStyle w:val="PPVTableHeader"/>
            </w:pPr>
            <w:r>
              <w:t>Precinct</w:t>
            </w:r>
          </w:p>
        </w:tc>
        <w:tc>
          <w:tcPr>
            <w:tcW w:w="992" w:type="dxa"/>
            <w:tcBorders>
              <w:top w:val="nil"/>
              <w:bottom w:val="dotted" w:sz="4" w:space="0" w:color="auto"/>
            </w:tcBorders>
            <w:shd w:val="clear" w:color="auto" w:fill="215868"/>
            <w:vAlign w:val="bottom"/>
          </w:tcPr>
          <w:p w:rsidR="002566E0" w:rsidRDefault="002566E0" w:rsidP="008D421B">
            <w:pPr>
              <w:pStyle w:val="PPVTableHeader"/>
              <w:ind w:left="-105"/>
              <w:jc w:val="center"/>
            </w:pPr>
            <w:r>
              <w:t>Area (Ha)</w:t>
            </w:r>
          </w:p>
        </w:tc>
        <w:tc>
          <w:tcPr>
            <w:tcW w:w="1417" w:type="dxa"/>
            <w:tcBorders>
              <w:top w:val="nil"/>
              <w:bottom w:val="dotted" w:sz="4" w:space="0" w:color="auto"/>
            </w:tcBorders>
            <w:shd w:val="clear" w:color="auto" w:fill="215868"/>
            <w:vAlign w:val="bottom"/>
          </w:tcPr>
          <w:p w:rsidR="002566E0" w:rsidRDefault="002566E0" w:rsidP="008D421B">
            <w:pPr>
              <w:pStyle w:val="PPVTableHeader"/>
              <w:jc w:val="center"/>
            </w:pPr>
            <w:r>
              <w:t>Total residential population</w:t>
            </w:r>
          </w:p>
        </w:tc>
        <w:tc>
          <w:tcPr>
            <w:tcW w:w="1418" w:type="dxa"/>
            <w:tcBorders>
              <w:top w:val="nil"/>
              <w:bottom w:val="dotted" w:sz="4" w:space="0" w:color="auto"/>
            </w:tcBorders>
            <w:shd w:val="clear" w:color="auto" w:fill="215868"/>
            <w:vAlign w:val="bottom"/>
          </w:tcPr>
          <w:p w:rsidR="002566E0" w:rsidRDefault="002566E0" w:rsidP="008D421B">
            <w:pPr>
              <w:pStyle w:val="PPVTableHeader"/>
              <w:jc w:val="center"/>
            </w:pPr>
            <w:r>
              <w:t>Open space per resident</w:t>
            </w:r>
          </w:p>
          <w:p w:rsidR="002566E0" w:rsidRDefault="002566E0" w:rsidP="008D421B">
            <w:pPr>
              <w:pStyle w:val="PPVTableHeader"/>
              <w:jc w:val="center"/>
            </w:pPr>
            <w:r>
              <w:t>(sqm) 2050</w:t>
            </w:r>
          </w:p>
        </w:tc>
        <w:tc>
          <w:tcPr>
            <w:tcW w:w="1559" w:type="dxa"/>
            <w:tcBorders>
              <w:top w:val="nil"/>
              <w:bottom w:val="dotted" w:sz="4" w:space="0" w:color="auto"/>
            </w:tcBorders>
            <w:shd w:val="clear" w:color="auto" w:fill="215868"/>
            <w:vAlign w:val="bottom"/>
          </w:tcPr>
          <w:p w:rsidR="002566E0" w:rsidRDefault="002566E0" w:rsidP="008D421B">
            <w:pPr>
              <w:pStyle w:val="PPVTableHeader"/>
              <w:jc w:val="center"/>
            </w:pPr>
            <w:r>
              <w:t>Total worker population est 2050</w:t>
            </w:r>
          </w:p>
        </w:tc>
        <w:tc>
          <w:tcPr>
            <w:tcW w:w="1559" w:type="dxa"/>
            <w:tcBorders>
              <w:top w:val="nil"/>
              <w:bottom w:val="dotted" w:sz="4" w:space="0" w:color="auto"/>
            </w:tcBorders>
            <w:shd w:val="clear" w:color="auto" w:fill="215868"/>
            <w:vAlign w:val="bottom"/>
          </w:tcPr>
          <w:p w:rsidR="002566E0" w:rsidRDefault="002566E0" w:rsidP="008D421B">
            <w:pPr>
              <w:pStyle w:val="PPVTableHeader"/>
              <w:jc w:val="center"/>
            </w:pPr>
            <w:r>
              <w:t>Open space per resident and worker population (sqm) 2050</w:t>
            </w:r>
          </w:p>
        </w:tc>
        <w:tc>
          <w:tcPr>
            <w:tcW w:w="1384" w:type="dxa"/>
            <w:tcBorders>
              <w:top w:val="nil"/>
              <w:bottom w:val="dotted" w:sz="4" w:space="0" w:color="auto"/>
            </w:tcBorders>
            <w:shd w:val="clear" w:color="auto" w:fill="215868"/>
          </w:tcPr>
          <w:p w:rsidR="002566E0" w:rsidRDefault="002566E0" w:rsidP="008D421B">
            <w:pPr>
              <w:pStyle w:val="PPVTableHeader"/>
              <w:jc w:val="center"/>
            </w:pPr>
            <w:r>
              <w:t xml:space="preserve">Review Panel’s corrected calculations </w:t>
            </w:r>
          </w:p>
        </w:tc>
      </w:tr>
      <w:tr w:rsidR="002566E0" w:rsidTr="002566E0">
        <w:trPr>
          <w:cantSplit/>
        </w:trPr>
        <w:tc>
          <w:tcPr>
            <w:tcW w:w="1560" w:type="dxa"/>
            <w:tcBorders>
              <w:top w:val="dotted" w:sz="4" w:space="0" w:color="auto"/>
            </w:tcBorders>
            <w:shd w:val="clear" w:color="auto" w:fill="auto"/>
          </w:tcPr>
          <w:p w:rsidR="002566E0" w:rsidRDefault="002566E0" w:rsidP="008D421B">
            <w:pPr>
              <w:pStyle w:val="PPVTableText"/>
            </w:pPr>
            <w:r>
              <w:t>Montague</w:t>
            </w:r>
          </w:p>
        </w:tc>
        <w:tc>
          <w:tcPr>
            <w:tcW w:w="992" w:type="dxa"/>
            <w:tcBorders>
              <w:top w:val="dotted" w:sz="4" w:space="0" w:color="auto"/>
            </w:tcBorders>
            <w:shd w:val="clear" w:color="auto" w:fill="auto"/>
          </w:tcPr>
          <w:p w:rsidR="002566E0" w:rsidRDefault="002566E0" w:rsidP="008D421B">
            <w:pPr>
              <w:pStyle w:val="PPVTableText"/>
              <w:ind w:left="-105"/>
              <w:jc w:val="center"/>
            </w:pPr>
            <w:r>
              <w:t>3.76</w:t>
            </w:r>
          </w:p>
        </w:tc>
        <w:tc>
          <w:tcPr>
            <w:tcW w:w="1417" w:type="dxa"/>
            <w:tcBorders>
              <w:top w:val="dotted" w:sz="4" w:space="0" w:color="auto"/>
            </w:tcBorders>
            <w:shd w:val="clear" w:color="auto" w:fill="auto"/>
          </w:tcPr>
          <w:p w:rsidR="002566E0" w:rsidRDefault="002566E0" w:rsidP="008D421B">
            <w:pPr>
              <w:pStyle w:val="PPVTableText"/>
              <w:jc w:val="center"/>
            </w:pPr>
            <w:r>
              <w:t>20,800</w:t>
            </w:r>
          </w:p>
        </w:tc>
        <w:tc>
          <w:tcPr>
            <w:tcW w:w="1418" w:type="dxa"/>
            <w:tcBorders>
              <w:top w:val="dotted" w:sz="4" w:space="0" w:color="auto"/>
            </w:tcBorders>
            <w:shd w:val="clear" w:color="auto" w:fill="auto"/>
          </w:tcPr>
          <w:p w:rsidR="002566E0" w:rsidRDefault="002566E0" w:rsidP="008D421B">
            <w:pPr>
              <w:pStyle w:val="PPVTableText"/>
              <w:jc w:val="center"/>
            </w:pPr>
            <w:r>
              <w:t>1.8</w:t>
            </w:r>
          </w:p>
        </w:tc>
        <w:tc>
          <w:tcPr>
            <w:tcW w:w="1559" w:type="dxa"/>
            <w:tcBorders>
              <w:top w:val="dotted" w:sz="4" w:space="0" w:color="auto"/>
            </w:tcBorders>
            <w:shd w:val="clear" w:color="auto" w:fill="auto"/>
          </w:tcPr>
          <w:p w:rsidR="002566E0" w:rsidRDefault="002566E0" w:rsidP="008D421B">
            <w:pPr>
              <w:pStyle w:val="PPVTableText"/>
              <w:jc w:val="center"/>
            </w:pPr>
            <w:r>
              <w:t>4,000</w:t>
            </w:r>
          </w:p>
        </w:tc>
        <w:tc>
          <w:tcPr>
            <w:tcW w:w="1559" w:type="dxa"/>
            <w:tcBorders>
              <w:top w:val="dotted" w:sz="4" w:space="0" w:color="auto"/>
            </w:tcBorders>
            <w:shd w:val="clear" w:color="auto" w:fill="auto"/>
          </w:tcPr>
          <w:p w:rsidR="002566E0" w:rsidRDefault="002566E0" w:rsidP="008D421B">
            <w:pPr>
              <w:pStyle w:val="PPVTableText"/>
              <w:jc w:val="center"/>
            </w:pPr>
            <w:r>
              <w:t>1.6</w:t>
            </w:r>
          </w:p>
        </w:tc>
        <w:tc>
          <w:tcPr>
            <w:tcW w:w="1384" w:type="dxa"/>
            <w:tcBorders>
              <w:top w:val="dotted" w:sz="4" w:space="0" w:color="auto"/>
            </w:tcBorders>
            <w:vAlign w:val="center"/>
          </w:tcPr>
          <w:p w:rsidR="002566E0" w:rsidRPr="00296F3C" w:rsidRDefault="002566E0" w:rsidP="008D421B">
            <w:pPr>
              <w:pStyle w:val="PPVTableText"/>
              <w:jc w:val="center"/>
              <w:rPr>
                <w:rFonts w:cs="Times New Roman"/>
              </w:rPr>
            </w:pPr>
            <w:r w:rsidRPr="00296F3C">
              <w:t>1.5</w:t>
            </w:r>
          </w:p>
        </w:tc>
      </w:tr>
      <w:tr w:rsidR="002566E0" w:rsidTr="002566E0">
        <w:trPr>
          <w:cantSplit/>
        </w:trPr>
        <w:tc>
          <w:tcPr>
            <w:tcW w:w="1560" w:type="dxa"/>
            <w:shd w:val="clear" w:color="auto" w:fill="auto"/>
          </w:tcPr>
          <w:p w:rsidR="002566E0" w:rsidRDefault="002566E0" w:rsidP="008D421B">
            <w:pPr>
              <w:pStyle w:val="PPVTableText"/>
            </w:pPr>
            <w:r>
              <w:t>Sandridge</w:t>
            </w:r>
          </w:p>
        </w:tc>
        <w:tc>
          <w:tcPr>
            <w:tcW w:w="992" w:type="dxa"/>
            <w:shd w:val="clear" w:color="auto" w:fill="auto"/>
          </w:tcPr>
          <w:p w:rsidR="002566E0" w:rsidRDefault="002566E0" w:rsidP="008D421B">
            <w:pPr>
              <w:pStyle w:val="PPVTableText"/>
              <w:ind w:left="-105"/>
              <w:jc w:val="center"/>
            </w:pPr>
            <w:r>
              <w:t>11.36</w:t>
            </w:r>
          </w:p>
        </w:tc>
        <w:tc>
          <w:tcPr>
            <w:tcW w:w="1417" w:type="dxa"/>
            <w:shd w:val="clear" w:color="auto" w:fill="auto"/>
          </w:tcPr>
          <w:p w:rsidR="002566E0" w:rsidRDefault="002566E0" w:rsidP="008D421B">
            <w:pPr>
              <w:pStyle w:val="PPVTableText"/>
              <w:jc w:val="center"/>
            </w:pPr>
            <w:r>
              <w:t>29,600</w:t>
            </w:r>
          </w:p>
        </w:tc>
        <w:tc>
          <w:tcPr>
            <w:tcW w:w="1418" w:type="dxa"/>
            <w:shd w:val="clear" w:color="auto" w:fill="auto"/>
          </w:tcPr>
          <w:p w:rsidR="002566E0" w:rsidRDefault="002566E0" w:rsidP="008D421B">
            <w:pPr>
              <w:pStyle w:val="PPVTableText"/>
              <w:jc w:val="center"/>
            </w:pPr>
            <w:r>
              <w:t>3.8</w:t>
            </w:r>
          </w:p>
        </w:tc>
        <w:tc>
          <w:tcPr>
            <w:tcW w:w="1559" w:type="dxa"/>
            <w:shd w:val="clear" w:color="auto" w:fill="auto"/>
          </w:tcPr>
          <w:p w:rsidR="002566E0" w:rsidRDefault="002566E0" w:rsidP="008D421B">
            <w:pPr>
              <w:pStyle w:val="PPVTableText"/>
              <w:jc w:val="center"/>
            </w:pPr>
            <w:r>
              <w:t>26,000</w:t>
            </w:r>
          </w:p>
        </w:tc>
        <w:tc>
          <w:tcPr>
            <w:tcW w:w="1559" w:type="dxa"/>
            <w:shd w:val="clear" w:color="auto" w:fill="auto"/>
          </w:tcPr>
          <w:p w:rsidR="002566E0" w:rsidRDefault="002566E0" w:rsidP="008D421B">
            <w:pPr>
              <w:pStyle w:val="PPVTableText"/>
              <w:jc w:val="center"/>
            </w:pPr>
            <w:r>
              <w:t>2.7</w:t>
            </w:r>
          </w:p>
        </w:tc>
        <w:tc>
          <w:tcPr>
            <w:tcW w:w="1384" w:type="dxa"/>
            <w:vAlign w:val="center"/>
          </w:tcPr>
          <w:p w:rsidR="002566E0" w:rsidRPr="00296F3C" w:rsidRDefault="002566E0" w:rsidP="008D421B">
            <w:pPr>
              <w:pStyle w:val="PPVTableText"/>
              <w:jc w:val="center"/>
            </w:pPr>
            <w:r w:rsidRPr="00296F3C">
              <w:t>2.0</w:t>
            </w:r>
          </w:p>
        </w:tc>
      </w:tr>
      <w:tr w:rsidR="002566E0" w:rsidTr="002566E0">
        <w:trPr>
          <w:cantSplit/>
        </w:trPr>
        <w:tc>
          <w:tcPr>
            <w:tcW w:w="1560" w:type="dxa"/>
            <w:shd w:val="clear" w:color="auto" w:fill="auto"/>
          </w:tcPr>
          <w:p w:rsidR="002566E0" w:rsidRDefault="002566E0" w:rsidP="008D421B">
            <w:pPr>
              <w:pStyle w:val="PPVTableText"/>
            </w:pPr>
            <w:r>
              <w:t>Wirraway</w:t>
            </w:r>
          </w:p>
        </w:tc>
        <w:tc>
          <w:tcPr>
            <w:tcW w:w="992" w:type="dxa"/>
            <w:shd w:val="clear" w:color="auto" w:fill="auto"/>
          </w:tcPr>
          <w:p w:rsidR="002566E0" w:rsidRDefault="002566E0" w:rsidP="008D421B">
            <w:pPr>
              <w:pStyle w:val="PPVTableText"/>
              <w:ind w:left="-105"/>
              <w:jc w:val="center"/>
            </w:pPr>
            <w:r>
              <w:t>23.48</w:t>
            </w:r>
          </w:p>
        </w:tc>
        <w:tc>
          <w:tcPr>
            <w:tcW w:w="1417" w:type="dxa"/>
            <w:shd w:val="clear" w:color="auto" w:fill="auto"/>
          </w:tcPr>
          <w:p w:rsidR="002566E0" w:rsidRDefault="002566E0" w:rsidP="008D421B">
            <w:pPr>
              <w:pStyle w:val="PPVTableText"/>
              <w:jc w:val="center"/>
            </w:pPr>
            <w:r>
              <w:t>17,600</w:t>
            </w:r>
          </w:p>
        </w:tc>
        <w:tc>
          <w:tcPr>
            <w:tcW w:w="1418" w:type="dxa"/>
            <w:shd w:val="clear" w:color="auto" w:fill="auto"/>
          </w:tcPr>
          <w:p w:rsidR="002566E0" w:rsidRDefault="002566E0" w:rsidP="008D421B">
            <w:pPr>
              <w:pStyle w:val="PPVTableText"/>
              <w:jc w:val="center"/>
            </w:pPr>
            <w:r>
              <w:t>13.3</w:t>
            </w:r>
          </w:p>
        </w:tc>
        <w:tc>
          <w:tcPr>
            <w:tcW w:w="1559" w:type="dxa"/>
            <w:shd w:val="clear" w:color="auto" w:fill="auto"/>
          </w:tcPr>
          <w:p w:rsidR="002566E0" w:rsidRDefault="002566E0" w:rsidP="008D421B">
            <w:pPr>
              <w:pStyle w:val="PPVTableText"/>
              <w:jc w:val="center"/>
            </w:pPr>
            <w:r>
              <w:t>4,000</w:t>
            </w:r>
          </w:p>
        </w:tc>
        <w:tc>
          <w:tcPr>
            <w:tcW w:w="1559" w:type="dxa"/>
            <w:shd w:val="clear" w:color="auto" w:fill="auto"/>
          </w:tcPr>
          <w:p w:rsidR="002566E0" w:rsidRDefault="002566E0" w:rsidP="008D421B">
            <w:pPr>
              <w:pStyle w:val="PPVTableText"/>
              <w:jc w:val="center"/>
            </w:pPr>
            <w:r>
              <w:t>12.0</w:t>
            </w:r>
          </w:p>
        </w:tc>
        <w:tc>
          <w:tcPr>
            <w:tcW w:w="1384" w:type="dxa"/>
            <w:vAlign w:val="center"/>
          </w:tcPr>
          <w:p w:rsidR="002566E0" w:rsidRPr="00296F3C" w:rsidRDefault="002566E0" w:rsidP="008D421B">
            <w:pPr>
              <w:pStyle w:val="PPVTableText"/>
              <w:jc w:val="center"/>
            </w:pPr>
            <w:r w:rsidRPr="00296F3C">
              <w:t>10.9</w:t>
            </w:r>
          </w:p>
        </w:tc>
      </w:tr>
      <w:tr w:rsidR="002566E0" w:rsidTr="002566E0">
        <w:trPr>
          <w:cantSplit/>
        </w:trPr>
        <w:tc>
          <w:tcPr>
            <w:tcW w:w="1560" w:type="dxa"/>
            <w:shd w:val="clear" w:color="auto" w:fill="auto"/>
          </w:tcPr>
          <w:p w:rsidR="002566E0" w:rsidRDefault="002566E0" w:rsidP="008D421B">
            <w:pPr>
              <w:pStyle w:val="PPVTableText"/>
            </w:pPr>
            <w:r>
              <w:t>Lorimer</w:t>
            </w:r>
          </w:p>
        </w:tc>
        <w:tc>
          <w:tcPr>
            <w:tcW w:w="992" w:type="dxa"/>
            <w:shd w:val="clear" w:color="auto" w:fill="auto"/>
          </w:tcPr>
          <w:p w:rsidR="002566E0" w:rsidRDefault="002566E0" w:rsidP="008D421B">
            <w:pPr>
              <w:pStyle w:val="PPVTableText"/>
              <w:ind w:left="-105"/>
              <w:jc w:val="center"/>
            </w:pPr>
            <w:r>
              <w:t>4.11</w:t>
            </w:r>
          </w:p>
        </w:tc>
        <w:tc>
          <w:tcPr>
            <w:tcW w:w="1417" w:type="dxa"/>
            <w:shd w:val="clear" w:color="auto" w:fill="auto"/>
          </w:tcPr>
          <w:p w:rsidR="002566E0" w:rsidRDefault="002566E0" w:rsidP="008D421B">
            <w:pPr>
              <w:pStyle w:val="PPVTableText"/>
              <w:jc w:val="center"/>
            </w:pPr>
            <w:r>
              <w:t>12,000</w:t>
            </w:r>
          </w:p>
        </w:tc>
        <w:tc>
          <w:tcPr>
            <w:tcW w:w="1418" w:type="dxa"/>
            <w:shd w:val="clear" w:color="auto" w:fill="auto"/>
          </w:tcPr>
          <w:p w:rsidR="002566E0" w:rsidRDefault="002566E0" w:rsidP="008D421B">
            <w:pPr>
              <w:pStyle w:val="PPVTableText"/>
              <w:jc w:val="center"/>
            </w:pPr>
            <w:r>
              <w:t>3.4</w:t>
            </w:r>
          </w:p>
        </w:tc>
        <w:tc>
          <w:tcPr>
            <w:tcW w:w="1559" w:type="dxa"/>
            <w:shd w:val="clear" w:color="auto" w:fill="auto"/>
          </w:tcPr>
          <w:p w:rsidR="002566E0" w:rsidRDefault="002566E0" w:rsidP="008D421B">
            <w:pPr>
              <w:pStyle w:val="PPVTableText"/>
              <w:jc w:val="center"/>
            </w:pPr>
            <w:r>
              <w:t>6,000</w:t>
            </w:r>
          </w:p>
        </w:tc>
        <w:tc>
          <w:tcPr>
            <w:tcW w:w="1559" w:type="dxa"/>
            <w:shd w:val="clear" w:color="auto" w:fill="auto"/>
          </w:tcPr>
          <w:p w:rsidR="002566E0" w:rsidRDefault="002566E0" w:rsidP="008D421B">
            <w:pPr>
              <w:pStyle w:val="PPVTableText"/>
              <w:jc w:val="center"/>
            </w:pPr>
            <w:r>
              <w:t>2.7</w:t>
            </w:r>
          </w:p>
        </w:tc>
        <w:tc>
          <w:tcPr>
            <w:tcW w:w="1384" w:type="dxa"/>
            <w:vAlign w:val="center"/>
          </w:tcPr>
          <w:p w:rsidR="002566E0" w:rsidRPr="00296F3C" w:rsidRDefault="002566E0" w:rsidP="008D421B">
            <w:pPr>
              <w:pStyle w:val="PPVTableText"/>
              <w:jc w:val="center"/>
            </w:pPr>
            <w:r w:rsidRPr="00296F3C">
              <w:t>2.3</w:t>
            </w:r>
          </w:p>
        </w:tc>
      </w:tr>
      <w:tr w:rsidR="002566E0" w:rsidTr="002566E0">
        <w:trPr>
          <w:cantSplit/>
        </w:trPr>
        <w:tc>
          <w:tcPr>
            <w:tcW w:w="1560" w:type="dxa"/>
            <w:tcBorders>
              <w:bottom w:val="single" w:sz="4" w:space="0" w:color="984806" w:themeColor="accent6" w:themeShade="80"/>
            </w:tcBorders>
            <w:shd w:val="clear" w:color="auto" w:fill="auto"/>
          </w:tcPr>
          <w:p w:rsidR="002566E0" w:rsidRDefault="002566E0" w:rsidP="008D421B">
            <w:pPr>
              <w:pStyle w:val="PPVTableText"/>
            </w:pPr>
            <w:r>
              <w:t>Employment</w:t>
            </w:r>
          </w:p>
        </w:tc>
        <w:tc>
          <w:tcPr>
            <w:tcW w:w="992" w:type="dxa"/>
            <w:tcBorders>
              <w:bottom w:val="single" w:sz="4" w:space="0" w:color="984806" w:themeColor="accent6" w:themeShade="80"/>
            </w:tcBorders>
            <w:shd w:val="clear" w:color="auto" w:fill="auto"/>
          </w:tcPr>
          <w:p w:rsidR="002566E0" w:rsidRDefault="002566E0" w:rsidP="008D421B">
            <w:pPr>
              <w:pStyle w:val="PPVTableText"/>
              <w:ind w:left="-105"/>
              <w:jc w:val="center"/>
            </w:pPr>
            <w:r>
              <w:t>63.57</w:t>
            </w:r>
          </w:p>
        </w:tc>
        <w:tc>
          <w:tcPr>
            <w:tcW w:w="1417" w:type="dxa"/>
            <w:tcBorders>
              <w:bottom w:val="single" w:sz="4" w:space="0" w:color="984806" w:themeColor="accent6" w:themeShade="80"/>
            </w:tcBorders>
            <w:shd w:val="clear" w:color="auto" w:fill="auto"/>
          </w:tcPr>
          <w:p w:rsidR="002566E0" w:rsidRDefault="002566E0" w:rsidP="008D421B">
            <w:pPr>
              <w:pStyle w:val="PPVTableText"/>
              <w:jc w:val="center"/>
            </w:pPr>
            <w:r>
              <w:t>0</w:t>
            </w:r>
          </w:p>
        </w:tc>
        <w:tc>
          <w:tcPr>
            <w:tcW w:w="1418" w:type="dxa"/>
            <w:tcBorders>
              <w:bottom w:val="single" w:sz="4" w:space="0" w:color="984806" w:themeColor="accent6" w:themeShade="80"/>
            </w:tcBorders>
            <w:shd w:val="clear" w:color="auto" w:fill="auto"/>
          </w:tcPr>
          <w:p w:rsidR="002566E0" w:rsidRDefault="002566E0" w:rsidP="008D421B">
            <w:pPr>
              <w:pStyle w:val="PPVTableText"/>
              <w:jc w:val="center"/>
            </w:pPr>
            <w:r>
              <w:t>0.0</w:t>
            </w:r>
          </w:p>
        </w:tc>
        <w:tc>
          <w:tcPr>
            <w:tcW w:w="1559" w:type="dxa"/>
            <w:tcBorders>
              <w:bottom w:val="single" w:sz="4" w:space="0" w:color="984806" w:themeColor="accent6" w:themeShade="80"/>
            </w:tcBorders>
            <w:shd w:val="clear" w:color="auto" w:fill="auto"/>
          </w:tcPr>
          <w:p w:rsidR="002566E0" w:rsidRDefault="002566E0" w:rsidP="008D421B">
            <w:pPr>
              <w:pStyle w:val="PPVTableText"/>
              <w:jc w:val="center"/>
            </w:pPr>
            <w:r>
              <w:t>40,000</w:t>
            </w:r>
          </w:p>
        </w:tc>
        <w:tc>
          <w:tcPr>
            <w:tcW w:w="1559" w:type="dxa"/>
            <w:tcBorders>
              <w:bottom w:val="single" w:sz="4" w:space="0" w:color="984806" w:themeColor="accent6" w:themeShade="80"/>
            </w:tcBorders>
            <w:shd w:val="clear" w:color="auto" w:fill="auto"/>
          </w:tcPr>
          <w:p w:rsidR="002566E0" w:rsidRDefault="002566E0" w:rsidP="008D421B">
            <w:pPr>
              <w:pStyle w:val="PPVTableText"/>
              <w:jc w:val="center"/>
            </w:pPr>
            <w:r>
              <w:t>31.8</w:t>
            </w:r>
          </w:p>
        </w:tc>
        <w:tc>
          <w:tcPr>
            <w:tcW w:w="1384" w:type="dxa"/>
            <w:tcBorders>
              <w:bottom w:val="single" w:sz="4" w:space="0" w:color="984806" w:themeColor="accent6" w:themeShade="80"/>
            </w:tcBorders>
            <w:vAlign w:val="center"/>
          </w:tcPr>
          <w:p w:rsidR="002566E0" w:rsidRPr="00296F3C" w:rsidRDefault="002566E0" w:rsidP="008D421B">
            <w:pPr>
              <w:pStyle w:val="PPVTableText"/>
              <w:jc w:val="center"/>
            </w:pPr>
            <w:r w:rsidRPr="00296F3C">
              <w:t>15.9</w:t>
            </w:r>
          </w:p>
        </w:tc>
      </w:tr>
      <w:tr w:rsidR="002566E0" w:rsidRPr="008573DA" w:rsidTr="002566E0">
        <w:trPr>
          <w:cantSplit/>
        </w:trPr>
        <w:tc>
          <w:tcPr>
            <w:tcW w:w="1560" w:type="dxa"/>
            <w:tcBorders>
              <w:top w:val="single" w:sz="4" w:space="0" w:color="984806" w:themeColor="accent6" w:themeShade="80"/>
              <w:bottom w:val="single" w:sz="12" w:space="0" w:color="215868"/>
            </w:tcBorders>
            <w:shd w:val="clear" w:color="auto" w:fill="auto"/>
          </w:tcPr>
          <w:p w:rsidR="002566E0" w:rsidRPr="008573DA" w:rsidRDefault="002566E0" w:rsidP="008D421B">
            <w:pPr>
              <w:pStyle w:val="PPVTableText"/>
              <w:rPr>
                <w:b/>
              </w:rPr>
            </w:pPr>
            <w:r w:rsidRPr="008573DA">
              <w:rPr>
                <w:b/>
              </w:rPr>
              <w:t>Totals</w:t>
            </w:r>
          </w:p>
        </w:tc>
        <w:tc>
          <w:tcPr>
            <w:tcW w:w="992" w:type="dxa"/>
            <w:tcBorders>
              <w:top w:val="single" w:sz="4" w:space="0" w:color="984806" w:themeColor="accent6" w:themeShade="80"/>
              <w:bottom w:val="single" w:sz="12" w:space="0" w:color="215868"/>
            </w:tcBorders>
            <w:shd w:val="clear" w:color="auto" w:fill="auto"/>
          </w:tcPr>
          <w:p w:rsidR="002566E0" w:rsidRPr="008573DA" w:rsidRDefault="002566E0" w:rsidP="008D421B">
            <w:pPr>
              <w:pStyle w:val="PPVTableText"/>
              <w:ind w:left="-105"/>
              <w:jc w:val="center"/>
              <w:rPr>
                <w:b/>
              </w:rPr>
            </w:pPr>
            <w:r w:rsidRPr="008573DA">
              <w:rPr>
                <w:b/>
              </w:rPr>
              <w:t>106.28</w:t>
            </w:r>
          </w:p>
        </w:tc>
        <w:tc>
          <w:tcPr>
            <w:tcW w:w="1417" w:type="dxa"/>
            <w:tcBorders>
              <w:top w:val="single" w:sz="4" w:space="0" w:color="984806" w:themeColor="accent6" w:themeShade="80"/>
              <w:bottom w:val="single" w:sz="12" w:space="0" w:color="215868"/>
            </w:tcBorders>
            <w:shd w:val="clear" w:color="auto" w:fill="auto"/>
          </w:tcPr>
          <w:p w:rsidR="002566E0" w:rsidRPr="008573DA" w:rsidRDefault="002566E0" w:rsidP="008D421B">
            <w:pPr>
              <w:pStyle w:val="PPVTableText"/>
              <w:jc w:val="center"/>
              <w:rPr>
                <w:b/>
              </w:rPr>
            </w:pPr>
            <w:r w:rsidRPr="008573DA">
              <w:rPr>
                <w:b/>
              </w:rPr>
              <w:t>80,000</w:t>
            </w:r>
          </w:p>
        </w:tc>
        <w:tc>
          <w:tcPr>
            <w:tcW w:w="1418" w:type="dxa"/>
            <w:tcBorders>
              <w:top w:val="single" w:sz="4" w:space="0" w:color="984806" w:themeColor="accent6" w:themeShade="80"/>
              <w:bottom w:val="single" w:sz="12" w:space="0" w:color="215868"/>
            </w:tcBorders>
            <w:shd w:val="clear" w:color="auto" w:fill="auto"/>
          </w:tcPr>
          <w:p w:rsidR="002566E0" w:rsidRPr="008573DA" w:rsidRDefault="002566E0" w:rsidP="008D421B">
            <w:pPr>
              <w:pStyle w:val="PPVTableText"/>
              <w:jc w:val="center"/>
              <w:rPr>
                <w:b/>
              </w:rPr>
            </w:pPr>
            <w:r>
              <w:rPr>
                <w:b/>
              </w:rPr>
              <w:t>13.3</w:t>
            </w:r>
          </w:p>
        </w:tc>
        <w:tc>
          <w:tcPr>
            <w:tcW w:w="1559" w:type="dxa"/>
            <w:tcBorders>
              <w:top w:val="single" w:sz="4" w:space="0" w:color="984806" w:themeColor="accent6" w:themeShade="80"/>
              <w:bottom w:val="single" w:sz="12" w:space="0" w:color="215868"/>
            </w:tcBorders>
            <w:shd w:val="clear" w:color="auto" w:fill="auto"/>
          </w:tcPr>
          <w:p w:rsidR="002566E0" w:rsidRPr="008573DA" w:rsidRDefault="002566E0" w:rsidP="008D421B">
            <w:pPr>
              <w:pStyle w:val="PPVTableText"/>
              <w:jc w:val="center"/>
              <w:rPr>
                <w:b/>
              </w:rPr>
            </w:pPr>
            <w:r>
              <w:rPr>
                <w:b/>
              </w:rPr>
              <w:t>80,000</w:t>
            </w:r>
          </w:p>
        </w:tc>
        <w:tc>
          <w:tcPr>
            <w:tcW w:w="1559" w:type="dxa"/>
            <w:tcBorders>
              <w:top w:val="single" w:sz="4" w:space="0" w:color="984806" w:themeColor="accent6" w:themeShade="80"/>
              <w:bottom w:val="single" w:sz="12" w:space="0" w:color="215868"/>
            </w:tcBorders>
            <w:shd w:val="clear" w:color="auto" w:fill="auto"/>
          </w:tcPr>
          <w:p w:rsidR="002566E0" w:rsidRPr="008573DA" w:rsidRDefault="002566E0" w:rsidP="008D421B">
            <w:pPr>
              <w:pStyle w:val="PPVTableText"/>
              <w:jc w:val="center"/>
              <w:rPr>
                <w:b/>
              </w:rPr>
            </w:pPr>
            <w:r>
              <w:rPr>
                <w:b/>
              </w:rPr>
              <w:t>6.6</w:t>
            </w:r>
          </w:p>
        </w:tc>
        <w:tc>
          <w:tcPr>
            <w:tcW w:w="1384" w:type="dxa"/>
            <w:tcBorders>
              <w:top w:val="single" w:sz="4" w:space="0" w:color="984806" w:themeColor="accent6" w:themeShade="80"/>
              <w:bottom w:val="single" w:sz="12" w:space="0" w:color="215868"/>
            </w:tcBorders>
            <w:vAlign w:val="center"/>
          </w:tcPr>
          <w:p w:rsidR="002566E0" w:rsidRPr="00296F3C" w:rsidRDefault="002566E0" w:rsidP="008D421B">
            <w:pPr>
              <w:pStyle w:val="PPVTableText"/>
              <w:jc w:val="center"/>
            </w:pPr>
            <w:r w:rsidRPr="00296F3C">
              <w:t>6.6</w:t>
            </w:r>
          </w:p>
        </w:tc>
      </w:tr>
    </w:tbl>
    <w:p w:rsidR="00785416" w:rsidRDefault="002566E0" w:rsidP="002566E0">
      <w:pPr>
        <w:pStyle w:val="PPVBody"/>
        <w:rPr>
          <w:rFonts w:asciiTheme="minorHAnsi" w:hAnsiTheme="minorHAnsi"/>
          <w:sz w:val="20"/>
          <w:szCs w:val="20"/>
        </w:rPr>
      </w:pPr>
      <w:r w:rsidRPr="002D1D6D">
        <w:rPr>
          <w:rFonts w:asciiTheme="minorHAnsi" w:hAnsiTheme="minorHAnsi"/>
          <w:sz w:val="20"/>
          <w:szCs w:val="20"/>
        </w:rPr>
        <w:t>Source: Review Panel, based on Table B4 in Thompson Expert Witness Statement (D75)</w:t>
      </w:r>
    </w:p>
    <w:bookmarkEnd w:id="392"/>
    <w:p w:rsidR="00FC2F90" w:rsidRPr="00A90F8A" w:rsidRDefault="00FC2F90" w:rsidP="00FC2F90">
      <w:pPr>
        <w:pStyle w:val="PPVBody"/>
        <w:rPr>
          <w:rFonts w:asciiTheme="minorHAnsi" w:hAnsiTheme="minorHAnsi"/>
        </w:rPr>
      </w:pPr>
      <w:r w:rsidRPr="00A90F8A">
        <w:rPr>
          <w:rFonts w:asciiTheme="minorHAnsi" w:hAnsiTheme="minorHAnsi"/>
        </w:rPr>
        <w:t xml:space="preserve">Ms Thompson broadly supported the distribution of open space proposed in the </w:t>
      </w:r>
      <w:r>
        <w:rPr>
          <w:rFonts w:asciiTheme="minorHAnsi" w:hAnsiTheme="minorHAnsi"/>
        </w:rPr>
        <w:t xml:space="preserve">draft </w:t>
      </w:r>
      <w:r w:rsidRPr="00A90F8A">
        <w:rPr>
          <w:rFonts w:asciiTheme="minorHAnsi" w:hAnsiTheme="minorHAnsi"/>
        </w:rPr>
        <w:t>Framework, but recommended some adjustments to ensure that all residents and workers were located within 200</w:t>
      </w:r>
      <w:r>
        <w:rPr>
          <w:rFonts w:asciiTheme="minorHAnsi" w:hAnsiTheme="minorHAnsi"/>
        </w:rPr>
        <w:t xml:space="preserve"> </w:t>
      </w:r>
      <w:r w:rsidRPr="00A90F8A">
        <w:rPr>
          <w:rFonts w:asciiTheme="minorHAnsi" w:hAnsiTheme="minorHAnsi"/>
        </w:rPr>
        <w:t>m</w:t>
      </w:r>
      <w:r>
        <w:rPr>
          <w:rFonts w:asciiTheme="minorHAnsi" w:hAnsiTheme="minorHAnsi"/>
        </w:rPr>
        <w:t>etres</w:t>
      </w:r>
      <w:r w:rsidRPr="00A90F8A">
        <w:rPr>
          <w:rFonts w:asciiTheme="minorHAnsi" w:hAnsiTheme="minorHAnsi"/>
        </w:rPr>
        <w:t xml:space="preserve"> ‘safe and easy’ walking distance of public open space:</w:t>
      </w:r>
    </w:p>
    <w:p w:rsidR="00FC2F90" w:rsidRDefault="00FC2F90" w:rsidP="00FC2F90">
      <w:pPr>
        <w:pStyle w:val="PPVQuote"/>
        <w:rPr>
          <w:rFonts w:asciiTheme="minorHAnsi" w:hAnsiTheme="minorHAnsi"/>
        </w:rPr>
      </w:pPr>
      <w:r w:rsidRPr="00A90F8A">
        <w:rPr>
          <w:rFonts w:asciiTheme="minorHAnsi" w:hAnsiTheme="minorHAnsi"/>
        </w:rPr>
        <w:t>Safe and easy walking distance refers to the ability to walk to open space without crossing any major/collector roads, public transport corridors or major underpasses or overpasses that present a physical and mental barrier to being able to easily cross them.</w:t>
      </w:r>
      <w:r w:rsidRPr="00820B43">
        <w:rPr>
          <w:rStyle w:val="FootnoteReference"/>
          <w:rFonts w:asciiTheme="minorHAnsi" w:hAnsiTheme="minorHAnsi"/>
          <w:i w:val="0"/>
        </w:rPr>
        <w:footnoteReference w:id="93"/>
      </w:r>
    </w:p>
    <w:p w:rsidR="00B40278" w:rsidRDefault="00FC2F90" w:rsidP="00FC2F90">
      <w:pPr>
        <w:pStyle w:val="PPVBody"/>
        <w:rPr>
          <w:rFonts w:asciiTheme="minorHAnsi" w:hAnsiTheme="minorHAnsi"/>
        </w:rPr>
      </w:pPr>
      <w:r w:rsidRPr="00A90F8A">
        <w:rPr>
          <w:rFonts w:asciiTheme="minorHAnsi" w:hAnsiTheme="minorHAnsi"/>
        </w:rPr>
        <w:t xml:space="preserve">The Councils </w:t>
      </w:r>
      <w:r w:rsidR="001643B7">
        <w:rPr>
          <w:rFonts w:asciiTheme="minorHAnsi" w:hAnsiTheme="minorHAnsi"/>
        </w:rPr>
        <w:t>generally</w:t>
      </w:r>
      <w:r w:rsidRPr="00A90F8A">
        <w:rPr>
          <w:rFonts w:asciiTheme="minorHAnsi" w:hAnsiTheme="minorHAnsi"/>
        </w:rPr>
        <w:t xml:space="preserve"> supported Ms Thompson’s recommendations, although they disagreed in relation to the placement of </w:t>
      </w:r>
      <w:r w:rsidR="001643B7">
        <w:rPr>
          <w:rFonts w:asciiTheme="minorHAnsi" w:hAnsiTheme="minorHAnsi"/>
        </w:rPr>
        <w:t xml:space="preserve">some </w:t>
      </w:r>
      <w:r w:rsidRPr="00A90F8A">
        <w:rPr>
          <w:rFonts w:asciiTheme="minorHAnsi" w:hAnsiTheme="minorHAnsi"/>
        </w:rPr>
        <w:t xml:space="preserve">parks in each </w:t>
      </w:r>
      <w:r>
        <w:rPr>
          <w:rFonts w:asciiTheme="minorHAnsi" w:hAnsiTheme="minorHAnsi"/>
        </w:rPr>
        <w:t>P</w:t>
      </w:r>
      <w:r w:rsidRPr="00A90F8A">
        <w:rPr>
          <w:rFonts w:asciiTheme="minorHAnsi" w:hAnsiTheme="minorHAnsi"/>
        </w:rPr>
        <w:t>recinc</w:t>
      </w:r>
      <w:r>
        <w:rPr>
          <w:rFonts w:asciiTheme="minorHAnsi" w:hAnsiTheme="minorHAnsi"/>
        </w:rPr>
        <w:t>t.  These are discussed in the P</w:t>
      </w:r>
      <w:r w:rsidRPr="00A90F8A">
        <w:rPr>
          <w:rFonts w:asciiTheme="minorHAnsi" w:hAnsiTheme="minorHAnsi"/>
        </w:rPr>
        <w:t xml:space="preserve">recinct </w:t>
      </w:r>
      <w:r w:rsidR="00827876">
        <w:rPr>
          <w:rFonts w:asciiTheme="minorHAnsi" w:hAnsiTheme="minorHAnsi"/>
        </w:rPr>
        <w:t>R</w:t>
      </w:r>
      <w:r w:rsidRPr="00A90F8A">
        <w:rPr>
          <w:rFonts w:asciiTheme="minorHAnsi" w:hAnsiTheme="minorHAnsi"/>
        </w:rPr>
        <w:t>eports.</w:t>
      </w:r>
    </w:p>
    <w:p w:rsidR="00FC2F90" w:rsidRPr="00A90F8A" w:rsidRDefault="00FC2F90" w:rsidP="00FC2F90">
      <w:pPr>
        <w:pStyle w:val="PPVBody"/>
        <w:rPr>
          <w:rFonts w:asciiTheme="minorHAnsi" w:hAnsiTheme="minorHAnsi"/>
        </w:rPr>
      </w:pPr>
      <w:r w:rsidRPr="00A90F8A">
        <w:rPr>
          <w:rFonts w:asciiTheme="minorHAnsi" w:hAnsiTheme="minorHAnsi"/>
        </w:rPr>
        <w:t>Mr Sheppard</w:t>
      </w:r>
      <w:r>
        <w:rPr>
          <w:rFonts w:asciiTheme="minorHAnsi" w:hAnsiTheme="minorHAnsi"/>
        </w:rPr>
        <w:t>’s</w:t>
      </w:r>
      <w:r w:rsidRPr="00A90F8A">
        <w:rPr>
          <w:rFonts w:asciiTheme="minorHAnsi" w:hAnsiTheme="minorHAnsi"/>
        </w:rPr>
        <w:t xml:space="preserve"> </w:t>
      </w:r>
      <w:r>
        <w:rPr>
          <w:rFonts w:asciiTheme="minorHAnsi" w:hAnsiTheme="minorHAnsi"/>
        </w:rPr>
        <w:t xml:space="preserve">calculations of the amount of open space per resident or worker were slightly different to those of Ms Thompson.  He calculated </w:t>
      </w:r>
      <w:r w:rsidRPr="00A90F8A">
        <w:rPr>
          <w:rFonts w:asciiTheme="minorHAnsi" w:hAnsiTheme="minorHAnsi"/>
        </w:rPr>
        <w:t xml:space="preserve">approximately </w:t>
      </w:r>
      <w:r w:rsidR="001643B7">
        <w:rPr>
          <w:rFonts w:asciiTheme="minorHAnsi" w:hAnsiTheme="minorHAnsi"/>
        </w:rPr>
        <w:t>four</w:t>
      </w:r>
      <w:r w:rsidRPr="00A90F8A">
        <w:rPr>
          <w:rFonts w:asciiTheme="minorHAnsi" w:hAnsiTheme="minorHAnsi"/>
        </w:rPr>
        <w:t xml:space="preserve"> square metres per resident and worker</w:t>
      </w:r>
      <w:r>
        <w:rPr>
          <w:rFonts w:asciiTheme="minorHAnsi" w:hAnsiTheme="minorHAnsi"/>
        </w:rPr>
        <w:t xml:space="preserve"> (excluding the Employment Precinct open space, and including the linear parks)</w:t>
      </w:r>
      <w:r w:rsidRPr="00A90F8A">
        <w:rPr>
          <w:rFonts w:asciiTheme="minorHAnsi" w:hAnsiTheme="minorHAnsi"/>
        </w:rPr>
        <w:t>.  He concluded that:</w:t>
      </w:r>
    </w:p>
    <w:p w:rsidR="00FC2F90" w:rsidRDefault="00FC2F90" w:rsidP="00FC2F90">
      <w:pPr>
        <w:pStyle w:val="PPVQuote"/>
        <w:rPr>
          <w:rFonts w:asciiTheme="minorHAnsi" w:hAnsiTheme="minorHAnsi"/>
        </w:rPr>
      </w:pPr>
      <w:r w:rsidRPr="00A90F8A">
        <w:rPr>
          <w:rFonts w:asciiTheme="minorHAnsi" w:hAnsiTheme="minorHAnsi"/>
        </w:rPr>
        <w:lastRenderedPageBreak/>
        <w:t>These figures fall within the range of measures cited in the [Planisphere] Strategy.</w:t>
      </w:r>
      <w:r>
        <w:rPr>
          <w:rFonts w:asciiTheme="minorHAnsi" w:hAnsiTheme="minorHAnsi"/>
        </w:rPr>
        <w:t xml:space="preserve">  </w:t>
      </w:r>
      <w:r w:rsidRPr="00A90F8A">
        <w:rPr>
          <w:rFonts w:asciiTheme="minorHAnsi" w:hAnsiTheme="minorHAnsi"/>
        </w:rPr>
        <w:t>This suggests that the planning framework provides sufficient public open space.</w:t>
      </w:r>
    </w:p>
    <w:p w:rsidR="00FC2F90" w:rsidRDefault="003C32A8" w:rsidP="00FC2F90">
      <w:pPr>
        <w:pStyle w:val="PPVBody"/>
        <w:rPr>
          <w:rFonts w:asciiTheme="minorHAnsi" w:hAnsiTheme="minorHAnsi"/>
        </w:rPr>
      </w:pPr>
      <w:r>
        <w:rPr>
          <w:rFonts w:asciiTheme="minorHAnsi" w:hAnsiTheme="minorHAnsi"/>
        </w:rPr>
        <w:t xml:space="preserve">Mr Sheppard </w:t>
      </w:r>
      <w:r w:rsidR="00FC2F90" w:rsidRPr="00A90F8A">
        <w:rPr>
          <w:rFonts w:asciiTheme="minorHAnsi" w:hAnsiTheme="minorHAnsi"/>
        </w:rPr>
        <w:t>supported the distribution of open space based on the objective of providing open space within 200 metres of residents and workers.  His opinion was that the proposed open space network “</w:t>
      </w:r>
      <w:r w:rsidR="00FC2F90" w:rsidRPr="00A90F8A">
        <w:rPr>
          <w:rFonts w:asciiTheme="minorHAnsi" w:hAnsiTheme="minorHAnsi"/>
          <w:i/>
        </w:rPr>
        <w:t>provides for a diverse range of spaces that are linked to each other and which provide good accessibility to open space from all parts of the renewal area</w:t>
      </w:r>
      <w:r w:rsidR="00FC2F90" w:rsidRPr="00A90F8A">
        <w:rPr>
          <w:rFonts w:asciiTheme="minorHAnsi" w:hAnsiTheme="minorHAnsi"/>
        </w:rPr>
        <w:t>”</w:t>
      </w:r>
      <w:r w:rsidR="00FC2F90">
        <w:rPr>
          <w:rFonts w:asciiTheme="minorHAnsi" w:hAnsiTheme="minorHAnsi"/>
        </w:rPr>
        <w:t>.</w:t>
      </w:r>
      <w:r w:rsidR="00FC2F90" w:rsidRPr="00820B43">
        <w:rPr>
          <w:rStyle w:val="FootnoteReference"/>
          <w:rFonts w:asciiTheme="minorHAnsi" w:hAnsiTheme="minorHAnsi"/>
        </w:rPr>
        <w:footnoteReference w:id="94"/>
      </w:r>
    </w:p>
    <w:p w:rsidR="00FC2F90" w:rsidRDefault="00FC2F90" w:rsidP="00FC2F90">
      <w:pPr>
        <w:pStyle w:val="PPVBody"/>
        <w:rPr>
          <w:rFonts w:asciiTheme="minorHAnsi" w:hAnsiTheme="minorHAnsi"/>
        </w:rPr>
      </w:pPr>
      <w:r w:rsidRPr="00A90F8A">
        <w:rPr>
          <w:rFonts w:asciiTheme="minorHAnsi" w:hAnsiTheme="minorHAnsi"/>
        </w:rPr>
        <w:t>Several submitters questioned the strategic justification for the 200 metre ‘safe and easy walking distance’ criterion, submitting that it is overly restrictive.  Ms Collingwood submitted that there is general consensus that preferred distances to open space range from 200 to 400 metres, with 200 to 300 metres noted as more appropriate for children and people with limited mobility.  She submitted that “</w:t>
      </w:r>
      <w:r w:rsidRPr="00A90F8A">
        <w:rPr>
          <w:rFonts w:asciiTheme="minorHAnsi" w:hAnsiTheme="minorHAnsi"/>
          <w:i/>
        </w:rPr>
        <w:t>Ms Thompson’s evidence … falls well short of providing a reasonable basis on which to conclude that her more stringent test is a preferable outcome</w:t>
      </w:r>
      <w:r w:rsidR="00A90D8B">
        <w:rPr>
          <w:rFonts w:asciiTheme="minorHAnsi" w:hAnsiTheme="minorHAnsi"/>
        </w:rPr>
        <w:t>”.</w:t>
      </w:r>
      <w:r w:rsidRPr="00820B43">
        <w:rPr>
          <w:rStyle w:val="FootnoteReference"/>
          <w:rFonts w:asciiTheme="minorHAnsi" w:hAnsiTheme="minorHAnsi"/>
        </w:rPr>
        <w:footnoteReference w:id="95"/>
      </w:r>
      <w:r w:rsidRPr="00A90F8A">
        <w:rPr>
          <w:rFonts w:asciiTheme="minorHAnsi" w:hAnsiTheme="minorHAnsi"/>
        </w:rPr>
        <w:t xml:space="preserve">  </w:t>
      </w:r>
      <w:r>
        <w:rPr>
          <w:rFonts w:asciiTheme="minorHAnsi" w:hAnsiTheme="minorHAnsi"/>
        </w:rPr>
        <w:t xml:space="preserve">Mr </w:t>
      </w:r>
      <w:r w:rsidRPr="00A90F8A">
        <w:rPr>
          <w:rFonts w:asciiTheme="minorHAnsi" w:hAnsiTheme="minorHAnsi"/>
        </w:rPr>
        <w:t xml:space="preserve">Song did not support </w:t>
      </w:r>
      <w:r>
        <w:rPr>
          <w:rFonts w:asciiTheme="minorHAnsi" w:hAnsiTheme="minorHAnsi"/>
        </w:rPr>
        <w:t>the</w:t>
      </w:r>
      <w:r w:rsidRPr="00A90F8A">
        <w:rPr>
          <w:rFonts w:asciiTheme="minorHAnsi" w:hAnsiTheme="minorHAnsi"/>
        </w:rPr>
        <w:t xml:space="preserve"> 200 metre ‘safe and easy’ walking distance criterion:</w:t>
      </w:r>
    </w:p>
    <w:p w:rsidR="00FC2F90" w:rsidRPr="00A90F8A" w:rsidRDefault="00FC2F90" w:rsidP="00FC2F90">
      <w:pPr>
        <w:pStyle w:val="PPVQuote"/>
        <w:rPr>
          <w:rFonts w:asciiTheme="minorHAnsi" w:hAnsiTheme="minorHAnsi"/>
        </w:rPr>
      </w:pPr>
      <w:r w:rsidRPr="00A90F8A">
        <w:rPr>
          <w:rFonts w:asciiTheme="minorHAnsi" w:hAnsiTheme="minorHAnsi"/>
        </w:rPr>
        <w:t>In my view, being able to walk for 5 minutes and a distance of approximately 400</w:t>
      </w:r>
      <w:r>
        <w:rPr>
          <w:rFonts w:asciiTheme="minorHAnsi" w:hAnsiTheme="minorHAnsi"/>
        </w:rPr>
        <w:t xml:space="preserve"> </w:t>
      </w:r>
      <w:r w:rsidRPr="00A90F8A">
        <w:rPr>
          <w:rFonts w:asciiTheme="minorHAnsi" w:hAnsiTheme="minorHAnsi"/>
        </w:rPr>
        <w:t>m</w:t>
      </w:r>
      <w:r>
        <w:rPr>
          <w:rFonts w:asciiTheme="minorHAnsi" w:hAnsiTheme="minorHAnsi"/>
        </w:rPr>
        <w:t>etres</w:t>
      </w:r>
      <w:r w:rsidRPr="00A90F8A">
        <w:rPr>
          <w:rFonts w:asciiTheme="minorHAnsi" w:hAnsiTheme="minorHAnsi"/>
        </w:rPr>
        <w:t xml:space="preserve">, to find a park would be an entirely acceptable outcome having regard to the living standards of residents in </w:t>
      </w:r>
      <w:r w:rsidR="00FC563B">
        <w:rPr>
          <w:rFonts w:asciiTheme="minorHAnsi" w:hAnsiTheme="minorHAnsi"/>
        </w:rPr>
        <w:t>[</w:t>
      </w:r>
      <w:r w:rsidR="00FC563B">
        <w:t>Fishermans Bend]</w:t>
      </w:r>
      <w:r w:rsidRPr="00A90F8A">
        <w:rPr>
          <w:rFonts w:asciiTheme="minorHAnsi" w:hAnsiTheme="minorHAnsi"/>
        </w:rPr>
        <w:t>.</w:t>
      </w:r>
    </w:p>
    <w:p w:rsidR="00FC2F90" w:rsidRPr="00A90F8A" w:rsidRDefault="00FC2F90" w:rsidP="00FC2F90">
      <w:pPr>
        <w:pStyle w:val="PPVBody"/>
        <w:rPr>
          <w:rFonts w:asciiTheme="minorHAnsi" w:hAnsiTheme="minorHAnsi"/>
        </w:rPr>
      </w:pPr>
      <w:r>
        <w:rPr>
          <w:rFonts w:asciiTheme="minorHAnsi" w:hAnsiTheme="minorHAnsi"/>
        </w:rPr>
        <w:t xml:space="preserve">Mr Pitt </w:t>
      </w:r>
      <w:r w:rsidR="003C32A8">
        <w:rPr>
          <w:rFonts w:asciiTheme="minorHAnsi" w:hAnsiTheme="minorHAnsi"/>
        </w:rPr>
        <w:t xml:space="preserve">QC </w:t>
      </w:r>
      <w:r>
        <w:rPr>
          <w:rFonts w:asciiTheme="minorHAnsi" w:hAnsiTheme="minorHAnsi"/>
        </w:rPr>
        <w:t>questioned the wisdom of identifying sites in multiple ownership for parks.  The Industry Business Hub is located in Montague and identified for a park.  It is occupied by around 70 separate businesses which are predominantly digital start-ups – the types of industry that the draft Framework seeks to encourage in Fishermans Bend.  Mr Pitt submitted that the burden on the public purse of acquiring land in multiple ownership is significantly more than single owner sites, particularly if compensation for business disturbance had to be paid.  Mr Wren made similar submissions in relation to the proposed Lorimer Central open space.</w:t>
      </w:r>
    </w:p>
    <w:p w:rsidR="00FC2F90" w:rsidRDefault="00FC2F90" w:rsidP="00FC2F90">
      <w:pPr>
        <w:pStyle w:val="Heading4"/>
        <w:rPr>
          <w:rFonts w:asciiTheme="minorHAnsi" w:hAnsiTheme="minorHAnsi"/>
        </w:rPr>
      </w:pPr>
      <w:r w:rsidRPr="00A90F8A">
        <w:rPr>
          <w:rFonts w:asciiTheme="minorHAnsi" w:hAnsiTheme="minorHAnsi"/>
        </w:rPr>
        <w:t>Discussion</w:t>
      </w:r>
    </w:p>
    <w:p w:rsidR="00FC2F90" w:rsidRDefault="00FC2F90" w:rsidP="00FC2F90">
      <w:pPr>
        <w:pStyle w:val="PPVBody"/>
        <w:rPr>
          <w:rFonts w:eastAsia="Helvetica"/>
          <w:lang w:val="en-GB"/>
        </w:rPr>
      </w:pPr>
      <w:r w:rsidRPr="00A90F8A">
        <w:rPr>
          <w:rFonts w:eastAsia="Helvetica"/>
          <w:lang w:val="en-GB"/>
        </w:rPr>
        <w:t xml:space="preserve">Open space </w:t>
      </w:r>
      <w:r>
        <w:rPr>
          <w:rFonts w:eastAsia="Helvetica"/>
          <w:lang w:val="en-GB"/>
        </w:rPr>
        <w:t>is a f</w:t>
      </w:r>
      <w:r w:rsidRPr="00A90F8A">
        <w:rPr>
          <w:rFonts w:eastAsia="Helvetica"/>
          <w:lang w:val="en-GB"/>
        </w:rPr>
        <w:t>undamentally important issue</w:t>
      </w:r>
      <w:r>
        <w:rPr>
          <w:rFonts w:eastAsia="Helvetica"/>
          <w:lang w:val="en-GB"/>
        </w:rPr>
        <w:t xml:space="preserve"> in Fishermans Bend</w:t>
      </w:r>
      <w:r w:rsidRPr="00A90F8A">
        <w:rPr>
          <w:rFonts w:eastAsia="Helvetica"/>
          <w:lang w:val="en-GB"/>
        </w:rPr>
        <w:t xml:space="preserve">, because of the </w:t>
      </w:r>
      <w:r>
        <w:rPr>
          <w:rFonts w:eastAsia="Helvetica"/>
          <w:lang w:val="en-GB"/>
        </w:rPr>
        <w:t xml:space="preserve">proposed </w:t>
      </w:r>
      <w:r w:rsidRPr="00A90F8A">
        <w:rPr>
          <w:rFonts w:eastAsia="Helvetica"/>
          <w:lang w:val="en-GB"/>
        </w:rPr>
        <w:t xml:space="preserve">population </w:t>
      </w:r>
      <w:r>
        <w:rPr>
          <w:rFonts w:eastAsia="Helvetica"/>
          <w:lang w:val="en-GB"/>
        </w:rPr>
        <w:t>density</w:t>
      </w:r>
      <w:r w:rsidRPr="00A90F8A">
        <w:rPr>
          <w:rFonts w:eastAsia="Helvetica"/>
          <w:lang w:val="en-GB"/>
        </w:rPr>
        <w:t xml:space="preserve"> and </w:t>
      </w:r>
      <w:r>
        <w:rPr>
          <w:rFonts w:eastAsia="Helvetica"/>
          <w:lang w:val="en-GB"/>
        </w:rPr>
        <w:t xml:space="preserve">the fact that the bulk of the population will be living in </w:t>
      </w:r>
      <w:r w:rsidRPr="00A90F8A">
        <w:rPr>
          <w:rFonts w:eastAsia="Helvetica"/>
          <w:lang w:val="en-GB"/>
        </w:rPr>
        <w:t>apartments</w:t>
      </w:r>
      <w:r>
        <w:rPr>
          <w:rFonts w:eastAsia="Helvetica"/>
          <w:lang w:val="en-GB"/>
        </w:rPr>
        <w:t xml:space="preserve"> with limited access to private open space</w:t>
      </w:r>
      <w:r w:rsidR="002566E0">
        <w:rPr>
          <w:rFonts w:eastAsia="Helvetica"/>
          <w:lang w:val="en-GB"/>
        </w:rPr>
        <w:t>, aside from balconies</w:t>
      </w:r>
      <w:r>
        <w:rPr>
          <w:rFonts w:eastAsia="Helvetica"/>
          <w:lang w:val="en-GB"/>
        </w:rPr>
        <w:t xml:space="preserve">.  Fishermans Bend needs a quality open space network that caters for a range of </w:t>
      </w:r>
      <w:r w:rsidRPr="00A90F8A">
        <w:rPr>
          <w:rFonts w:eastAsia="Helvetica"/>
          <w:lang w:val="en-GB"/>
        </w:rPr>
        <w:t>active and passive recreation needs</w:t>
      </w:r>
      <w:r>
        <w:rPr>
          <w:rFonts w:eastAsia="Helvetica"/>
          <w:lang w:val="en-GB"/>
        </w:rPr>
        <w:t xml:space="preserve"> as well as other </w:t>
      </w:r>
      <w:r w:rsidRPr="00A90F8A">
        <w:rPr>
          <w:rFonts w:eastAsia="Helvetica"/>
          <w:lang w:val="en-GB"/>
        </w:rPr>
        <w:t xml:space="preserve">community </w:t>
      </w:r>
      <w:r>
        <w:rPr>
          <w:rFonts w:eastAsia="Helvetica"/>
          <w:lang w:val="en-GB"/>
        </w:rPr>
        <w:t xml:space="preserve">uses.  As Melbourne and Port Phillip pointed out, open space has a fundamental role in setting the preferred character in each </w:t>
      </w:r>
      <w:r w:rsidR="00EE531A">
        <w:rPr>
          <w:rFonts w:eastAsia="Helvetica"/>
          <w:lang w:val="en-GB"/>
        </w:rPr>
        <w:t>P</w:t>
      </w:r>
      <w:r>
        <w:rPr>
          <w:rFonts w:eastAsia="Helvetica"/>
          <w:lang w:val="en-GB"/>
        </w:rPr>
        <w:t xml:space="preserve">recinct, and the potential to play a key role in ‘place making’ within each </w:t>
      </w:r>
      <w:r w:rsidR="00EE531A">
        <w:rPr>
          <w:rFonts w:eastAsia="Helvetica"/>
          <w:lang w:val="en-GB"/>
        </w:rPr>
        <w:t>P</w:t>
      </w:r>
      <w:r>
        <w:rPr>
          <w:rFonts w:eastAsia="Helvetica"/>
          <w:lang w:val="en-GB"/>
        </w:rPr>
        <w:t>recinct.</w:t>
      </w:r>
    </w:p>
    <w:p w:rsidR="00FC2F90" w:rsidRPr="00A90F8A" w:rsidRDefault="00FC2F90" w:rsidP="00FC2F90">
      <w:pPr>
        <w:pStyle w:val="PPVBody"/>
        <w:rPr>
          <w:rFonts w:asciiTheme="minorHAnsi" w:hAnsiTheme="minorHAnsi"/>
        </w:rPr>
      </w:pPr>
      <w:r>
        <w:rPr>
          <w:rFonts w:asciiTheme="minorHAnsi" w:hAnsiTheme="minorHAnsi"/>
        </w:rPr>
        <w:t xml:space="preserve">The </w:t>
      </w:r>
      <w:r w:rsidRPr="00A90F8A">
        <w:rPr>
          <w:rFonts w:asciiTheme="minorHAnsi" w:hAnsiTheme="minorHAnsi"/>
        </w:rPr>
        <w:t xml:space="preserve">Planisphere Strategy sets a target of </w:t>
      </w:r>
      <w:r w:rsidR="001643B7">
        <w:rPr>
          <w:rFonts w:asciiTheme="minorHAnsi" w:hAnsiTheme="minorHAnsi"/>
        </w:rPr>
        <w:t>nine</w:t>
      </w:r>
      <w:r w:rsidRPr="00A90F8A">
        <w:rPr>
          <w:rFonts w:asciiTheme="minorHAnsi" w:hAnsiTheme="minorHAnsi"/>
        </w:rPr>
        <w:t xml:space="preserve"> square metres per resident and worker, based on recommendations of the World Health Organi</w:t>
      </w:r>
      <w:r>
        <w:rPr>
          <w:rFonts w:asciiTheme="minorHAnsi" w:hAnsiTheme="minorHAnsi"/>
        </w:rPr>
        <w:t>z</w:t>
      </w:r>
      <w:r w:rsidRPr="00A90F8A">
        <w:rPr>
          <w:rFonts w:asciiTheme="minorHAnsi" w:hAnsiTheme="minorHAnsi"/>
        </w:rPr>
        <w:t>ation.</w:t>
      </w:r>
      <w:r w:rsidRPr="00820B43">
        <w:rPr>
          <w:rStyle w:val="FootnoteReference"/>
          <w:rFonts w:asciiTheme="minorHAnsi" w:hAnsiTheme="minorHAnsi"/>
        </w:rPr>
        <w:footnoteReference w:id="96"/>
      </w:r>
      <w:r w:rsidRPr="00A90F8A">
        <w:rPr>
          <w:rFonts w:asciiTheme="minorHAnsi" w:hAnsiTheme="minorHAnsi"/>
        </w:rPr>
        <w:t xml:space="preserve">  The Planisphere Strategy provides some statistics from comparable areas (350 hectares) in other cities:</w:t>
      </w:r>
    </w:p>
    <w:p w:rsidR="00FC2F90" w:rsidRDefault="00FC2F90" w:rsidP="00FC2F90">
      <w:pPr>
        <w:pStyle w:val="PPVBullet1"/>
      </w:pPr>
      <w:r w:rsidRPr="00A90F8A">
        <w:rPr>
          <w:rFonts w:asciiTheme="minorHAnsi" w:hAnsiTheme="minorHAnsi"/>
        </w:rPr>
        <w:t>Amsterdam – 14 square metres per resident</w:t>
      </w:r>
    </w:p>
    <w:p w:rsidR="00FC2F90" w:rsidRDefault="00FC2F90" w:rsidP="00FC2F90">
      <w:pPr>
        <w:pStyle w:val="PPVBullet1"/>
      </w:pPr>
      <w:r w:rsidRPr="00A90F8A">
        <w:t>Barcelona – 10 square metres per resident</w:t>
      </w:r>
    </w:p>
    <w:p w:rsidR="00FC2F90" w:rsidRDefault="00FC2F90" w:rsidP="00FC2F90">
      <w:pPr>
        <w:pStyle w:val="PPVBullet1"/>
      </w:pPr>
      <w:r w:rsidRPr="00A90F8A">
        <w:lastRenderedPageBreak/>
        <w:t>New York – 15 square metres per resident and 0.6 square metres per worker</w:t>
      </w:r>
    </w:p>
    <w:p w:rsidR="00FC2F90" w:rsidRDefault="00FC2F90" w:rsidP="00FC2F90">
      <w:pPr>
        <w:pStyle w:val="PPVBullet1"/>
      </w:pPr>
      <w:r w:rsidRPr="00A90F8A">
        <w:t>other parts of Melbourne – 28 square metres per resident.</w:t>
      </w:r>
    </w:p>
    <w:p w:rsidR="00785416" w:rsidRDefault="00FC2F90" w:rsidP="00FC2F90">
      <w:pPr>
        <w:pStyle w:val="PPVBody"/>
        <w:rPr>
          <w:rFonts w:asciiTheme="minorHAnsi" w:hAnsiTheme="minorHAnsi"/>
        </w:rPr>
      </w:pPr>
      <w:r>
        <w:rPr>
          <w:rFonts w:asciiTheme="minorHAnsi" w:hAnsiTheme="minorHAnsi"/>
        </w:rPr>
        <w:t xml:space="preserve">The proposed provision of open space </w:t>
      </w:r>
      <w:r w:rsidRPr="00A90F8A">
        <w:rPr>
          <w:rFonts w:asciiTheme="minorHAnsi" w:hAnsiTheme="minorHAnsi"/>
        </w:rPr>
        <w:t>in Fishermans Bend</w:t>
      </w:r>
      <w:r>
        <w:rPr>
          <w:rFonts w:asciiTheme="minorHAnsi" w:hAnsiTheme="minorHAnsi"/>
        </w:rPr>
        <w:t xml:space="preserve"> falls well short of these benchmarks</w:t>
      </w:r>
      <w:r w:rsidRPr="00A90F8A">
        <w:rPr>
          <w:rFonts w:asciiTheme="minorHAnsi" w:hAnsiTheme="minorHAnsi"/>
        </w:rPr>
        <w:t>.  The Review Panel is mindful that the open space calculations are based on a target population of 80,000</w:t>
      </w:r>
      <w:r>
        <w:rPr>
          <w:rFonts w:asciiTheme="minorHAnsi" w:hAnsiTheme="minorHAnsi"/>
        </w:rPr>
        <w:t>, whereas the Review Panel recommends planning for a range of between 80,000 and 120,000</w:t>
      </w:r>
      <w:r w:rsidRPr="00A90F8A">
        <w:rPr>
          <w:rFonts w:asciiTheme="minorHAnsi" w:hAnsiTheme="minorHAnsi"/>
        </w:rPr>
        <w:t>.</w:t>
      </w:r>
    </w:p>
    <w:p w:rsidR="00FC2F90" w:rsidRPr="00A90F8A" w:rsidRDefault="00FC2F90" w:rsidP="00FC2F90">
      <w:pPr>
        <w:pStyle w:val="PPVBody"/>
        <w:rPr>
          <w:rFonts w:asciiTheme="minorHAnsi" w:hAnsiTheme="minorHAnsi"/>
        </w:rPr>
      </w:pPr>
      <w:r w:rsidRPr="00A90F8A">
        <w:rPr>
          <w:rFonts w:asciiTheme="minorHAnsi" w:hAnsiTheme="minorHAnsi"/>
        </w:rPr>
        <w:t>Nevertheless, the Review Panel does not consider that the amount of open s</w:t>
      </w:r>
      <w:r w:rsidR="001643B7">
        <w:rPr>
          <w:rFonts w:asciiTheme="minorHAnsi" w:hAnsiTheme="minorHAnsi"/>
        </w:rPr>
        <w:t>pace is fundamentally too low, in part as Fishermans Bend is surrounded by major open space areas and the Port Phillip foreshore.</w:t>
      </w:r>
    </w:p>
    <w:p w:rsidR="00785416" w:rsidRDefault="00FC2F90" w:rsidP="00FC2F90">
      <w:pPr>
        <w:pStyle w:val="PPVBody"/>
        <w:rPr>
          <w:rFonts w:asciiTheme="minorHAnsi" w:hAnsiTheme="minorHAnsi"/>
        </w:rPr>
      </w:pPr>
      <w:r>
        <w:rPr>
          <w:rFonts w:asciiTheme="minorHAnsi" w:hAnsiTheme="minorHAnsi"/>
        </w:rPr>
        <w:t xml:space="preserve">Ms Thompson’s </w:t>
      </w:r>
      <w:r w:rsidR="001643B7">
        <w:rPr>
          <w:rFonts w:asciiTheme="minorHAnsi" w:hAnsiTheme="minorHAnsi"/>
        </w:rPr>
        <w:t>calculations</w:t>
      </w:r>
      <w:r>
        <w:rPr>
          <w:rFonts w:asciiTheme="minorHAnsi" w:hAnsiTheme="minorHAnsi"/>
        </w:rPr>
        <w:t xml:space="preserve"> </w:t>
      </w:r>
      <w:r w:rsidRPr="00A90F8A">
        <w:rPr>
          <w:rFonts w:asciiTheme="minorHAnsi" w:hAnsiTheme="minorHAnsi"/>
        </w:rPr>
        <w:t>exclud</w:t>
      </w:r>
      <w:r>
        <w:rPr>
          <w:rFonts w:asciiTheme="minorHAnsi" w:hAnsiTheme="minorHAnsi"/>
        </w:rPr>
        <w:t xml:space="preserve">ed </w:t>
      </w:r>
      <w:r w:rsidRPr="00A90F8A">
        <w:rPr>
          <w:rFonts w:asciiTheme="minorHAnsi" w:hAnsiTheme="minorHAnsi"/>
        </w:rPr>
        <w:t>the proposed linear parks and encumbered open space such as the transmission line easement</w:t>
      </w:r>
      <w:r>
        <w:rPr>
          <w:rFonts w:asciiTheme="minorHAnsi" w:hAnsiTheme="minorHAnsi"/>
        </w:rPr>
        <w:t>.  The Review Panel considers that l</w:t>
      </w:r>
      <w:r w:rsidRPr="00A90F8A">
        <w:rPr>
          <w:rFonts w:asciiTheme="minorHAnsi" w:hAnsiTheme="minorHAnsi"/>
        </w:rPr>
        <w:t>inear parks form a valuable part of the open space network, and should be included.  They provide opportunities for a range of passive and active recreational uses, as well as providing additional habitat corridors and other functions as outlined in the Minister’s SIN</w:t>
      </w:r>
      <w:r>
        <w:rPr>
          <w:rFonts w:asciiTheme="minorHAnsi" w:hAnsiTheme="minorHAnsi"/>
        </w:rPr>
        <w:t xml:space="preserve"> </w:t>
      </w:r>
      <w:r w:rsidRPr="00A90F8A">
        <w:rPr>
          <w:rFonts w:asciiTheme="minorHAnsi" w:hAnsiTheme="minorHAnsi"/>
        </w:rPr>
        <w:t>4</w:t>
      </w:r>
      <w:r w:rsidR="002566E0">
        <w:rPr>
          <w:rFonts w:asciiTheme="minorHAnsi" w:hAnsiTheme="minorHAnsi"/>
        </w:rPr>
        <w:t>, demonstrated in</w:t>
      </w:r>
      <w:r w:rsidR="000E0848">
        <w:rPr>
          <w:rFonts w:asciiTheme="minorHAnsi" w:hAnsiTheme="minorHAnsi"/>
        </w:rPr>
        <w:t xml:space="preserve"> </w:t>
      </w:r>
      <w:r w:rsidR="000E0848">
        <w:rPr>
          <w:rFonts w:asciiTheme="minorHAnsi" w:hAnsiTheme="minorHAnsi"/>
        </w:rPr>
        <w:fldChar w:fldCharType="begin"/>
      </w:r>
      <w:r w:rsidR="000E0848">
        <w:rPr>
          <w:rFonts w:asciiTheme="minorHAnsi" w:hAnsiTheme="minorHAnsi"/>
        </w:rPr>
        <w:instrText xml:space="preserve"> REF _Ref519718986 \h </w:instrText>
      </w:r>
      <w:r w:rsidR="000E0848">
        <w:rPr>
          <w:rFonts w:asciiTheme="minorHAnsi" w:hAnsiTheme="minorHAnsi"/>
        </w:rPr>
      </w:r>
      <w:r w:rsidR="000E0848">
        <w:rPr>
          <w:rFonts w:asciiTheme="minorHAnsi" w:hAnsiTheme="minorHAnsi"/>
        </w:rPr>
        <w:fldChar w:fldCharType="separate"/>
      </w:r>
      <w:r w:rsidR="00A307EC">
        <w:t xml:space="preserve">Figure </w:t>
      </w:r>
      <w:r w:rsidR="00A307EC">
        <w:rPr>
          <w:noProof/>
        </w:rPr>
        <w:t>11</w:t>
      </w:r>
      <w:r w:rsidR="000E0848">
        <w:rPr>
          <w:rFonts w:asciiTheme="minorHAnsi" w:hAnsiTheme="minorHAnsi"/>
        </w:rPr>
        <w:fldChar w:fldCharType="end"/>
      </w:r>
      <w:r w:rsidR="002566E0">
        <w:rPr>
          <w:rFonts w:asciiTheme="minorHAnsi" w:hAnsiTheme="minorHAnsi"/>
        </w:rPr>
        <w:t>.</w:t>
      </w:r>
      <w:r w:rsidRPr="00820B43">
        <w:rPr>
          <w:rStyle w:val="FootnoteReference"/>
          <w:rFonts w:asciiTheme="minorHAnsi" w:hAnsiTheme="minorHAnsi"/>
        </w:rPr>
        <w:footnoteReference w:id="97"/>
      </w:r>
    </w:p>
    <w:p w:rsidR="00FC2F90" w:rsidRDefault="00FC2F90" w:rsidP="00FC2F90">
      <w:pPr>
        <w:pStyle w:val="Caption"/>
        <w:rPr>
          <w:rFonts w:asciiTheme="minorHAnsi" w:hAnsiTheme="minorHAnsi"/>
        </w:rPr>
      </w:pPr>
      <w:bookmarkStart w:id="397" w:name="_Toc519270781"/>
      <w:bookmarkStart w:id="398" w:name="_Toc519719113"/>
      <w:bookmarkStart w:id="399" w:name="_Toc519710381"/>
      <w:r w:rsidRPr="00A90F8A">
        <w:rPr>
          <w:rFonts w:asciiTheme="minorHAnsi" w:hAnsiTheme="minorHAnsi"/>
        </w:rPr>
        <w:t xml:space="preserve">Figure </w:t>
      </w:r>
      <w:r w:rsidRPr="00A90F8A">
        <w:rPr>
          <w:rFonts w:asciiTheme="minorHAnsi" w:hAnsiTheme="minorHAnsi"/>
        </w:rPr>
        <w:fldChar w:fldCharType="begin"/>
      </w:r>
      <w:r w:rsidRPr="00A90F8A">
        <w:rPr>
          <w:rFonts w:asciiTheme="minorHAnsi" w:hAnsiTheme="minorHAnsi"/>
        </w:rPr>
        <w:instrText xml:space="preserve"> SEQ Figure \* ARABIC </w:instrText>
      </w:r>
      <w:r w:rsidRPr="00A90F8A">
        <w:rPr>
          <w:rFonts w:asciiTheme="minorHAnsi" w:hAnsiTheme="minorHAnsi"/>
        </w:rPr>
        <w:fldChar w:fldCharType="separate"/>
      </w:r>
      <w:r w:rsidR="00A307EC">
        <w:rPr>
          <w:rFonts w:asciiTheme="minorHAnsi" w:hAnsiTheme="minorHAnsi"/>
          <w:noProof/>
        </w:rPr>
        <w:t>10</w:t>
      </w:r>
      <w:r w:rsidRPr="00A90F8A">
        <w:rPr>
          <w:rFonts w:asciiTheme="minorHAnsi" w:hAnsiTheme="minorHAnsi"/>
          <w:noProof/>
        </w:rPr>
        <w:fldChar w:fldCharType="end"/>
      </w:r>
      <w:r>
        <w:rPr>
          <w:rFonts w:asciiTheme="minorHAnsi" w:hAnsiTheme="minorHAnsi"/>
          <w:noProof/>
        </w:rPr>
        <w:t>:</w:t>
      </w:r>
      <w:r w:rsidRPr="00A90F8A">
        <w:rPr>
          <w:rFonts w:asciiTheme="minorHAnsi" w:hAnsiTheme="minorHAnsi"/>
        </w:rPr>
        <w:tab/>
        <w:t>Proposed linear park along Southbank Boulevard</w:t>
      </w:r>
      <w:bookmarkEnd w:id="397"/>
      <w:bookmarkEnd w:id="398"/>
      <w:bookmarkEnd w:id="399"/>
    </w:p>
    <w:p w:rsidR="00FC2F90" w:rsidRPr="00A90F8A" w:rsidRDefault="00FC2F90" w:rsidP="00FC2F90">
      <w:pPr>
        <w:pStyle w:val="PPVBody"/>
        <w:keepNext/>
        <w:jc w:val="center"/>
        <w:rPr>
          <w:rFonts w:asciiTheme="minorHAnsi" w:hAnsiTheme="minorHAnsi"/>
        </w:rPr>
      </w:pPr>
      <w:r w:rsidRPr="00A90F8A">
        <w:rPr>
          <w:rFonts w:asciiTheme="minorHAnsi" w:hAnsiTheme="minorHAnsi"/>
          <w:noProof/>
        </w:rPr>
        <w:drawing>
          <wp:inline distT="0" distB="0" distL="0" distR="0" wp14:anchorId="670F934B" wp14:editId="5B928BCC">
            <wp:extent cx="5055093" cy="2977869"/>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8115" cy="3038557"/>
                    </a:xfrm>
                    <a:prstGeom prst="rect">
                      <a:avLst/>
                    </a:prstGeom>
                    <a:noFill/>
                    <a:ln>
                      <a:noFill/>
                    </a:ln>
                  </pic:spPr>
                </pic:pic>
              </a:graphicData>
            </a:graphic>
          </wp:inline>
        </w:drawing>
      </w:r>
    </w:p>
    <w:p w:rsidR="00FC2F90" w:rsidRPr="00A5107C" w:rsidRDefault="00FC2F90" w:rsidP="00FC2F90">
      <w:pPr>
        <w:pStyle w:val="PPVBody"/>
        <w:rPr>
          <w:sz w:val="20"/>
          <w:szCs w:val="20"/>
        </w:rPr>
      </w:pPr>
      <w:r w:rsidRPr="00A5107C">
        <w:rPr>
          <w:sz w:val="20"/>
          <w:szCs w:val="20"/>
        </w:rPr>
        <w:t>Source: SIN 4 (D151)</w:t>
      </w:r>
    </w:p>
    <w:p w:rsidR="00FC2F90" w:rsidRDefault="00FC2F90" w:rsidP="00FC2F90">
      <w:pPr>
        <w:pStyle w:val="PPVBody"/>
        <w:rPr>
          <w:rFonts w:asciiTheme="minorHAnsi" w:hAnsiTheme="minorHAnsi"/>
        </w:rPr>
      </w:pPr>
      <w:r w:rsidRPr="00A90F8A">
        <w:rPr>
          <w:rFonts w:asciiTheme="minorHAnsi" w:hAnsiTheme="minorHAnsi"/>
        </w:rPr>
        <w:t>Ultimately, the quantum of open space to be provided in Fishermans Bend must be assessed in a broader context.  The open space provision must be balanced against factors such as the role Fishermans Bend has to play in accommodating growth in the inner metropolitan area, the likely costs associated with increasing the amount of open space, and the essential need for development in Fishermans Bend to be financially viable.</w:t>
      </w:r>
    </w:p>
    <w:p w:rsidR="00FC2F90" w:rsidRPr="00A90F8A" w:rsidRDefault="00FC2F90" w:rsidP="00FC2F90">
      <w:pPr>
        <w:pStyle w:val="PPVBody"/>
        <w:rPr>
          <w:rFonts w:asciiTheme="minorHAnsi" w:hAnsiTheme="minorHAnsi"/>
        </w:rPr>
      </w:pPr>
      <w:r w:rsidRPr="00A90F8A">
        <w:rPr>
          <w:rFonts w:asciiTheme="minorHAnsi" w:hAnsiTheme="minorHAnsi"/>
        </w:rPr>
        <w:t xml:space="preserve">Another important factor </w:t>
      </w:r>
      <w:r>
        <w:rPr>
          <w:rFonts w:asciiTheme="minorHAnsi" w:hAnsiTheme="minorHAnsi"/>
        </w:rPr>
        <w:t>is</w:t>
      </w:r>
      <w:r w:rsidRPr="00A90F8A">
        <w:rPr>
          <w:rFonts w:asciiTheme="minorHAnsi" w:hAnsiTheme="minorHAnsi"/>
        </w:rPr>
        <w:t xml:space="preserve"> the accessibility of the open space.  Fishermans Bend will be a pedestrian friendly location, and the open space network will operate together with a highly permeable and accessible walking and cycling network.  </w:t>
      </w:r>
      <w:r>
        <w:rPr>
          <w:rFonts w:asciiTheme="minorHAnsi" w:hAnsiTheme="minorHAnsi"/>
        </w:rPr>
        <w:t xml:space="preserve">If Ms Thompson’s recommendations </w:t>
      </w:r>
      <w:r>
        <w:rPr>
          <w:rFonts w:asciiTheme="minorHAnsi" w:hAnsiTheme="minorHAnsi"/>
        </w:rPr>
        <w:lastRenderedPageBreak/>
        <w:t>are adopted, m</w:t>
      </w:r>
      <w:r w:rsidRPr="00A90F8A">
        <w:rPr>
          <w:rFonts w:asciiTheme="minorHAnsi" w:hAnsiTheme="minorHAnsi"/>
        </w:rPr>
        <w:t xml:space="preserve">ost residents and workers in Fishermans Bend will be within 200 metres of public open space (roughly a </w:t>
      </w:r>
      <w:r w:rsidR="000E1FB1">
        <w:rPr>
          <w:rFonts w:asciiTheme="minorHAnsi" w:hAnsiTheme="minorHAnsi"/>
        </w:rPr>
        <w:t>two to three</w:t>
      </w:r>
      <w:r w:rsidRPr="00A90F8A">
        <w:rPr>
          <w:rFonts w:asciiTheme="minorHAnsi" w:hAnsiTheme="minorHAnsi"/>
        </w:rPr>
        <w:t xml:space="preserve"> minute walk).</w:t>
      </w:r>
    </w:p>
    <w:p w:rsidR="00785416" w:rsidRDefault="00FC2F90" w:rsidP="00FC2F90">
      <w:pPr>
        <w:pStyle w:val="PPVBody"/>
        <w:rPr>
          <w:rFonts w:asciiTheme="minorHAnsi" w:hAnsiTheme="minorHAnsi"/>
        </w:rPr>
      </w:pPr>
      <w:r w:rsidRPr="00A90F8A">
        <w:rPr>
          <w:rFonts w:asciiTheme="minorHAnsi" w:hAnsiTheme="minorHAnsi"/>
        </w:rPr>
        <w:t>This will ensure that open space in Fishermans Bend will be significantly more accessible than the World Health Organi</w:t>
      </w:r>
      <w:r>
        <w:rPr>
          <w:rFonts w:asciiTheme="minorHAnsi" w:hAnsiTheme="minorHAnsi"/>
        </w:rPr>
        <w:t>z</w:t>
      </w:r>
      <w:r w:rsidRPr="00A90F8A">
        <w:rPr>
          <w:rFonts w:asciiTheme="minorHAnsi" w:hAnsiTheme="minorHAnsi"/>
        </w:rPr>
        <w:t>ation recommendation that all residents live within a 15 minute walk to green space.</w:t>
      </w:r>
      <w:r w:rsidRPr="00820B43">
        <w:rPr>
          <w:rStyle w:val="FootnoteReference"/>
          <w:rFonts w:asciiTheme="minorHAnsi" w:hAnsiTheme="minorHAnsi"/>
        </w:rPr>
        <w:footnoteReference w:id="98"/>
      </w:r>
      <w:r w:rsidRPr="00A90F8A">
        <w:rPr>
          <w:rFonts w:asciiTheme="minorHAnsi" w:hAnsiTheme="minorHAnsi"/>
        </w:rPr>
        <w:t xml:space="preserve">  This is particularly important given the limited quantity of open space proposed.</w:t>
      </w:r>
    </w:p>
    <w:p w:rsidR="00FC2F90" w:rsidRPr="00A90F8A" w:rsidRDefault="00FC2F90" w:rsidP="00FC2F90">
      <w:pPr>
        <w:pStyle w:val="PPVBody"/>
        <w:rPr>
          <w:rFonts w:asciiTheme="minorHAnsi" w:hAnsiTheme="minorHAnsi"/>
        </w:rPr>
      </w:pPr>
      <w:r w:rsidRPr="00A90F8A">
        <w:rPr>
          <w:rFonts w:asciiTheme="minorHAnsi" w:hAnsiTheme="minorHAnsi"/>
        </w:rPr>
        <w:t>Having said that, the Review Panel does not consider that the 200 met</w:t>
      </w:r>
      <w:r>
        <w:rPr>
          <w:rFonts w:asciiTheme="minorHAnsi" w:hAnsiTheme="minorHAnsi"/>
        </w:rPr>
        <w:t xml:space="preserve">re </w:t>
      </w:r>
      <w:r w:rsidRPr="00A90F8A">
        <w:rPr>
          <w:rFonts w:asciiTheme="minorHAnsi" w:hAnsiTheme="minorHAnsi"/>
        </w:rPr>
        <w:t>safe and easy walking distance should be applied too restrictively.</w:t>
      </w:r>
      <w:r>
        <w:rPr>
          <w:rFonts w:asciiTheme="minorHAnsi" w:hAnsiTheme="minorHAnsi"/>
        </w:rPr>
        <w:t xml:space="preserve">  As noted in some of the Precinct </w:t>
      </w:r>
      <w:r w:rsidR="00827876">
        <w:rPr>
          <w:rFonts w:asciiTheme="minorHAnsi" w:hAnsiTheme="minorHAnsi"/>
        </w:rPr>
        <w:t>R</w:t>
      </w:r>
      <w:r>
        <w:rPr>
          <w:rFonts w:asciiTheme="minorHAnsi" w:hAnsiTheme="minorHAnsi"/>
        </w:rPr>
        <w:t>eports, strict application of the criterion can result in some anomalous outcomes, which should be avoided.</w:t>
      </w:r>
    </w:p>
    <w:p w:rsidR="00FC2F90" w:rsidRPr="00A90F8A" w:rsidRDefault="00FC2F90" w:rsidP="00FC2F90">
      <w:pPr>
        <w:pStyle w:val="PPVBody"/>
        <w:rPr>
          <w:rFonts w:asciiTheme="minorHAnsi" w:hAnsiTheme="minorHAnsi"/>
        </w:rPr>
      </w:pPr>
      <w:r w:rsidRPr="00A90F8A">
        <w:rPr>
          <w:rFonts w:asciiTheme="minorHAnsi" w:hAnsiTheme="minorHAnsi"/>
        </w:rPr>
        <w:t>Fishermans Bend is reasonably proximate to significant open space resources outside the area, such as the Yarra River, the Bay and Albert Park.  The Montague Precinct in particular already has good public t</w:t>
      </w:r>
      <w:r>
        <w:rPr>
          <w:rFonts w:asciiTheme="minorHAnsi" w:hAnsiTheme="minorHAnsi"/>
        </w:rPr>
        <w:t>ransport links to these areas.</w:t>
      </w:r>
    </w:p>
    <w:p w:rsidR="00FC2F90" w:rsidRDefault="00FC2F90" w:rsidP="00FC2F90">
      <w:pPr>
        <w:pStyle w:val="PPVBody"/>
        <w:rPr>
          <w:rFonts w:asciiTheme="minorHAnsi" w:hAnsiTheme="minorHAnsi"/>
        </w:rPr>
      </w:pPr>
      <w:r w:rsidRPr="00A90F8A">
        <w:rPr>
          <w:rFonts w:asciiTheme="minorHAnsi" w:hAnsiTheme="minorHAnsi"/>
        </w:rPr>
        <w:t>Balancing these various considerations, along with the requirements for each residential development to provide private and communal open space, the Review Panel is satisfied that the quantity and distribution of open space to be provided in Fishermans Bend is appropriate.</w:t>
      </w:r>
    </w:p>
    <w:p w:rsidR="00FC2F90" w:rsidRPr="00A90F8A" w:rsidRDefault="00FC2F90" w:rsidP="00FC2F90">
      <w:pPr>
        <w:pStyle w:val="Heading4"/>
        <w:rPr>
          <w:rFonts w:asciiTheme="minorHAnsi" w:hAnsiTheme="minorHAnsi"/>
        </w:rPr>
      </w:pPr>
      <w:r w:rsidRPr="00A90F8A">
        <w:rPr>
          <w:rFonts w:asciiTheme="minorHAnsi" w:hAnsiTheme="minorHAnsi"/>
        </w:rPr>
        <w:t>Findings</w:t>
      </w:r>
    </w:p>
    <w:p w:rsidR="00FC2F90" w:rsidRPr="00A90F8A" w:rsidRDefault="00FC2F90" w:rsidP="00FC2F90">
      <w:pPr>
        <w:pStyle w:val="PPVBody"/>
        <w:rPr>
          <w:rFonts w:asciiTheme="minorHAnsi" w:hAnsiTheme="minorHAnsi"/>
        </w:rPr>
      </w:pPr>
      <w:r w:rsidRPr="00A90F8A">
        <w:rPr>
          <w:rFonts w:asciiTheme="minorHAnsi" w:hAnsiTheme="minorHAnsi"/>
        </w:rPr>
        <w:t>The Review Panel finds:</w:t>
      </w:r>
    </w:p>
    <w:p w:rsidR="00FC2F90" w:rsidRDefault="00FC2F90" w:rsidP="00FC2F90">
      <w:pPr>
        <w:pStyle w:val="PPVBullet1"/>
      </w:pPr>
      <w:r w:rsidRPr="00A90F8A">
        <w:rPr>
          <w:rFonts w:asciiTheme="minorHAnsi" w:hAnsiTheme="minorHAnsi"/>
        </w:rPr>
        <w:t xml:space="preserve">The proposed quantity and distribution of open space in Fishermans Bend is broadly acceptable, subject to the Review Panel’s recommendations in the </w:t>
      </w:r>
      <w:r>
        <w:rPr>
          <w:rFonts w:asciiTheme="minorHAnsi" w:hAnsiTheme="minorHAnsi"/>
        </w:rPr>
        <w:t>P</w:t>
      </w:r>
      <w:r w:rsidRPr="00A90F8A">
        <w:rPr>
          <w:rFonts w:asciiTheme="minorHAnsi" w:hAnsiTheme="minorHAnsi"/>
        </w:rPr>
        <w:t>recinct</w:t>
      </w:r>
      <w:r>
        <w:rPr>
          <w:rFonts w:asciiTheme="minorHAnsi" w:hAnsiTheme="minorHAnsi"/>
        </w:rPr>
        <w:t xml:space="preserve"> </w:t>
      </w:r>
      <w:r w:rsidR="00827876">
        <w:rPr>
          <w:rFonts w:asciiTheme="minorHAnsi" w:hAnsiTheme="minorHAnsi"/>
        </w:rPr>
        <w:t>R</w:t>
      </w:r>
      <w:r w:rsidRPr="00A90F8A">
        <w:rPr>
          <w:rFonts w:asciiTheme="minorHAnsi" w:hAnsiTheme="minorHAnsi"/>
        </w:rPr>
        <w:t>eports.</w:t>
      </w:r>
    </w:p>
    <w:p w:rsidR="00FC2F90" w:rsidRPr="00A90F8A" w:rsidRDefault="00FC2F90" w:rsidP="00FC2F90">
      <w:pPr>
        <w:pStyle w:val="PPVBullet1"/>
      </w:pPr>
      <w:r>
        <w:t>It</w:t>
      </w:r>
      <w:r w:rsidRPr="00A90F8A">
        <w:t xml:space="preserve"> supports in principle the objective of ensuring that every residen</w:t>
      </w:r>
      <w:r>
        <w:t>t and worker is within 200 metre</w:t>
      </w:r>
      <w:r w:rsidRPr="00A90F8A">
        <w:t xml:space="preserve"> safe and easy walking distance of open space</w:t>
      </w:r>
      <w:r>
        <w:t xml:space="preserve">.  However, </w:t>
      </w:r>
      <w:r w:rsidRPr="00A90F8A">
        <w:t xml:space="preserve">the principle should </w:t>
      </w:r>
      <w:r>
        <w:t xml:space="preserve">not </w:t>
      </w:r>
      <w:r w:rsidRPr="00A90F8A">
        <w:t>be applied too restrictively.</w:t>
      </w:r>
    </w:p>
    <w:p w:rsidR="00FC2F90" w:rsidRPr="002278EB" w:rsidRDefault="00FC2F90" w:rsidP="00FC2F90">
      <w:pPr>
        <w:pStyle w:val="Heading2"/>
      </w:pPr>
      <w:bookmarkStart w:id="400" w:name="_Toc519271003"/>
      <w:bookmarkStart w:id="401" w:name="_Toc519710288"/>
      <w:bookmarkStart w:id="402" w:name="_Toc519766848"/>
      <w:r w:rsidRPr="002278EB">
        <w:t>Funding open space</w:t>
      </w:r>
      <w:bookmarkEnd w:id="400"/>
      <w:bookmarkEnd w:id="401"/>
      <w:bookmarkEnd w:id="402"/>
    </w:p>
    <w:p w:rsidR="00FC2F90" w:rsidRDefault="00FC2F90" w:rsidP="00FC2F90">
      <w:pPr>
        <w:pStyle w:val="Heading4"/>
        <w:rPr>
          <w:rFonts w:asciiTheme="minorHAnsi" w:hAnsiTheme="minorHAnsi"/>
        </w:rPr>
      </w:pPr>
      <w:r w:rsidRPr="00A90F8A">
        <w:rPr>
          <w:rFonts w:asciiTheme="minorHAnsi" w:hAnsiTheme="minorHAnsi"/>
        </w:rPr>
        <w:t>Context</w:t>
      </w:r>
    </w:p>
    <w:p w:rsidR="00785416" w:rsidRDefault="00FC2F90" w:rsidP="00FC2F90">
      <w:pPr>
        <w:pStyle w:val="PPVBody"/>
        <w:rPr>
          <w:rFonts w:asciiTheme="minorHAnsi" w:hAnsiTheme="minorHAnsi"/>
        </w:rPr>
      </w:pPr>
      <w:r>
        <w:rPr>
          <w:rFonts w:asciiTheme="minorHAnsi" w:hAnsiTheme="minorHAnsi"/>
        </w:rPr>
        <w:t xml:space="preserve">In the exhibited version of the controls, </w:t>
      </w:r>
      <w:r w:rsidRPr="00A90F8A">
        <w:rPr>
          <w:rFonts w:asciiTheme="minorHAnsi" w:hAnsiTheme="minorHAnsi"/>
        </w:rPr>
        <w:t>open space</w:t>
      </w:r>
      <w:r>
        <w:rPr>
          <w:rFonts w:asciiTheme="minorHAnsi" w:hAnsiTheme="minorHAnsi"/>
        </w:rPr>
        <w:t xml:space="preserve"> was required to be transferred to the relevant authority at no cost pursuant to provisions in the CCZ Schedule.  T</w:t>
      </w:r>
      <w:r w:rsidRPr="00A90F8A">
        <w:rPr>
          <w:rFonts w:asciiTheme="minorHAnsi" w:hAnsiTheme="minorHAnsi"/>
        </w:rPr>
        <w:t>he Minister proposed that landowners would fund the cost of remediating and improving</w:t>
      </w:r>
      <w:r>
        <w:rPr>
          <w:rFonts w:asciiTheme="minorHAnsi" w:hAnsiTheme="minorHAnsi"/>
        </w:rPr>
        <w:t xml:space="preserve"> the open space before it was transferred</w:t>
      </w:r>
      <w:r w:rsidRPr="00A90F8A">
        <w:rPr>
          <w:rFonts w:asciiTheme="minorHAnsi" w:hAnsiTheme="minorHAnsi"/>
        </w:rPr>
        <w:t>.</w:t>
      </w:r>
      <w:r w:rsidRPr="00820B43">
        <w:rPr>
          <w:rStyle w:val="FootnoteReference"/>
          <w:rFonts w:asciiTheme="minorHAnsi" w:hAnsiTheme="minorHAnsi"/>
        </w:rPr>
        <w:footnoteReference w:id="99"/>
      </w:r>
    </w:p>
    <w:p w:rsidR="00FC2F90" w:rsidRDefault="00FC2F90" w:rsidP="00FC2F90">
      <w:pPr>
        <w:pStyle w:val="PPVBody"/>
        <w:rPr>
          <w:rFonts w:asciiTheme="minorHAnsi" w:hAnsiTheme="minorHAnsi"/>
        </w:rPr>
      </w:pPr>
      <w:r>
        <w:rPr>
          <w:rFonts w:asciiTheme="minorHAnsi" w:hAnsiTheme="minorHAnsi"/>
        </w:rPr>
        <w:t xml:space="preserve">Under the Part C controls, </w:t>
      </w:r>
      <w:r w:rsidRPr="00A90F8A">
        <w:rPr>
          <w:rFonts w:asciiTheme="minorHAnsi" w:hAnsiTheme="minorHAnsi"/>
        </w:rPr>
        <w:t xml:space="preserve">land </w:t>
      </w:r>
      <w:r>
        <w:rPr>
          <w:rFonts w:asciiTheme="minorHAnsi" w:hAnsiTheme="minorHAnsi"/>
        </w:rPr>
        <w:t>required for</w:t>
      </w:r>
      <w:r w:rsidRPr="00A90F8A">
        <w:rPr>
          <w:rFonts w:asciiTheme="minorHAnsi" w:hAnsiTheme="minorHAnsi"/>
        </w:rPr>
        <w:t xml:space="preserve"> open space </w:t>
      </w:r>
      <w:r>
        <w:rPr>
          <w:rFonts w:asciiTheme="minorHAnsi" w:hAnsiTheme="minorHAnsi"/>
        </w:rPr>
        <w:t xml:space="preserve">is proposed to </w:t>
      </w:r>
      <w:r w:rsidRPr="00A90F8A">
        <w:rPr>
          <w:rFonts w:asciiTheme="minorHAnsi" w:hAnsiTheme="minorHAnsi"/>
        </w:rPr>
        <w:t xml:space="preserve">be </w:t>
      </w:r>
      <w:r>
        <w:rPr>
          <w:rFonts w:asciiTheme="minorHAnsi" w:hAnsiTheme="minorHAnsi"/>
        </w:rPr>
        <w:t xml:space="preserve">acquired and </w:t>
      </w:r>
      <w:r w:rsidRPr="00A90F8A">
        <w:rPr>
          <w:rFonts w:asciiTheme="minorHAnsi" w:hAnsiTheme="minorHAnsi"/>
        </w:rPr>
        <w:t xml:space="preserve">funded through </w:t>
      </w:r>
      <w:r>
        <w:rPr>
          <w:rFonts w:asciiTheme="minorHAnsi" w:hAnsiTheme="minorHAnsi"/>
        </w:rPr>
        <w:t xml:space="preserve">public land contributions made under </w:t>
      </w:r>
      <w:r w:rsidRPr="00A90F8A">
        <w:rPr>
          <w:rFonts w:asciiTheme="minorHAnsi" w:hAnsiTheme="minorHAnsi"/>
        </w:rPr>
        <w:t>a future I</w:t>
      </w:r>
      <w:r>
        <w:rPr>
          <w:rFonts w:asciiTheme="minorHAnsi" w:hAnsiTheme="minorHAnsi"/>
        </w:rPr>
        <w:t>CP</w:t>
      </w:r>
      <w:r w:rsidRPr="00A90F8A">
        <w:rPr>
          <w:rFonts w:asciiTheme="minorHAnsi" w:hAnsiTheme="minorHAnsi"/>
        </w:rPr>
        <w:t>.</w:t>
      </w:r>
      <w:r>
        <w:rPr>
          <w:rFonts w:asciiTheme="minorHAnsi" w:hAnsiTheme="minorHAnsi"/>
        </w:rPr>
        <w:t xml:space="preserve">  Funding will still be needed for </w:t>
      </w:r>
      <w:r w:rsidRPr="00A90F8A">
        <w:rPr>
          <w:rFonts w:asciiTheme="minorHAnsi" w:hAnsiTheme="minorHAnsi"/>
        </w:rPr>
        <w:t>remediation and improvement costs</w:t>
      </w:r>
      <w:r>
        <w:rPr>
          <w:rFonts w:asciiTheme="minorHAnsi" w:hAnsiTheme="minorHAnsi"/>
        </w:rPr>
        <w:t>.  Possible funding sources include:</w:t>
      </w:r>
    </w:p>
    <w:p w:rsidR="00FC2F90" w:rsidRDefault="00FC2F90" w:rsidP="00FC2F90">
      <w:pPr>
        <w:pStyle w:val="PPVBullet1"/>
      </w:pPr>
      <w:r>
        <w:t>contributions under Clause 52.01</w:t>
      </w:r>
    </w:p>
    <w:p w:rsidR="00FC2F90" w:rsidRDefault="00FC2F90" w:rsidP="00FC2F90">
      <w:pPr>
        <w:pStyle w:val="PPVBullet1"/>
      </w:pPr>
      <w:r>
        <w:t>interim developer contributions</w:t>
      </w:r>
    </w:p>
    <w:p w:rsidR="00FC2F90" w:rsidRPr="001E7D66" w:rsidRDefault="00FC2F90" w:rsidP="00FC2F90">
      <w:pPr>
        <w:pStyle w:val="PPVBullet1"/>
      </w:pPr>
      <w:r>
        <w:t xml:space="preserve">monetary </w:t>
      </w:r>
      <w:r w:rsidR="000E1FB1">
        <w:t xml:space="preserve">and/or land </w:t>
      </w:r>
      <w:r>
        <w:t xml:space="preserve">contributions under </w:t>
      </w:r>
      <w:r>
        <w:rPr>
          <w:rFonts w:asciiTheme="minorHAnsi" w:hAnsiTheme="minorHAnsi"/>
        </w:rPr>
        <w:t>the future ICP</w:t>
      </w:r>
    </w:p>
    <w:p w:rsidR="00FC2F90" w:rsidRDefault="00FC2F90" w:rsidP="00FC2F90">
      <w:pPr>
        <w:pStyle w:val="PPVBullet1"/>
      </w:pPr>
      <w:r>
        <w:lastRenderedPageBreak/>
        <w:t>other sources, such as general State or local government</w:t>
      </w:r>
      <w:r w:rsidRPr="001E7D66">
        <w:t xml:space="preserve"> </w:t>
      </w:r>
      <w:r>
        <w:t>revenue, State o</w:t>
      </w:r>
      <w:r w:rsidR="003C32A8">
        <w:t>r</w:t>
      </w:r>
      <w:r>
        <w:t xml:space="preserve"> Commonwealth grants, or special charges or betterment levies.</w:t>
      </w:r>
      <w:r w:rsidRPr="00820B43">
        <w:rPr>
          <w:rStyle w:val="FootnoteReference"/>
          <w:rFonts w:asciiTheme="minorHAnsi" w:hAnsiTheme="minorHAnsi"/>
        </w:rPr>
        <w:footnoteReference w:id="100"/>
      </w:r>
    </w:p>
    <w:p w:rsidR="00FC2F90" w:rsidRPr="00A90F8A" w:rsidRDefault="00FC2F90" w:rsidP="00FC2F90">
      <w:pPr>
        <w:pStyle w:val="PPVBody"/>
      </w:pPr>
      <w:r>
        <w:rPr>
          <w:rFonts w:asciiTheme="minorHAnsi" w:hAnsiTheme="minorHAnsi"/>
        </w:rPr>
        <w:t xml:space="preserve">This section addresses whether </w:t>
      </w:r>
      <w:r>
        <w:t xml:space="preserve">the contribution rates under Clause 52.01 and the interim developer contributions should be raised, and how </w:t>
      </w:r>
      <w:r>
        <w:rPr>
          <w:rFonts w:asciiTheme="minorHAnsi" w:hAnsiTheme="minorHAnsi"/>
        </w:rPr>
        <w:t xml:space="preserve">Clause 52.01 contributions interrelate with contributions under a possible future ICP.  </w:t>
      </w:r>
      <w:r>
        <w:t>Broader issues about funding public infrastructure are addressed in Chapter 13.</w:t>
      </w:r>
    </w:p>
    <w:p w:rsidR="00FC2F90" w:rsidRDefault="00FC2F90" w:rsidP="00FC2F90">
      <w:pPr>
        <w:pStyle w:val="Heading4"/>
        <w:rPr>
          <w:rFonts w:asciiTheme="minorHAnsi" w:hAnsiTheme="minorHAnsi"/>
        </w:rPr>
      </w:pPr>
      <w:r w:rsidRPr="00A90F8A">
        <w:rPr>
          <w:rFonts w:asciiTheme="minorHAnsi" w:hAnsiTheme="minorHAnsi"/>
        </w:rPr>
        <w:t>Submissions and evidence</w:t>
      </w:r>
    </w:p>
    <w:p w:rsidR="00FC2F90" w:rsidRPr="00A90F8A" w:rsidRDefault="00FC2F90" w:rsidP="00FC2F90">
      <w:pPr>
        <w:pStyle w:val="PPVBody"/>
        <w:rPr>
          <w:rFonts w:asciiTheme="minorHAnsi" w:hAnsiTheme="minorHAnsi"/>
        </w:rPr>
      </w:pPr>
      <w:r w:rsidRPr="00A90F8A">
        <w:rPr>
          <w:rFonts w:asciiTheme="minorHAnsi" w:hAnsiTheme="minorHAnsi"/>
        </w:rPr>
        <w:t xml:space="preserve">Melbourne </w:t>
      </w:r>
      <w:r>
        <w:rPr>
          <w:rFonts w:asciiTheme="minorHAnsi" w:hAnsiTheme="minorHAnsi"/>
        </w:rPr>
        <w:t xml:space="preserve">and Port Phillip </w:t>
      </w:r>
      <w:r w:rsidRPr="00A90F8A">
        <w:rPr>
          <w:rFonts w:asciiTheme="minorHAnsi" w:hAnsiTheme="minorHAnsi"/>
        </w:rPr>
        <w:t xml:space="preserve">submitted that it is unclear whether land proposed to be acquired under the </w:t>
      </w:r>
      <w:r>
        <w:rPr>
          <w:rFonts w:asciiTheme="minorHAnsi" w:hAnsiTheme="minorHAnsi"/>
        </w:rPr>
        <w:t>CCZ</w:t>
      </w:r>
      <w:r w:rsidRPr="00A90F8A">
        <w:rPr>
          <w:rFonts w:asciiTheme="minorHAnsi" w:hAnsiTheme="minorHAnsi"/>
        </w:rPr>
        <w:t xml:space="preserve"> controls </w:t>
      </w:r>
      <w:r>
        <w:rPr>
          <w:rFonts w:asciiTheme="minorHAnsi" w:hAnsiTheme="minorHAnsi"/>
        </w:rPr>
        <w:t>was</w:t>
      </w:r>
      <w:r w:rsidRPr="00A90F8A">
        <w:rPr>
          <w:rFonts w:asciiTheme="minorHAnsi" w:hAnsiTheme="minorHAnsi"/>
        </w:rPr>
        <w:t xml:space="preserve"> part of, or in addition to, the</w:t>
      </w:r>
      <w:r w:rsidR="001643B7">
        <w:rPr>
          <w:rFonts w:asciiTheme="minorHAnsi" w:hAnsiTheme="minorHAnsi"/>
        </w:rPr>
        <w:t xml:space="preserve"> eight</w:t>
      </w:r>
      <w:r w:rsidRPr="00A90F8A">
        <w:rPr>
          <w:rFonts w:asciiTheme="minorHAnsi" w:hAnsiTheme="minorHAnsi"/>
        </w:rPr>
        <w:t xml:space="preserve"> per cent contribution required under </w:t>
      </w:r>
      <w:r w:rsidR="003C32A8">
        <w:rPr>
          <w:rFonts w:asciiTheme="minorHAnsi" w:hAnsiTheme="minorHAnsi"/>
        </w:rPr>
        <w:t xml:space="preserve">the schedule to </w:t>
      </w:r>
      <w:r>
        <w:rPr>
          <w:rFonts w:asciiTheme="minorHAnsi" w:hAnsiTheme="minorHAnsi"/>
        </w:rPr>
        <w:t>C</w:t>
      </w:r>
      <w:r w:rsidRPr="00A90F8A">
        <w:rPr>
          <w:rFonts w:asciiTheme="minorHAnsi" w:hAnsiTheme="minorHAnsi"/>
        </w:rPr>
        <w:t xml:space="preserve">lause 52.01.  </w:t>
      </w:r>
      <w:r>
        <w:rPr>
          <w:rFonts w:asciiTheme="minorHAnsi" w:hAnsiTheme="minorHAnsi"/>
        </w:rPr>
        <w:t>They submitted that it</w:t>
      </w:r>
      <w:r w:rsidRPr="00A90F8A">
        <w:rPr>
          <w:rFonts w:asciiTheme="minorHAnsi" w:hAnsiTheme="minorHAnsi"/>
        </w:rPr>
        <w:t xml:space="preserve"> should be in addition to </w:t>
      </w:r>
      <w:r>
        <w:rPr>
          <w:rFonts w:asciiTheme="minorHAnsi" w:hAnsiTheme="minorHAnsi"/>
        </w:rPr>
        <w:t>C</w:t>
      </w:r>
      <w:r w:rsidRPr="00A90F8A">
        <w:rPr>
          <w:rFonts w:asciiTheme="minorHAnsi" w:hAnsiTheme="minorHAnsi"/>
        </w:rPr>
        <w:t>lause 52.01 contributions.</w:t>
      </w:r>
      <w:r w:rsidRPr="00565008">
        <w:rPr>
          <w:rFonts w:asciiTheme="minorHAnsi" w:hAnsiTheme="minorHAnsi"/>
        </w:rPr>
        <w:t xml:space="preserve"> </w:t>
      </w:r>
      <w:r>
        <w:rPr>
          <w:rFonts w:asciiTheme="minorHAnsi" w:hAnsiTheme="minorHAnsi"/>
        </w:rPr>
        <w:t xml:space="preserve"> The Review Panel </w:t>
      </w:r>
      <w:r w:rsidRPr="00A90F8A">
        <w:rPr>
          <w:rFonts w:asciiTheme="minorHAnsi" w:hAnsiTheme="minorHAnsi"/>
        </w:rPr>
        <w:t>presum</w:t>
      </w:r>
      <w:r>
        <w:rPr>
          <w:rFonts w:asciiTheme="minorHAnsi" w:hAnsiTheme="minorHAnsi"/>
        </w:rPr>
        <w:t xml:space="preserve">es that the same principle applies now that </w:t>
      </w:r>
      <w:r w:rsidRPr="00A90F8A">
        <w:rPr>
          <w:rFonts w:asciiTheme="minorHAnsi" w:hAnsiTheme="minorHAnsi"/>
        </w:rPr>
        <w:t xml:space="preserve">land </w:t>
      </w:r>
      <w:r>
        <w:rPr>
          <w:rFonts w:asciiTheme="minorHAnsi" w:hAnsiTheme="minorHAnsi"/>
        </w:rPr>
        <w:t xml:space="preserve">is proposed to be acquired </w:t>
      </w:r>
      <w:r w:rsidRPr="00A90F8A">
        <w:rPr>
          <w:rFonts w:asciiTheme="minorHAnsi" w:hAnsiTheme="minorHAnsi"/>
        </w:rPr>
        <w:t xml:space="preserve">under </w:t>
      </w:r>
      <w:r>
        <w:rPr>
          <w:rFonts w:asciiTheme="minorHAnsi" w:hAnsiTheme="minorHAnsi"/>
        </w:rPr>
        <w:t>an ICP, rather than under the CCZ controls.</w:t>
      </w:r>
    </w:p>
    <w:p w:rsidR="00785416" w:rsidRDefault="00FC2F90" w:rsidP="00FC2F90">
      <w:pPr>
        <w:pStyle w:val="PPVBody"/>
        <w:rPr>
          <w:rFonts w:asciiTheme="minorHAnsi" w:hAnsiTheme="minorHAnsi"/>
        </w:rPr>
      </w:pPr>
      <w:r w:rsidRPr="00A90F8A">
        <w:rPr>
          <w:rFonts w:asciiTheme="minorHAnsi" w:hAnsiTheme="minorHAnsi"/>
        </w:rPr>
        <w:t xml:space="preserve">Melbourne submitted that unless an </w:t>
      </w:r>
      <w:r>
        <w:rPr>
          <w:rFonts w:asciiTheme="minorHAnsi" w:hAnsiTheme="minorHAnsi"/>
        </w:rPr>
        <w:t>ICP</w:t>
      </w:r>
      <w:r w:rsidRPr="00A90F8A">
        <w:rPr>
          <w:rFonts w:asciiTheme="minorHAnsi" w:hAnsiTheme="minorHAnsi"/>
        </w:rPr>
        <w:t xml:space="preserve"> is applied at the same time as the Amendment is gazetted, the interim developer contributions levy must be immediately raised to reflect the extent of open space required in the Lorimer </w:t>
      </w:r>
      <w:r>
        <w:rPr>
          <w:rFonts w:asciiTheme="minorHAnsi" w:hAnsiTheme="minorHAnsi"/>
        </w:rPr>
        <w:t>P</w:t>
      </w:r>
      <w:r w:rsidRPr="00A90F8A">
        <w:rPr>
          <w:rFonts w:asciiTheme="minorHAnsi" w:hAnsiTheme="minorHAnsi"/>
        </w:rPr>
        <w:t>recinct.</w:t>
      </w:r>
      <w:r w:rsidRPr="00820B43">
        <w:rPr>
          <w:rStyle w:val="FootnoteReference"/>
          <w:rFonts w:asciiTheme="minorHAnsi" w:hAnsiTheme="minorHAnsi"/>
        </w:rPr>
        <w:footnoteReference w:id="101"/>
      </w:r>
      <w:r>
        <w:rPr>
          <w:rFonts w:asciiTheme="minorHAnsi" w:hAnsiTheme="minorHAnsi"/>
        </w:rPr>
        <w:t xml:space="preserve">  </w:t>
      </w:r>
      <w:r w:rsidRPr="00A90F8A">
        <w:rPr>
          <w:rFonts w:asciiTheme="minorHAnsi" w:hAnsiTheme="minorHAnsi"/>
        </w:rPr>
        <w:t>Port Phillip</w:t>
      </w:r>
      <w:r>
        <w:rPr>
          <w:rFonts w:asciiTheme="minorHAnsi" w:hAnsiTheme="minorHAnsi"/>
        </w:rPr>
        <w:t xml:space="preserve"> </w:t>
      </w:r>
      <w:r w:rsidRPr="00A90F8A">
        <w:rPr>
          <w:rFonts w:asciiTheme="minorHAnsi" w:hAnsiTheme="minorHAnsi"/>
        </w:rPr>
        <w:t>raised “</w:t>
      </w:r>
      <w:r w:rsidRPr="00A90F8A">
        <w:rPr>
          <w:rFonts w:asciiTheme="minorHAnsi" w:hAnsiTheme="minorHAnsi"/>
          <w:i/>
        </w:rPr>
        <w:t>significant doubts</w:t>
      </w:r>
      <w:r w:rsidRPr="00A90F8A">
        <w:rPr>
          <w:rFonts w:asciiTheme="minorHAnsi" w:hAnsiTheme="minorHAnsi"/>
        </w:rPr>
        <w:t xml:space="preserve">” about the sufficiency of the </w:t>
      </w:r>
      <w:r w:rsidR="001643B7">
        <w:rPr>
          <w:rFonts w:asciiTheme="minorHAnsi" w:hAnsiTheme="minorHAnsi"/>
        </w:rPr>
        <w:t>eight</w:t>
      </w:r>
      <w:r w:rsidRPr="00A90F8A">
        <w:rPr>
          <w:rFonts w:asciiTheme="minorHAnsi" w:hAnsiTheme="minorHAnsi"/>
        </w:rPr>
        <w:t xml:space="preserve"> per cent contribution rate under </w:t>
      </w:r>
      <w:r>
        <w:rPr>
          <w:rFonts w:asciiTheme="minorHAnsi" w:hAnsiTheme="minorHAnsi"/>
        </w:rPr>
        <w:t>C</w:t>
      </w:r>
      <w:r w:rsidRPr="00A90F8A">
        <w:rPr>
          <w:rFonts w:asciiTheme="minorHAnsi" w:hAnsiTheme="minorHAnsi"/>
        </w:rPr>
        <w:t>lause 52.01, submitting that it should be raised to at least 10 per cent.</w:t>
      </w:r>
      <w:r w:rsidRPr="00820B43">
        <w:rPr>
          <w:rStyle w:val="FootnoteReference"/>
          <w:rFonts w:asciiTheme="minorHAnsi" w:hAnsiTheme="minorHAnsi"/>
        </w:rPr>
        <w:footnoteReference w:id="102"/>
      </w:r>
    </w:p>
    <w:p w:rsidR="00FC2F90" w:rsidRPr="00A90F8A" w:rsidRDefault="00FC2F90" w:rsidP="00FC2F90">
      <w:pPr>
        <w:pStyle w:val="PPVBody"/>
        <w:rPr>
          <w:rFonts w:asciiTheme="minorHAnsi" w:hAnsiTheme="minorHAnsi"/>
        </w:rPr>
      </w:pPr>
      <w:r>
        <w:rPr>
          <w:rFonts w:asciiTheme="minorHAnsi" w:hAnsiTheme="minorHAnsi"/>
        </w:rPr>
        <w:t>Port Phillip</w:t>
      </w:r>
      <w:r w:rsidRPr="00A90F8A">
        <w:rPr>
          <w:rFonts w:asciiTheme="minorHAnsi" w:hAnsiTheme="minorHAnsi"/>
        </w:rPr>
        <w:t xml:space="preserve"> submitted that </w:t>
      </w:r>
      <w:r>
        <w:rPr>
          <w:rFonts w:asciiTheme="minorHAnsi" w:hAnsiTheme="minorHAnsi"/>
        </w:rPr>
        <w:t>C</w:t>
      </w:r>
      <w:r w:rsidRPr="00A90F8A">
        <w:rPr>
          <w:rFonts w:asciiTheme="minorHAnsi" w:hAnsiTheme="minorHAnsi"/>
        </w:rPr>
        <w:t>lause 52.01 contributions should be put toward</w:t>
      </w:r>
      <w:r>
        <w:rPr>
          <w:rFonts w:asciiTheme="minorHAnsi" w:hAnsiTheme="minorHAnsi"/>
        </w:rPr>
        <w:t>s</w:t>
      </w:r>
      <w:r w:rsidRPr="00A90F8A">
        <w:rPr>
          <w:rFonts w:asciiTheme="minorHAnsi" w:hAnsiTheme="minorHAnsi"/>
        </w:rPr>
        <w:t xml:space="preserve"> construction costs rather than acquisition costs (a matter that was subsequently confirmed by the Minister), but that some improvement costs – namely all costs associated with remediating and improving the active sports reserves</w:t>
      </w:r>
      <w:r>
        <w:rPr>
          <w:rFonts w:asciiTheme="minorHAnsi" w:hAnsiTheme="minorHAnsi"/>
        </w:rPr>
        <w:t xml:space="preserve"> </w:t>
      </w:r>
      <w:r w:rsidRPr="00A90F8A">
        <w:rPr>
          <w:rFonts w:asciiTheme="minorHAnsi" w:hAnsiTheme="minorHAnsi"/>
        </w:rPr>
        <w:t xml:space="preserve">– should be funded under the future </w:t>
      </w:r>
      <w:r>
        <w:rPr>
          <w:rFonts w:asciiTheme="minorHAnsi" w:hAnsiTheme="minorHAnsi"/>
        </w:rPr>
        <w:t>DCP</w:t>
      </w:r>
      <w:r w:rsidRPr="00A90F8A">
        <w:rPr>
          <w:rFonts w:asciiTheme="minorHAnsi" w:hAnsiTheme="minorHAnsi"/>
        </w:rPr>
        <w:t xml:space="preserve"> (now presumably the </w:t>
      </w:r>
      <w:r>
        <w:rPr>
          <w:rFonts w:asciiTheme="minorHAnsi" w:hAnsiTheme="minorHAnsi"/>
        </w:rPr>
        <w:t>ICP</w:t>
      </w:r>
      <w:r w:rsidRPr="00A90F8A">
        <w:rPr>
          <w:rFonts w:asciiTheme="minorHAnsi" w:hAnsiTheme="minorHAnsi"/>
        </w:rPr>
        <w:t>).</w:t>
      </w:r>
      <w:r w:rsidRPr="00820B43">
        <w:rPr>
          <w:rStyle w:val="FootnoteReference"/>
          <w:rFonts w:asciiTheme="minorHAnsi" w:hAnsiTheme="minorHAnsi"/>
        </w:rPr>
        <w:footnoteReference w:id="103"/>
      </w:r>
      <w:r w:rsidRPr="00A90F8A">
        <w:rPr>
          <w:rFonts w:asciiTheme="minorHAnsi" w:hAnsiTheme="minorHAnsi"/>
        </w:rPr>
        <w:t xml:space="preserve">   It submitted that open space costs should not be supplemented with </w:t>
      </w:r>
      <w:r>
        <w:rPr>
          <w:rFonts w:asciiTheme="minorHAnsi" w:hAnsiTheme="minorHAnsi"/>
        </w:rPr>
        <w:t>funding from local government (including from rate</w:t>
      </w:r>
      <w:r w:rsidR="003C32A8">
        <w:rPr>
          <w:rFonts w:asciiTheme="minorHAnsi" w:hAnsiTheme="minorHAnsi"/>
        </w:rPr>
        <w:t>s</w:t>
      </w:r>
      <w:r>
        <w:rPr>
          <w:rFonts w:asciiTheme="minorHAnsi" w:hAnsiTheme="minorHAnsi"/>
        </w:rPr>
        <w:t xml:space="preserve"> revenue)</w:t>
      </w:r>
      <w:r w:rsidRPr="00A90F8A">
        <w:rPr>
          <w:rFonts w:asciiTheme="minorHAnsi" w:hAnsiTheme="minorHAnsi"/>
        </w:rPr>
        <w:t>.</w:t>
      </w:r>
    </w:p>
    <w:p w:rsidR="00FC2F90" w:rsidRDefault="00FC2F90" w:rsidP="00FC2F90">
      <w:pPr>
        <w:pStyle w:val="Heading4"/>
        <w:rPr>
          <w:rFonts w:asciiTheme="minorHAnsi" w:hAnsiTheme="minorHAnsi"/>
        </w:rPr>
      </w:pPr>
      <w:r w:rsidRPr="00A90F8A">
        <w:rPr>
          <w:rFonts w:asciiTheme="minorHAnsi" w:hAnsiTheme="minorHAnsi"/>
        </w:rPr>
        <w:t>Discussion</w:t>
      </w:r>
    </w:p>
    <w:p w:rsidR="00FC2F90" w:rsidRPr="00A90F8A" w:rsidRDefault="00FC2F90" w:rsidP="00FC2F90">
      <w:pPr>
        <w:pStyle w:val="PPVBody"/>
        <w:rPr>
          <w:rFonts w:asciiTheme="minorHAnsi" w:hAnsiTheme="minorHAnsi"/>
        </w:rPr>
      </w:pPr>
      <w:r w:rsidRPr="00A90F8A">
        <w:rPr>
          <w:rFonts w:asciiTheme="minorHAnsi" w:hAnsiTheme="minorHAnsi"/>
        </w:rPr>
        <w:t xml:space="preserve">Remediation and improvement of open space in Fishermans Bend is likely to be expensive.  Planisphere prepared indicative estimates of the cost of improving open spaces, using the </w:t>
      </w:r>
      <w:r w:rsidRPr="002D1D6D">
        <w:rPr>
          <w:rFonts w:asciiTheme="minorHAnsi" w:hAnsiTheme="minorHAnsi"/>
          <w:i/>
        </w:rPr>
        <w:t>City of Melbourne Open Space Strategy (2012)</w:t>
      </w:r>
      <w:r w:rsidRPr="00A90F8A">
        <w:rPr>
          <w:rFonts w:asciiTheme="minorHAnsi" w:hAnsiTheme="minorHAnsi"/>
        </w:rPr>
        <w:t xml:space="preserve"> as a guide:</w:t>
      </w:r>
    </w:p>
    <w:p w:rsidR="00FC2F90" w:rsidRPr="00A90F8A" w:rsidRDefault="00FC2F90" w:rsidP="00FC2F90">
      <w:pPr>
        <w:pStyle w:val="PPVBullet1"/>
      </w:pPr>
      <w:r w:rsidRPr="00A90F8A">
        <w:rPr>
          <w:rFonts w:asciiTheme="minorHAnsi" w:hAnsiTheme="minorHAnsi"/>
        </w:rPr>
        <w:t>$800 per square metre for pocket parks</w:t>
      </w:r>
    </w:p>
    <w:p w:rsidR="00FC2F90" w:rsidRPr="00A90F8A" w:rsidRDefault="00FC2F90" w:rsidP="00FC2F90">
      <w:pPr>
        <w:pStyle w:val="PPVBullet1"/>
      </w:pPr>
      <w:r w:rsidRPr="00A90F8A">
        <w:t>$600 per square metre for neighbourhood and linear open space</w:t>
      </w:r>
    </w:p>
    <w:p w:rsidR="00FC2F90" w:rsidRPr="00A90F8A" w:rsidRDefault="00FC2F90" w:rsidP="00FC2F90">
      <w:pPr>
        <w:pStyle w:val="PPVBullet1"/>
      </w:pPr>
      <w:r w:rsidRPr="00A90F8A">
        <w:t>$400 per square metre for precinct open space</w:t>
      </w:r>
    </w:p>
    <w:p w:rsidR="00FC2F90" w:rsidRPr="00A90F8A" w:rsidRDefault="00FC2F90" w:rsidP="00FC2F90">
      <w:pPr>
        <w:pStyle w:val="PPVBullet1"/>
      </w:pPr>
      <w:r w:rsidRPr="00A90F8A">
        <w:t>$300 per square metre for district open space.</w:t>
      </w:r>
    </w:p>
    <w:p w:rsidR="00FC2F90" w:rsidRDefault="00FC2F90" w:rsidP="00FC2F90">
      <w:pPr>
        <w:pStyle w:val="PPVBody"/>
        <w:rPr>
          <w:rFonts w:asciiTheme="minorHAnsi" w:hAnsiTheme="minorHAnsi"/>
        </w:rPr>
      </w:pPr>
      <w:r w:rsidRPr="00A90F8A">
        <w:rPr>
          <w:rFonts w:asciiTheme="minorHAnsi" w:hAnsiTheme="minorHAnsi"/>
        </w:rPr>
        <w:t xml:space="preserve">These costs are indicative only, and do not include remediation costs.  Costings based on Melbourne’s 2012 Strategy </w:t>
      </w:r>
      <w:r w:rsidR="000E1FB1">
        <w:rPr>
          <w:rFonts w:asciiTheme="minorHAnsi" w:hAnsiTheme="minorHAnsi"/>
        </w:rPr>
        <w:t>are</w:t>
      </w:r>
      <w:r w:rsidRPr="00A90F8A">
        <w:rPr>
          <w:rFonts w:asciiTheme="minorHAnsi" w:hAnsiTheme="minorHAnsi"/>
        </w:rPr>
        <w:t xml:space="preserve"> outdated.</w:t>
      </w:r>
    </w:p>
    <w:p w:rsidR="00FC2F90" w:rsidRPr="00A90F8A" w:rsidRDefault="00FC2F90" w:rsidP="00FC2F90">
      <w:pPr>
        <w:pStyle w:val="PPVBody"/>
        <w:rPr>
          <w:rFonts w:asciiTheme="minorHAnsi" w:hAnsiTheme="minorHAnsi"/>
        </w:rPr>
      </w:pPr>
      <w:r>
        <w:rPr>
          <w:rFonts w:asciiTheme="minorHAnsi" w:hAnsiTheme="minorHAnsi"/>
        </w:rPr>
        <w:t>Funding will be needed for major capital improvements such as sports facilities.  T</w:t>
      </w:r>
      <w:r w:rsidRPr="00A90F8A">
        <w:rPr>
          <w:rFonts w:asciiTheme="minorHAnsi" w:hAnsiTheme="minorHAnsi"/>
        </w:rPr>
        <w:t xml:space="preserve">he Planisphere Strategy recommended that indoor and outdoor sports courts, a public sports and aquatic centre, relocation of the Port Phillip depot and its conversion to open space, and </w:t>
      </w:r>
      <w:r w:rsidRPr="00A90F8A">
        <w:rPr>
          <w:rFonts w:asciiTheme="minorHAnsi" w:hAnsiTheme="minorHAnsi"/>
        </w:rPr>
        <w:lastRenderedPageBreak/>
        <w:t>open space improvements</w:t>
      </w:r>
      <w:r>
        <w:rPr>
          <w:rFonts w:asciiTheme="minorHAnsi" w:hAnsiTheme="minorHAnsi"/>
        </w:rPr>
        <w:t xml:space="preserve"> should all be funded through</w:t>
      </w:r>
      <w:r w:rsidRPr="00A90F8A">
        <w:rPr>
          <w:rFonts w:asciiTheme="minorHAnsi" w:hAnsiTheme="minorHAnsi"/>
        </w:rPr>
        <w:t xml:space="preserve"> a future D</w:t>
      </w:r>
      <w:r w:rsidR="00F34EE4">
        <w:rPr>
          <w:rFonts w:asciiTheme="minorHAnsi" w:hAnsiTheme="minorHAnsi"/>
        </w:rPr>
        <w:t>CP</w:t>
      </w:r>
      <w:r w:rsidRPr="00A90F8A">
        <w:rPr>
          <w:rFonts w:asciiTheme="minorHAnsi" w:hAnsiTheme="minorHAnsi"/>
        </w:rPr>
        <w:t>.</w:t>
      </w:r>
      <w:r w:rsidRPr="00820B43">
        <w:rPr>
          <w:rStyle w:val="FootnoteReference"/>
          <w:rFonts w:asciiTheme="minorHAnsi" w:hAnsiTheme="minorHAnsi"/>
        </w:rPr>
        <w:footnoteReference w:id="104"/>
      </w:r>
      <w:r w:rsidRPr="00A90F8A">
        <w:rPr>
          <w:rFonts w:asciiTheme="minorHAnsi" w:hAnsiTheme="minorHAnsi"/>
        </w:rPr>
        <w:t xml:space="preserve">  </w:t>
      </w:r>
      <w:r w:rsidRPr="00AD3054">
        <w:rPr>
          <w:rFonts w:asciiTheme="minorHAnsi" w:hAnsiTheme="minorHAnsi"/>
        </w:rPr>
        <w:t>Water Polo Victoria</w:t>
      </w:r>
      <w:r>
        <w:rPr>
          <w:rFonts w:asciiTheme="minorHAnsi" w:hAnsiTheme="minorHAnsi"/>
        </w:rPr>
        <w:t xml:space="preserve"> (S6) </w:t>
      </w:r>
      <w:r w:rsidRPr="00AD3054">
        <w:rPr>
          <w:rFonts w:asciiTheme="minorHAnsi" w:hAnsiTheme="minorHAnsi"/>
        </w:rPr>
        <w:t>propose</w:t>
      </w:r>
      <w:r>
        <w:rPr>
          <w:rFonts w:asciiTheme="minorHAnsi" w:hAnsiTheme="minorHAnsi"/>
        </w:rPr>
        <w:t>d</w:t>
      </w:r>
      <w:r w:rsidRPr="00AD3054">
        <w:rPr>
          <w:rFonts w:asciiTheme="minorHAnsi" w:hAnsiTheme="minorHAnsi"/>
        </w:rPr>
        <w:t xml:space="preserve"> a water polo friendly, multi</w:t>
      </w:r>
      <w:r>
        <w:rPr>
          <w:rFonts w:asciiTheme="minorHAnsi" w:hAnsiTheme="minorHAnsi"/>
        </w:rPr>
        <w:t>purpose</w:t>
      </w:r>
      <w:r w:rsidRPr="00AD3054">
        <w:rPr>
          <w:rFonts w:asciiTheme="minorHAnsi" w:hAnsiTheme="minorHAnsi"/>
        </w:rPr>
        <w:t xml:space="preserve"> aquatic facility in Fishermans Bend</w:t>
      </w:r>
      <w:r>
        <w:rPr>
          <w:rFonts w:asciiTheme="minorHAnsi" w:hAnsiTheme="minorHAnsi"/>
        </w:rPr>
        <w:t xml:space="preserve">, submitting that the facility could benefit </w:t>
      </w:r>
      <w:r w:rsidRPr="00AD3054">
        <w:rPr>
          <w:rFonts w:asciiTheme="minorHAnsi" w:hAnsiTheme="minorHAnsi"/>
        </w:rPr>
        <w:t xml:space="preserve">school </w:t>
      </w:r>
      <w:r>
        <w:rPr>
          <w:rFonts w:asciiTheme="minorHAnsi" w:hAnsiTheme="minorHAnsi"/>
        </w:rPr>
        <w:t xml:space="preserve">groups </w:t>
      </w:r>
      <w:r w:rsidRPr="00AD3054">
        <w:rPr>
          <w:rFonts w:asciiTheme="minorHAnsi" w:hAnsiTheme="minorHAnsi"/>
        </w:rPr>
        <w:t>and water polo groups.</w:t>
      </w:r>
    </w:p>
    <w:p w:rsidR="00FC2F90" w:rsidRDefault="00FC2F90" w:rsidP="00FC2F90">
      <w:pPr>
        <w:pStyle w:val="PPVBody"/>
        <w:rPr>
          <w:rFonts w:asciiTheme="minorHAnsi" w:hAnsiTheme="minorHAnsi"/>
        </w:rPr>
      </w:pPr>
      <w:r w:rsidRPr="00A90F8A">
        <w:rPr>
          <w:rFonts w:asciiTheme="minorHAnsi" w:hAnsiTheme="minorHAnsi"/>
        </w:rPr>
        <w:t xml:space="preserve">Clearly, more work is required to properly cost the </w:t>
      </w:r>
      <w:r>
        <w:rPr>
          <w:rFonts w:asciiTheme="minorHAnsi" w:hAnsiTheme="minorHAnsi"/>
        </w:rPr>
        <w:t xml:space="preserve">acquisition, </w:t>
      </w:r>
      <w:r w:rsidRPr="00A90F8A">
        <w:rPr>
          <w:rFonts w:asciiTheme="minorHAnsi" w:hAnsiTheme="minorHAnsi"/>
        </w:rPr>
        <w:t>remediation and improvements required for open space in Fishermans Bend.  The Review Panel understands that this work will form part of the Funding and Finance Plan being prepared by the Taskforce</w:t>
      </w:r>
      <w:r>
        <w:rPr>
          <w:rFonts w:asciiTheme="minorHAnsi" w:hAnsiTheme="minorHAnsi"/>
        </w:rPr>
        <w:t>, and possibly a future ICP</w:t>
      </w:r>
      <w:r w:rsidRPr="00A90F8A">
        <w:rPr>
          <w:rFonts w:asciiTheme="minorHAnsi" w:hAnsiTheme="minorHAnsi"/>
        </w:rPr>
        <w:t>.</w:t>
      </w:r>
    </w:p>
    <w:p w:rsidR="002566E0" w:rsidRDefault="002566E0" w:rsidP="002566E0">
      <w:pPr>
        <w:pStyle w:val="PPVBody"/>
        <w:rPr>
          <w:rFonts w:asciiTheme="minorHAnsi" w:hAnsiTheme="minorHAnsi"/>
        </w:rPr>
      </w:pPr>
      <w:r w:rsidRPr="00A90F8A">
        <w:rPr>
          <w:rFonts w:asciiTheme="minorHAnsi" w:hAnsiTheme="minorHAnsi"/>
        </w:rPr>
        <w:t xml:space="preserve">While the Review Panel notes </w:t>
      </w:r>
      <w:r>
        <w:rPr>
          <w:rFonts w:asciiTheme="minorHAnsi" w:hAnsiTheme="minorHAnsi"/>
        </w:rPr>
        <w:t xml:space="preserve">the </w:t>
      </w:r>
      <w:r w:rsidRPr="00A90F8A">
        <w:rPr>
          <w:rFonts w:asciiTheme="minorHAnsi" w:hAnsiTheme="minorHAnsi"/>
        </w:rPr>
        <w:t xml:space="preserve">submissions calling for an immediate raising of the rates for </w:t>
      </w:r>
      <w:r>
        <w:rPr>
          <w:rFonts w:asciiTheme="minorHAnsi" w:hAnsiTheme="minorHAnsi"/>
        </w:rPr>
        <w:t>C</w:t>
      </w:r>
      <w:r w:rsidRPr="00A90F8A">
        <w:rPr>
          <w:rFonts w:asciiTheme="minorHAnsi" w:hAnsiTheme="minorHAnsi"/>
        </w:rPr>
        <w:t xml:space="preserve">lause 52.01 contributions, it is difficult to advise on what the revised rates should be until </w:t>
      </w:r>
      <w:r>
        <w:rPr>
          <w:rFonts w:asciiTheme="minorHAnsi" w:hAnsiTheme="minorHAnsi"/>
        </w:rPr>
        <w:t xml:space="preserve">the detailed costing </w:t>
      </w:r>
      <w:r w:rsidRPr="00A90F8A">
        <w:rPr>
          <w:rFonts w:asciiTheme="minorHAnsi" w:hAnsiTheme="minorHAnsi"/>
        </w:rPr>
        <w:t>work is undertaken</w:t>
      </w:r>
      <w:r>
        <w:rPr>
          <w:rFonts w:asciiTheme="minorHAnsi" w:hAnsiTheme="minorHAnsi"/>
        </w:rPr>
        <w:t>, or a study that would demonstrate that the eight per cent contribution rate is insufficient</w:t>
      </w:r>
      <w:r w:rsidRPr="00A90F8A">
        <w:rPr>
          <w:rFonts w:asciiTheme="minorHAnsi" w:hAnsiTheme="minorHAnsi"/>
        </w:rPr>
        <w:t>.</w:t>
      </w:r>
    </w:p>
    <w:p w:rsidR="002566E0" w:rsidRDefault="002566E0" w:rsidP="002566E0">
      <w:pPr>
        <w:pStyle w:val="PPVBody"/>
        <w:rPr>
          <w:rFonts w:asciiTheme="minorHAnsi" w:hAnsiTheme="minorHAnsi"/>
        </w:rPr>
      </w:pPr>
      <w:r w:rsidRPr="00A90F8A">
        <w:t>The</w:t>
      </w:r>
      <w:r>
        <w:t xml:space="preserve"> Minister clarified during the H</w:t>
      </w:r>
      <w:r w:rsidRPr="00A90F8A">
        <w:t>e</w:t>
      </w:r>
      <w:r>
        <w:t>aring that contributions under C</w:t>
      </w:r>
      <w:r w:rsidRPr="00A90F8A">
        <w:t xml:space="preserve">lause 52.01 are intended to be </w:t>
      </w:r>
      <w:r w:rsidRPr="001643B7">
        <w:t>in addition to</w:t>
      </w:r>
      <w:r w:rsidRPr="00A90F8A">
        <w:t xml:space="preserve"> any contributions required under the </w:t>
      </w:r>
      <w:r>
        <w:t>CCZ</w:t>
      </w:r>
      <w:r w:rsidRPr="00A90F8A">
        <w:t xml:space="preserve"> controls.  </w:t>
      </w:r>
      <w:r>
        <w:t xml:space="preserve">He </w:t>
      </w:r>
      <w:r w:rsidRPr="00A90F8A">
        <w:rPr>
          <w:rFonts w:asciiTheme="minorHAnsi" w:hAnsiTheme="minorHAnsi"/>
        </w:rPr>
        <w:t xml:space="preserve">indicated that </w:t>
      </w:r>
      <w:r>
        <w:rPr>
          <w:rFonts w:asciiTheme="minorHAnsi" w:hAnsiTheme="minorHAnsi"/>
        </w:rPr>
        <w:t>C</w:t>
      </w:r>
      <w:r w:rsidRPr="00A90F8A">
        <w:rPr>
          <w:rFonts w:asciiTheme="minorHAnsi" w:hAnsiTheme="minorHAnsi"/>
        </w:rPr>
        <w:t xml:space="preserve">lause 52.01 contributions are preferred as cash rather than land.  Melbourne noted that its local policy in </w:t>
      </w:r>
      <w:r>
        <w:rPr>
          <w:rFonts w:asciiTheme="minorHAnsi" w:hAnsiTheme="minorHAnsi"/>
        </w:rPr>
        <w:t>C</w:t>
      </w:r>
      <w:r w:rsidRPr="00A90F8A">
        <w:rPr>
          <w:rFonts w:asciiTheme="minorHAnsi" w:hAnsiTheme="minorHAnsi"/>
        </w:rPr>
        <w:t>lause 22.26 states that land contributions are preferred to cash, and that amendments will be required to ensure there are no inconsistencies in the local policy framework.  The Review Panel supports this approach.</w:t>
      </w:r>
    </w:p>
    <w:p w:rsidR="002566E0" w:rsidRPr="00A90F8A" w:rsidRDefault="002566E0" w:rsidP="002566E0">
      <w:pPr>
        <w:pStyle w:val="Heading4"/>
        <w:rPr>
          <w:rFonts w:asciiTheme="minorHAnsi" w:hAnsiTheme="minorHAnsi"/>
        </w:rPr>
      </w:pPr>
      <w:r w:rsidRPr="00A90F8A">
        <w:rPr>
          <w:rFonts w:asciiTheme="minorHAnsi" w:hAnsiTheme="minorHAnsi"/>
        </w:rPr>
        <w:t>Findings</w:t>
      </w:r>
    </w:p>
    <w:p w:rsidR="002566E0" w:rsidRPr="00A90F8A" w:rsidRDefault="002566E0" w:rsidP="002566E0">
      <w:pPr>
        <w:pStyle w:val="PPVBody"/>
        <w:rPr>
          <w:rFonts w:asciiTheme="minorHAnsi" w:hAnsiTheme="minorHAnsi"/>
        </w:rPr>
      </w:pPr>
      <w:r w:rsidRPr="00A90F8A">
        <w:rPr>
          <w:rFonts w:asciiTheme="minorHAnsi" w:hAnsiTheme="minorHAnsi"/>
        </w:rPr>
        <w:t>The Review Panel finds:</w:t>
      </w:r>
    </w:p>
    <w:p w:rsidR="002566E0" w:rsidRDefault="002566E0" w:rsidP="002566E0">
      <w:pPr>
        <w:pStyle w:val="PPVBullet1"/>
      </w:pPr>
      <w:r>
        <w:rPr>
          <w:rFonts w:asciiTheme="minorHAnsi" w:hAnsiTheme="minorHAnsi"/>
        </w:rPr>
        <w:t>C</w:t>
      </w:r>
      <w:r w:rsidRPr="00A90F8A">
        <w:rPr>
          <w:rFonts w:asciiTheme="minorHAnsi" w:hAnsiTheme="minorHAnsi"/>
        </w:rPr>
        <w:t xml:space="preserve">lause 52.01 contributions </w:t>
      </w:r>
      <w:r>
        <w:rPr>
          <w:rFonts w:asciiTheme="minorHAnsi" w:hAnsiTheme="minorHAnsi"/>
        </w:rPr>
        <w:t xml:space="preserve">are a funding source for open space, as is an ICP.  The question of whether Clause 52.01 contributions should be </w:t>
      </w:r>
      <w:r w:rsidRPr="00A90F8A">
        <w:rPr>
          <w:rFonts w:asciiTheme="minorHAnsi" w:hAnsiTheme="minorHAnsi"/>
        </w:rPr>
        <w:t xml:space="preserve">in addition to contributions required under a </w:t>
      </w:r>
      <w:r>
        <w:rPr>
          <w:rFonts w:asciiTheme="minorHAnsi" w:hAnsiTheme="minorHAnsi"/>
        </w:rPr>
        <w:t>possible ICP is best dealt with when the ICP is being prepared</w:t>
      </w:r>
      <w:r w:rsidRPr="00A90F8A">
        <w:rPr>
          <w:rFonts w:asciiTheme="minorHAnsi" w:hAnsiTheme="minorHAnsi"/>
        </w:rPr>
        <w:t>.</w:t>
      </w:r>
    </w:p>
    <w:p w:rsidR="002566E0" w:rsidRDefault="002566E0" w:rsidP="002566E0">
      <w:pPr>
        <w:pStyle w:val="PPVBullet1"/>
      </w:pPr>
      <w:r w:rsidRPr="00A90F8A">
        <w:t xml:space="preserve">There is insufficient information available at this stage to understand whether </w:t>
      </w:r>
      <w:r>
        <w:t>Clause 52.01 contributions should be raised.</w:t>
      </w:r>
    </w:p>
    <w:p w:rsidR="00FC2F90" w:rsidRPr="002278EB" w:rsidRDefault="00FC2F90" w:rsidP="00A6554F">
      <w:pPr>
        <w:pStyle w:val="Heading2"/>
      </w:pPr>
      <w:bookmarkStart w:id="403" w:name="_Toc519271004"/>
      <w:bookmarkStart w:id="404" w:name="_Toc519710289"/>
      <w:bookmarkStart w:id="405" w:name="_Toc519766849"/>
      <w:r w:rsidRPr="002278EB">
        <w:t>Overshadowing requirements</w:t>
      </w:r>
      <w:bookmarkEnd w:id="403"/>
      <w:bookmarkEnd w:id="404"/>
      <w:bookmarkEnd w:id="405"/>
    </w:p>
    <w:p w:rsidR="00FC2F90" w:rsidRDefault="00FC2F90" w:rsidP="00FC2F90">
      <w:pPr>
        <w:pStyle w:val="Heading4"/>
        <w:rPr>
          <w:rFonts w:asciiTheme="minorHAnsi" w:hAnsiTheme="minorHAnsi"/>
        </w:rPr>
      </w:pPr>
      <w:r w:rsidRPr="00A90F8A">
        <w:rPr>
          <w:rFonts w:asciiTheme="minorHAnsi" w:hAnsiTheme="minorHAnsi"/>
        </w:rPr>
        <w:t>Submissions and evidence</w:t>
      </w:r>
    </w:p>
    <w:p w:rsidR="00FC2F90" w:rsidRPr="00A90F8A" w:rsidRDefault="00FC2F90" w:rsidP="00FC2F90">
      <w:pPr>
        <w:pStyle w:val="PPVBody"/>
        <w:rPr>
          <w:rFonts w:asciiTheme="minorHAnsi" w:hAnsiTheme="minorHAnsi"/>
        </w:rPr>
      </w:pPr>
      <w:r w:rsidRPr="00A90F8A">
        <w:rPr>
          <w:rFonts w:asciiTheme="minorHAnsi" w:hAnsiTheme="minorHAnsi"/>
        </w:rPr>
        <w:t xml:space="preserve">Mandatory overshadowing controls are proposed in the </w:t>
      </w:r>
      <w:r>
        <w:rPr>
          <w:rFonts w:asciiTheme="minorHAnsi" w:hAnsiTheme="minorHAnsi"/>
        </w:rPr>
        <w:t>DDOs</w:t>
      </w:r>
      <w:r w:rsidRPr="00A90F8A">
        <w:rPr>
          <w:rFonts w:asciiTheme="minorHAnsi" w:hAnsiTheme="minorHAnsi"/>
        </w:rPr>
        <w:t>, to ensure that open space receives at least three hours of sunlight at different times of year based on their position in the open space hierarchy:</w:t>
      </w:r>
    </w:p>
    <w:p w:rsidR="00FC2F90" w:rsidRPr="00A90F8A" w:rsidRDefault="00FC2F90" w:rsidP="00FC2F90">
      <w:pPr>
        <w:pStyle w:val="PPVBullet1"/>
      </w:pPr>
      <w:r w:rsidRPr="00A90F8A">
        <w:rPr>
          <w:rFonts w:asciiTheme="minorHAnsi" w:hAnsiTheme="minorHAnsi"/>
        </w:rPr>
        <w:t>winter solstice protection is proposed for r</w:t>
      </w:r>
      <w:r>
        <w:rPr>
          <w:rFonts w:asciiTheme="minorHAnsi" w:hAnsiTheme="minorHAnsi"/>
        </w:rPr>
        <w:t>egional and district open space</w:t>
      </w:r>
    </w:p>
    <w:p w:rsidR="00FC2F90" w:rsidRPr="00A90F8A" w:rsidRDefault="00FC2F90" w:rsidP="00FC2F90">
      <w:pPr>
        <w:pStyle w:val="PPVBullet1"/>
      </w:pPr>
      <w:r w:rsidRPr="00A90F8A">
        <w:t>equinox protection is proposed for precinct and neighbourhood open space</w:t>
      </w:r>
    </w:p>
    <w:p w:rsidR="00FC2F90" w:rsidRPr="00A90F8A" w:rsidRDefault="00FC2F90" w:rsidP="00FC2F90">
      <w:pPr>
        <w:pStyle w:val="PPVBullet1"/>
      </w:pPr>
      <w:r w:rsidRPr="00A90F8A">
        <w:t>with some exceptions</w:t>
      </w:r>
      <w:r>
        <w:t>,</w:t>
      </w:r>
      <w:r w:rsidRPr="00A90F8A">
        <w:t xml:space="preserve"> linear green spines and pocket parks do not have overshadowing </w:t>
      </w:r>
      <w:r>
        <w:t>protection.</w:t>
      </w:r>
    </w:p>
    <w:p w:rsidR="00FC2F90" w:rsidRPr="00A90F8A" w:rsidRDefault="00FC2F90" w:rsidP="00FC2F90">
      <w:pPr>
        <w:pStyle w:val="PPVBody"/>
        <w:rPr>
          <w:rFonts w:asciiTheme="minorHAnsi" w:hAnsiTheme="minorHAnsi"/>
        </w:rPr>
      </w:pPr>
      <w:r w:rsidRPr="00A90F8A">
        <w:rPr>
          <w:rFonts w:asciiTheme="minorHAnsi" w:hAnsiTheme="minorHAnsi"/>
        </w:rPr>
        <w:t xml:space="preserve">The Minister submitted that mandatory </w:t>
      </w:r>
      <w:r>
        <w:rPr>
          <w:rFonts w:asciiTheme="minorHAnsi" w:hAnsiTheme="minorHAnsi"/>
        </w:rPr>
        <w:t xml:space="preserve">overshadowing </w:t>
      </w:r>
      <w:r w:rsidRPr="00A90F8A">
        <w:rPr>
          <w:rFonts w:asciiTheme="minorHAnsi" w:hAnsiTheme="minorHAnsi"/>
        </w:rPr>
        <w:t>controls</w:t>
      </w:r>
      <w:r>
        <w:rPr>
          <w:rFonts w:asciiTheme="minorHAnsi" w:hAnsiTheme="minorHAnsi"/>
        </w:rPr>
        <w:t xml:space="preserve"> are justified in Fishermans Bend. </w:t>
      </w:r>
      <w:r w:rsidRPr="00A90F8A">
        <w:rPr>
          <w:rFonts w:asciiTheme="minorHAnsi" w:hAnsiTheme="minorHAnsi"/>
        </w:rPr>
        <w:t xml:space="preserve"> </w:t>
      </w:r>
      <w:r>
        <w:rPr>
          <w:rFonts w:asciiTheme="minorHAnsi" w:hAnsiTheme="minorHAnsi"/>
        </w:rPr>
        <w:t>O</w:t>
      </w:r>
      <w:r w:rsidRPr="00A90F8A">
        <w:rPr>
          <w:rFonts w:asciiTheme="minorHAnsi" w:hAnsiTheme="minorHAnsi"/>
        </w:rPr>
        <w:t>ne of the considerations in providing a lower quantum of open space is ensuring open spaces have strong solar protection to ensure year</w:t>
      </w:r>
      <w:r>
        <w:rPr>
          <w:rFonts w:asciiTheme="minorHAnsi" w:hAnsiTheme="minorHAnsi"/>
        </w:rPr>
        <w:t xml:space="preserve"> </w:t>
      </w:r>
      <w:r w:rsidRPr="00A90F8A">
        <w:rPr>
          <w:rFonts w:asciiTheme="minorHAnsi" w:hAnsiTheme="minorHAnsi"/>
        </w:rPr>
        <w:t>round us</w:t>
      </w:r>
      <w:r>
        <w:rPr>
          <w:rFonts w:asciiTheme="minorHAnsi" w:hAnsiTheme="minorHAnsi"/>
        </w:rPr>
        <w:t>ability</w:t>
      </w:r>
      <w:r w:rsidRPr="00A90F8A">
        <w:rPr>
          <w:rFonts w:asciiTheme="minorHAnsi" w:hAnsiTheme="minorHAnsi"/>
        </w:rPr>
        <w:t xml:space="preserve"> and enjoyment</w:t>
      </w:r>
      <w:r>
        <w:rPr>
          <w:rFonts w:asciiTheme="minorHAnsi" w:hAnsiTheme="minorHAnsi"/>
        </w:rPr>
        <w:t>.  The o</w:t>
      </w:r>
      <w:r w:rsidRPr="00A90F8A">
        <w:rPr>
          <w:rFonts w:asciiTheme="minorHAnsi" w:hAnsiTheme="minorHAnsi"/>
        </w:rPr>
        <w:t>pen space will be highly used, “</w:t>
      </w:r>
      <w:r w:rsidRPr="00A90F8A">
        <w:rPr>
          <w:rFonts w:asciiTheme="minorHAnsi" w:hAnsiTheme="minorHAnsi"/>
          <w:i/>
        </w:rPr>
        <w:t>with many users vying for a patch of sunshine</w:t>
      </w:r>
      <w:r w:rsidRPr="00A90F8A">
        <w:rPr>
          <w:rFonts w:asciiTheme="minorHAnsi" w:hAnsiTheme="minorHAnsi"/>
        </w:rPr>
        <w:t>”</w:t>
      </w:r>
      <w:r>
        <w:rPr>
          <w:rFonts w:asciiTheme="minorHAnsi" w:hAnsiTheme="minorHAnsi"/>
        </w:rPr>
        <w:t xml:space="preserve">, and </w:t>
      </w:r>
      <w:r w:rsidRPr="00A90F8A">
        <w:rPr>
          <w:rFonts w:asciiTheme="minorHAnsi" w:hAnsiTheme="minorHAnsi"/>
        </w:rPr>
        <w:t xml:space="preserve">there is a real risk of incremental decisions </w:t>
      </w:r>
      <w:r>
        <w:rPr>
          <w:rFonts w:asciiTheme="minorHAnsi" w:hAnsiTheme="minorHAnsi"/>
        </w:rPr>
        <w:t xml:space="preserve">that </w:t>
      </w:r>
      <w:r w:rsidRPr="00A90F8A">
        <w:rPr>
          <w:rFonts w:asciiTheme="minorHAnsi" w:hAnsiTheme="minorHAnsi"/>
        </w:rPr>
        <w:t xml:space="preserve">allow minor increases in overshadowing without </w:t>
      </w:r>
      <w:r w:rsidRPr="00A90F8A">
        <w:rPr>
          <w:rFonts w:asciiTheme="minorHAnsi" w:hAnsiTheme="minorHAnsi"/>
        </w:rPr>
        <w:lastRenderedPageBreak/>
        <w:t xml:space="preserve">appreciating the cumulative impact of these decisions.  </w:t>
      </w:r>
      <w:r>
        <w:rPr>
          <w:rFonts w:asciiTheme="minorHAnsi" w:hAnsiTheme="minorHAnsi"/>
        </w:rPr>
        <w:t xml:space="preserve">The Minister </w:t>
      </w:r>
      <w:r w:rsidRPr="00A90F8A">
        <w:rPr>
          <w:rFonts w:asciiTheme="minorHAnsi" w:hAnsiTheme="minorHAnsi"/>
        </w:rPr>
        <w:t xml:space="preserve">noted that the </w:t>
      </w:r>
      <w:r>
        <w:rPr>
          <w:rFonts w:asciiTheme="minorHAnsi" w:hAnsiTheme="minorHAnsi"/>
        </w:rPr>
        <w:t>P</w:t>
      </w:r>
      <w:r w:rsidRPr="00A90F8A">
        <w:rPr>
          <w:rFonts w:asciiTheme="minorHAnsi" w:hAnsiTheme="minorHAnsi"/>
        </w:rPr>
        <w:t>anels for Amendments C245 and C270 to the Melbourne Planning Scheme both accepted that adverse amenity impacts (including overshadowing) from sustained development pressure constitute exceptional circumstances justifying mandatory controls.</w:t>
      </w:r>
      <w:r w:rsidRPr="00820B43">
        <w:rPr>
          <w:rStyle w:val="FootnoteReference"/>
          <w:rFonts w:asciiTheme="minorHAnsi" w:hAnsiTheme="minorHAnsi"/>
        </w:rPr>
        <w:footnoteReference w:id="105"/>
      </w:r>
    </w:p>
    <w:p w:rsidR="00FC2F90" w:rsidRDefault="00FC2F90" w:rsidP="00FC2F90">
      <w:pPr>
        <w:pStyle w:val="PPVBody"/>
        <w:rPr>
          <w:rFonts w:asciiTheme="minorHAnsi" w:hAnsiTheme="minorHAnsi"/>
        </w:rPr>
      </w:pPr>
      <w:r w:rsidRPr="00A90F8A">
        <w:rPr>
          <w:rFonts w:asciiTheme="minorHAnsi" w:hAnsiTheme="minorHAnsi"/>
        </w:rPr>
        <w:t>Melbourne and Port Phillip supported mandatory overshadowing controls, as did the MAC</w:t>
      </w:r>
      <w:r>
        <w:rPr>
          <w:rFonts w:asciiTheme="minorHAnsi" w:hAnsiTheme="minorHAnsi"/>
        </w:rPr>
        <w:t xml:space="preserve">.  Melbourne submitted that mandatory winter solstice protection is consistent with Amendment C278 to the Melbourne Planning Scheme, which recently received authorisation.  Amendment C278 proposes to implement the findings of </w:t>
      </w:r>
      <w:r>
        <w:rPr>
          <w:rFonts w:asciiTheme="minorHAnsi" w:hAnsiTheme="minorHAnsi"/>
          <w:i/>
        </w:rPr>
        <w:t>Sunlight Access to Open Space Modelling Analysis Report (February 2018)</w:t>
      </w:r>
      <w:r>
        <w:rPr>
          <w:rFonts w:asciiTheme="minorHAnsi" w:hAnsiTheme="minorHAnsi"/>
        </w:rPr>
        <w:t xml:space="preserve"> by:</w:t>
      </w:r>
    </w:p>
    <w:p w:rsidR="00FC2F90" w:rsidRDefault="00FC2F90" w:rsidP="00FC2F90">
      <w:pPr>
        <w:pStyle w:val="PPVBullet1"/>
      </w:pPr>
      <w:r>
        <w:t>amending Melbourne’s local policy in Clause 22.02 (Sunlight to Public Spaces) to shift towards maximising winter sunlight to all public parks across the municipality</w:t>
      </w:r>
    </w:p>
    <w:p w:rsidR="00FC2F90" w:rsidRDefault="00FC2F90" w:rsidP="00FC2F90">
      <w:pPr>
        <w:pStyle w:val="PPVBullet1"/>
      </w:pPr>
      <w:r>
        <w:t>introducing a new DDO Schedule 8 which includes mandatory controls providing winter sun protection for all parks except those in the Hoddle Grid and Southbank (which are dealt with separately in local policy and in DDO10).</w:t>
      </w:r>
    </w:p>
    <w:p w:rsidR="00FC2F90" w:rsidRPr="00A90F8A" w:rsidRDefault="00FC2F90" w:rsidP="00FC2F90">
      <w:pPr>
        <w:pStyle w:val="PPVBody"/>
        <w:rPr>
          <w:rFonts w:asciiTheme="minorHAnsi" w:hAnsiTheme="minorHAnsi"/>
        </w:rPr>
      </w:pPr>
      <w:r w:rsidRPr="00A90F8A">
        <w:rPr>
          <w:rFonts w:asciiTheme="minorHAnsi" w:hAnsiTheme="minorHAnsi"/>
        </w:rPr>
        <w:t xml:space="preserve">Port Phillip submitted that open space in Fishermans Bend should be afforded the strongest possible protection from overshadowing, given how hard it will need to work based on the proposed population densities.  Port Phillip noted that none of the expert witnesses calling for discretionary controls had undertaken an analysis of the principles in </w:t>
      </w:r>
      <w:r w:rsidRPr="002D1D6D">
        <w:rPr>
          <w:rFonts w:asciiTheme="minorHAnsi" w:hAnsiTheme="minorHAnsi"/>
          <w:i/>
        </w:rPr>
        <w:t>Planning Practice Note 59: The Role of Mandatory Provisions in Planning Schemes</w:t>
      </w:r>
      <w:r>
        <w:rPr>
          <w:rFonts w:asciiTheme="minorHAnsi" w:hAnsiTheme="minorHAnsi"/>
        </w:rPr>
        <w:t xml:space="preserve"> </w:t>
      </w:r>
      <w:r w:rsidRPr="00A90F8A">
        <w:rPr>
          <w:rFonts w:asciiTheme="minorHAnsi" w:hAnsiTheme="minorHAnsi"/>
        </w:rPr>
        <w:t>to determine whether or not man</w:t>
      </w:r>
      <w:r>
        <w:rPr>
          <w:rFonts w:asciiTheme="minorHAnsi" w:hAnsiTheme="minorHAnsi"/>
        </w:rPr>
        <w:t>datory controls are justified.</w:t>
      </w:r>
    </w:p>
    <w:p w:rsidR="00FC2F90" w:rsidRPr="00A90F8A" w:rsidRDefault="00FC2F90" w:rsidP="00FC2F90">
      <w:pPr>
        <w:pStyle w:val="PPVBody"/>
        <w:rPr>
          <w:rFonts w:asciiTheme="minorHAnsi" w:hAnsiTheme="minorHAnsi"/>
        </w:rPr>
      </w:pPr>
      <w:r w:rsidRPr="00A90F8A">
        <w:rPr>
          <w:rFonts w:asciiTheme="minorHAnsi" w:hAnsiTheme="minorHAnsi"/>
        </w:rPr>
        <w:t xml:space="preserve">The Councils supported a hierarchy of </w:t>
      </w:r>
      <w:r>
        <w:rPr>
          <w:rFonts w:asciiTheme="minorHAnsi" w:hAnsiTheme="minorHAnsi"/>
        </w:rPr>
        <w:t xml:space="preserve">overshadowing </w:t>
      </w:r>
      <w:r w:rsidRPr="00A90F8A">
        <w:rPr>
          <w:rFonts w:asciiTheme="minorHAnsi" w:hAnsiTheme="minorHAnsi"/>
        </w:rPr>
        <w:t xml:space="preserve">protection.  Melbourne noted that this approach is similar that taken in DDO10, which applies to the </w:t>
      </w:r>
      <w:r>
        <w:rPr>
          <w:rFonts w:asciiTheme="minorHAnsi" w:hAnsiTheme="minorHAnsi"/>
        </w:rPr>
        <w:t>CBD</w:t>
      </w:r>
      <w:r w:rsidRPr="00A90F8A">
        <w:rPr>
          <w:rFonts w:asciiTheme="minorHAnsi" w:hAnsiTheme="minorHAnsi"/>
        </w:rPr>
        <w:t xml:space="preserve">.  Port Phillip submitted that each </w:t>
      </w:r>
      <w:r>
        <w:rPr>
          <w:rFonts w:asciiTheme="minorHAnsi" w:hAnsiTheme="minorHAnsi"/>
        </w:rPr>
        <w:t>P</w:t>
      </w:r>
      <w:r w:rsidRPr="00A90F8A">
        <w:rPr>
          <w:rFonts w:asciiTheme="minorHAnsi" w:hAnsiTheme="minorHAnsi"/>
        </w:rPr>
        <w:t xml:space="preserve">recinct should have at least one park with winter solstice protection, so that residents in apartment buildings will have access to afternoon winter sun.  </w:t>
      </w:r>
      <w:r>
        <w:rPr>
          <w:rFonts w:asciiTheme="minorHAnsi" w:hAnsiTheme="minorHAnsi"/>
        </w:rPr>
        <w:t>B</w:t>
      </w:r>
      <w:r w:rsidRPr="00A90F8A">
        <w:rPr>
          <w:rFonts w:asciiTheme="minorHAnsi" w:hAnsiTheme="minorHAnsi"/>
        </w:rPr>
        <w:t xml:space="preserve">uilding heights near public open space should be aligned with the overshadowing controls, and building heights in Montague </w:t>
      </w:r>
      <w:r>
        <w:rPr>
          <w:rFonts w:asciiTheme="minorHAnsi" w:hAnsiTheme="minorHAnsi"/>
        </w:rPr>
        <w:t>should</w:t>
      </w:r>
      <w:r w:rsidRPr="00A90F8A">
        <w:rPr>
          <w:rFonts w:asciiTheme="minorHAnsi" w:hAnsiTheme="minorHAnsi"/>
        </w:rPr>
        <w:t xml:space="preserve"> not overshadow open space in Sandridge.</w:t>
      </w:r>
    </w:p>
    <w:p w:rsidR="00FC2F90" w:rsidRPr="00A90F8A" w:rsidRDefault="00FC2F90" w:rsidP="00FC2F90">
      <w:pPr>
        <w:pStyle w:val="PPVBody"/>
        <w:rPr>
          <w:rFonts w:asciiTheme="minorHAnsi" w:hAnsiTheme="minorHAnsi"/>
        </w:rPr>
      </w:pPr>
      <w:r w:rsidRPr="00A90F8A">
        <w:rPr>
          <w:rFonts w:asciiTheme="minorHAnsi" w:hAnsiTheme="minorHAnsi"/>
        </w:rPr>
        <w:t xml:space="preserve">Mr Wren submitted that mandatory overshadowing controls are not justified in Fishermans Bend.  He </w:t>
      </w:r>
      <w:r w:rsidR="001643B7">
        <w:rPr>
          <w:rFonts w:asciiTheme="minorHAnsi" w:hAnsiTheme="minorHAnsi"/>
        </w:rPr>
        <w:t>argued</w:t>
      </w:r>
      <w:r w:rsidRPr="00A90F8A">
        <w:rPr>
          <w:rFonts w:asciiTheme="minorHAnsi" w:hAnsiTheme="minorHAnsi"/>
        </w:rPr>
        <w:t xml:space="preserve"> that, taken to their logical conclusion, mandatory controls would require the removal of all trees and structures within parks</w:t>
      </w:r>
      <w:r>
        <w:rPr>
          <w:rFonts w:asciiTheme="minorHAnsi" w:hAnsiTheme="minorHAnsi"/>
        </w:rPr>
        <w:t xml:space="preserve">.  He submitted </w:t>
      </w:r>
      <w:r w:rsidRPr="00A90F8A">
        <w:rPr>
          <w:rFonts w:asciiTheme="minorHAnsi" w:hAnsiTheme="minorHAnsi"/>
        </w:rPr>
        <w:t xml:space="preserve">that the Minister and </w:t>
      </w:r>
      <w:r>
        <w:rPr>
          <w:rFonts w:asciiTheme="minorHAnsi" w:hAnsiTheme="minorHAnsi"/>
        </w:rPr>
        <w:t>C</w:t>
      </w:r>
      <w:r w:rsidRPr="00A90F8A">
        <w:rPr>
          <w:rFonts w:asciiTheme="minorHAnsi" w:hAnsiTheme="minorHAnsi"/>
        </w:rPr>
        <w:t>ouncils should be able to rely on the professional skills of their staff to make proper judgements about what constitutes an acc</w:t>
      </w:r>
      <w:r>
        <w:rPr>
          <w:rFonts w:asciiTheme="minorHAnsi" w:hAnsiTheme="minorHAnsi"/>
        </w:rPr>
        <w:t>eptable level of overshadowing.</w:t>
      </w:r>
    </w:p>
    <w:p w:rsidR="00FC2F90" w:rsidRPr="00A90F8A" w:rsidRDefault="00FC2F90" w:rsidP="00FC2F90">
      <w:pPr>
        <w:pStyle w:val="PPVBody"/>
        <w:rPr>
          <w:rFonts w:asciiTheme="minorHAnsi" w:hAnsiTheme="minorHAnsi"/>
        </w:rPr>
      </w:pPr>
      <w:r w:rsidRPr="00A90F8A">
        <w:rPr>
          <w:rFonts w:asciiTheme="minorHAnsi" w:hAnsiTheme="minorHAnsi"/>
        </w:rPr>
        <w:t xml:space="preserve">Mr Sheppard supported most aspects of the overshadowing controls, including a hierarchy of </w:t>
      </w:r>
      <w:r>
        <w:rPr>
          <w:rFonts w:asciiTheme="minorHAnsi" w:hAnsiTheme="minorHAnsi"/>
        </w:rPr>
        <w:t xml:space="preserve">overshadowing </w:t>
      </w:r>
      <w:r w:rsidRPr="00A90F8A">
        <w:rPr>
          <w:rFonts w:asciiTheme="minorHAnsi" w:hAnsiTheme="minorHAnsi"/>
        </w:rPr>
        <w:t>protection</w:t>
      </w:r>
      <w:r w:rsidR="001643B7">
        <w:rPr>
          <w:rFonts w:asciiTheme="minorHAnsi" w:hAnsiTheme="minorHAnsi"/>
        </w:rPr>
        <w:t xml:space="preserve">, but </w:t>
      </w:r>
      <w:r w:rsidRPr="00A90F8A">
        <w:rPr>
          <w:rFonts w:asciiTheme="minorHAnsi" w:hAnsiTheme="minorHAnsi"/>
        </w:rPr>
        <w:t>did not</w:t>
      </w:r>
      <w:r>
        <w:rPr>
          <w:rFonts w:asciiTheme="minorHAnsi" w:hAnsiTheme="minorHAnsi"/>
        </w:rPr>
        <w:t xml:space="preserve"> </w:t>
      </w:r>
      <w:r w:rsidRPr="00A90F8A">
        <w:rPr>
          <w:rFonts w:asciiTheme="minorHAnsi" w:hAnsiTheme="minorHAnsi"/>
        </w:rPr>
        <w:t>support mandatory controls:</w:t>
      </w:r>
    </w:p>
    <w:p w:rsidR="00FC2F90" w:rsidRDefault="00FC2F90" w:rsidP="00FC2F90">
      <w:pPr>
        <w:pStyle w:val="PPVQuote"/>
        <w:rPr>
          <w:rFonts w:asciiTheme="minorHAnsi" w:hAnsiTheme="minorHAnsi"/>
        </w:rPr>
      </w:pPr>
      <w:r w:rsidRPr="00A90F8A">
        <w:rPr>
          <w:rFonts w:asciiTheme="minorHAnsi" w:hAnsiTheme="minorHAnsi"/>
        </w:rPr>
        <w:t>There is no reason why a performance</w:t>
      </w:r>
      <w:r w:rsidR="00165DB1">
        <w:rPr>
          <w:rFonts w:asciiTheme="minorHAnsi" w:hAnsiTheme="minorHAnsi"/>
        </w:rPr>
        <w:t xml:space="preserve"> </w:t>
      </w:r>
      <w:r w:rsidRPr="00A90F8A">
        <w:rPr>
          <w:rFonts w:asciiTheme="minorHAnsi" w:hAnsiTheme="minorHAnsi"/>
        </w:rPr>
        <w:t xml:space="preserve">based approach cannot be taken, allowing a judgement to be made as to whether any additional shadow will unreasonably detract from the amenity of the space. </w:t>
      </w:r>
      <w:r>
        <w:rPr>
          <w:rFonts w:asciiTheme="minorHAnsi" w:hAnsiTheme="minorHAnsi"/>
        </w:rPr>
        <w:t xml:space="preserve"> </w:t>
      </w:r>
      <w:r w:rsidRPr="00A90F8A">
        <w:rPr>
          <w:rFonts w:asciiTheme="minorHAnsi" w:hAnsiTheme="minorHAnsi"/>
        </w:rPr>
        <w:t>I note that this approach was adopted in the Central City (see Melbourne DDO10) except for a handful of spaces of metropolitan importance (the Yarra River corridor, Federation Square, City Square, State Library Forecourt, Shrine of Remembrance, Bourke Street Mall and Boyd Park).</w:t>
      </w:r>
      <w:r>
        <w:rPr>
          <w:rFonts w:asciiTheme="minorHAnsi" w:hAnsiTheme="minorHAnsi"/>
        </w:rPr>
        <w:t xml:space="preserve"> </w:t>
      </w:r>
      <w:r w:rsidRPr="00A90F8A">
        <w:rPr>
          <w:rFonts w:asciiTheme="minorHAnsi" w:hAnsiTheme="minorHAnsi"/>
        </w:rPr>
        <w:t xml:space="preserve"> I do not consider that any of the proposed parks [in </w:t>
      </w:r>
      <w:r>
        <w:rPr>
          <w:rFonts w:asciiTheme="minorHAnsi" w:hAnsiTheme="minorHAnsi"/>
        </w:rPr>
        <w:t>Fishermans Bend</w:t>
      </w:r>
      <w:r w:rsidRPr="00A90F8A">
        <w:rPr>
          <w:rFonts w:asciiTheme="minorHAnsi" w:hAnsiTheme="minorHAnsi"/>
        </w:rPr>
        <w:t>] warrant the same level of mandatory protection as these spaces.</w:t>
      </w:r>
    </w:p>
    <w:p w:rsidR="00FC2F90" w:rsidRDefault="00FC2F90" w:rsidP="00FC2F90">
      <w:pPr>
        <w:pStyle w:val="PPVBody"/>
        <w:rPr>
          <w:rFonts w:asciiTheme="minorHAnsi" w:hAnsiTheme="minorHAnsi"/>
        </w:rPr>
      </w:pPr>
      <w:r w:rsidRPr="00A90F8A">
        <w:rPr>
          <w:rFonts w:asciiTheme="minorHAnsi" w:hAnsiTheme="minorHAnsi"/>
        </w:rPr>
        <w:lastRenderedPageBreak/>
        <w:t xml:space="preserve">He pointed to the fact that mandatory controls have the effect of limiting building heights on adjoining land by virtue of overshadowing areas within parks that are </w:t>
      </w:r>
      <w:r>
        <w:rPr>
          <w:rFonts w:asciiTheme="minorHAnsi" w:hAnsiTheme="minorHAnsi"/>
        </w:rPr>
        <w:t xml:space="preserve">functionally </w:t>
      </w:r>
      <w:r w:rsidRPr="00A90F8A">
        <w:rPr>
          <w:rFonts w:asciiTheme="minorHAnsi" w:hAnsiTheme="minorHAnsi"/>
        </w:rPr>
        <w:t>unaffected by shadow, such as toilet blocks, cycle paths and the like.</w:t>
      </w:r>
      <w:r>
        <w:rPr>
          <w:rFonts w:asciiTheme="minorHAnsi" w:hAnsiTheme="minorHAnsi"/>
        </w:rPr>
        <w:t xml:space="preserve">  </w:t>
      </w:r>
      <w:r w:rsidRPr="00A90F8A">
        <w:rPr>
          <w:rFonts w:asciiTheme="minorHAnsi" w:hAnsiTheme="minorHAnsi"/>
        </w:rPr>
        <w:t>Ms Hegg</w:t>
      </w:r>
      <w:r>
        <w:rPr>
          <w:rFonts w:asciiTheme="minorHAnsi" w:hAnsiTheme="minorHAnsi"/>
        </w:rPr>
        <w:t>e</w:t>
      </w:r>
      <w:r w:rsidRPr="00A90F8A">
        <w:rPr>
          <w:rFonts w:asciiTheme="minorHAnsi" w:hAnsiTheme="minorHAnsi"/>
        </w:rPr>
        <w:t>n</w:t>
      </w:r>
      <w:r>
        <w:rPr>
          <w:rFonts w:asciiTheme="minorHAnsi" w:hAnsiTheme="minorHAnsi"/>
        </w:rPr>
        <w:t>,</w:t>
      </w:r>
      <w:r w:rsidRPr="00A90F8A">
        <w:rPr>
          <w:rFonts w:asciiTheme="minorHAnsi" w:hAnsiTheme="minorHAnsi"/>
        </w:rPr>
        <w:t xml:space="preserve"> </w:t>
      </w:r>
      <w:r>
        <w:rPr>
          <w:rFonts w:asciiTheme="minorHAnsi" w:hAnsiTheme="minorHAnsi"/>
        </w:rPr>
        <w:t xml:space="preserve">Mr McGurn and </w:t>
      </w:r>
      <w:r w:rsidRPr="00A90F8A">
        <w:rPr>
          <w:rFonts w:asciiTheme="minorHAnsi" w:hAnsiTheme="minorHAnsi"/>
        </w:rPr>
        <w:t>Mr Song support</w:t>
      </w:r>
      <w:r>
        <w:rPr>
          <w:rFonts w:asciiTheme="minorHAnsi" w:hAnsiTheme="minorHAnsi"/>
        </w:rPr>
        <w:t>ed discretionary</w:t>
      </w:r>
      <w:r w:rsidRPr="00A90F8A">
        <w:rPr>
          <w:rFonts w:asciiTheme="minorHAnsi" w:hAnsiTheme="minorHAnsi"/>
        </w:rPr>
        <w:t xml:space="preserve"> controls on similar grounds.</w:t>
      </w:r>
    </w:p>
    <w:p w:rsidR="00FC2F90" w:rsidRPr="00A90F8A" w:rsidRDefault="00FC2F90" w:rsidP="00FC2F90">
      <w:pPr>
        <w:pStyle w:val="PPVBody"/>
        <w:rPr>
          <w:rFonts w:asciiTheme="minorHAnsi" w:hAnsiTheme="minorHAnsi"/>
        </w:rPr>
      </w:pPr>
      <w:r>
        <w:rPr>
          <w:rFonts w:asciiTheme="minorHAnsi" w:hAnsiTheme="minorHAnsi"/>
        </w:rPr>
        <w:t>Mr Tweedie’s mark-up of the Minister’s Part C DDOs (D370) indicated that all the overshadowing controls should be discretionary equinox controls, with no winter sun protection for any open space areas.</w:t>
      </w:r>
    </w:p>
    <w:p w:rsidR="00FC2F90" w:rsidRDefault="00FC2F90" w:rsidP="00FC2F90">
      <w:pPr>
        <w:pStyle w:val="Heading4"/>
        <w:rPr>
          <w:rFonts w:asciiTheme="minorHAnsi" w:hAnsiTheme="minorHAnsi"/>
        </w:rPr>
      </w:pPr>
      <w:r w:rsidRPr="00A90F8A">
        <w:rPr>
          <w:rFonts w:asciiTheme="minorHAnsi" w:hAnsiTheme="minorHAnsi"/>
        </w:rPr>
        <w:t>Discussion</w:t>
      </w:r>
    </w:p>
    <w:p w:rsidR="00FC2F90" w:rsidRDefault="00FC2F90" w:rsidP="00FC2F90">
      <w:pPr>
        <w:pStyle w:val="PPVBody"/>
        <w:rPr>
          <w:rFonts w:asciiTheme="minorHAnsi" w:hAnsiTheme="minorHAnsi"/>
        </w:rPr>
      </w:pPr>
      <w:r w:rsidRPr="00A90F8A">
        <w:rPr>
          <w:rFonts w:asciiTheme="minorHAnsi" w:hAnsiTheme="minorHAnsi"/>
        </w:rPr>
        <w:t>Given how little open space is being provided on a per capita basis, it is essential that the open space is high quality and remains us</w:t>
      </w:r>
      <w:r>
        <w:rPr>
          <w:rFonts w:asciiTheme="minorHAnsi" w:hAnsiTheme="minorHAnsi"/>
        </w:rPr>
        <w:t>able</w:t>
      </w:r>
      <w:r w:rsidRPr="00A90F8A">
        <w:rPr>
          <w:rFonts w:asciiTheme="minorHAnsi" w:hAnsiTheme="minorHAnsi"/>
        </w:rPr>
        <w:t xml:space="preserve"> all year round.  </w:t>
      </w:r>
      <w:r>
        <w:rPr>
          <w:rFonts w:asciiTheme="minorHAnsi" w:hAnsiTheme="minorHAnsi"/>
        </w:rPr>
        <w:t>Sunlight access to open space will be key to ensuring that it remains high quality and highly functional.</w:t>
      </w:r>
    </w:p>
    <w:p w:rsidR="00FC2F90" w:rsidRDefault="00FC2F90" w:rsidP="00FC2F90">
      <w:pPr>
        <w:pStyle w:val="PPVBody"/>
        <w:rPr>
          <w:rFonts w:asciiTheme="minorHAnsi" w:hAnsiTheme="minorHAnsi"/>
        </w:rPr>
      </w:pPr>
      <w:r w:rsidRPr="00A90F8A">
        <w:rPr>
          <w:rFonts w:asciiTheme="minorHAnsi" w:hAnsiTheme="minorHAnsi"/>
        </w:rPr>
        <w:t xml:space="preserve">The Review Panel supports a hierarchy of </w:t>
      </w:r>
      <w:r>
        <w:rPr>
          <w:rFonts w:asciiTheme="minorHAnsi" w:hAnsiTheme="minorHAnsi"/>
        </w:rPr>
        <w:t xml:space="preserve">overshadowing </w:t>
      </w:r>
      <w:r w:rsidRPr="00A90F8A">
        <w:rPr>
          <w:rFonts w:asciiTheme="minorHAnsi" w:hAnsiTheme="minorHAnsi"/>
        </w:rPr>
        <w:t xml:space="preserve">protection for the open space in Fishermans Bend.  It supports winter </w:t>
      </w:r>
      <w:r>
        <w:rPr>
          <w:rFonts w:asciiTheme="minorHAnsi" w:hAnsiTheme="minorHAnsi"/>
        </w:rPr>
        <w:t xml:space="preserve">solstice </w:t>
      </w:r>
      <w:r w:rsidRPr="00A90F8A">
        <w:rPr>
          <w:rFonts w:asciiTheme="minorHAnsi" w:hAnsiTheme="minorHAnsi"/>
        </w:rPr>
        <w:t xml:space="preserve">protection for at least one park in each </w:t>
      </w:r>
      <w:r>
        <w:rPr>
          <w:rFonts w:asciiTheme="minorHAnsi" w:hAnsiTheme="minorHAnsi"/>
        </w:rPr>
        <w:t>P</w:t>
      </w:r>
      <w:r w:rsidRPr="00A90F8A">
        <w:rPr>
          <w:rFonts w:asciiTheme="minorHAnsi" w:hAnsiTheme="minorHAnsi"/>
        </w:rPr>
        <w:t xml:space="preserve">recinct, </w:t>
      </w:r>
      <w:r>
        <w:rPr>
          <w:rFonts w:asciiTheme="minorHAnsi" w:hAnsiTheme="minorHAnsi"/>
        </w:rPr>
        <w:t>with parks lower down in the hierarchy receiving equinox protection.</w:t>
      </w:r>
    </w:p>
    <w:p w:rsidR="00FC2F90" w:rsidRDefault="00FC2F90" w:rsidP="00FC2F90">
      <w:pPr>
        <w:pStyle w:val="PPVBody"/>
        <w:rPr>
          <w:rFonts w:asciiTheme="minorHAnsi" w:hAnsiTheme="minorHAnsi"/>
        </w:rPr>
      </w:pPr>
      <w:r>
        <w:rPr>
          <w:rFonts w:asciiTheme="minorHAnsi" w:hAnsiTheme="minorHAnsi"/>
        </w:rPr>
        <w:t xml:space="preserve">The Review Panel </w:t>
      </w:r>
      <w:r w:rsidRPr="00A90F8A">
        <w:rPr>
          <w:rFonts w:asciiTheme="minorHAnsi" w:hAnsiTheme="minorHAnsi"/>
        </w:rPr>
        <w:t xml:space="preserve">supports equinox protection proposed for the Plummer Street </w:t>
      </w:r>
      <w:r>
        <w:rPr>
          <w:rFonts w:asciiTheme="minorHAnsi" w:hAnsiTheme="minorHAnsi"/>
        </w:rPr>
        <w:t>civic spine that</w:t>
      </w:r>
      <w:r w:rsidRPr="00A90F8A">
        <w:rPr>
          <w:rFonts w:asciiTheme="minorHAnsi" w:hAnsiTheme="minorHAnsi"/>
        </w:rPr>
        <w:t xml:space="preserve"> link</w:t>
      </w:r>
      <w:r>
        <w:rPr>
          <w:rFonts w:asciiTheme="minorHAnsi" w:hAnsiTheme="minorHAnsi"/>
        </w:rPr>
        <w:t>s</w:t>
      </w:r>
      <w:r w:rsidRPr="00A90F8A">
        <w:rPr>
          <w:rFonts w:asciiTheme="minorHAnsi" w:hAnsiTheme="minorHAnsi"/>
        </w:rPr>
        <w:t xml:space="preserve"> the Sandridge and Wirraway </w:t>
      </w:r>
      <w:r w:rsidR="00827876">
        <w:rPr>
          <w:rFonts w:asciiTheme="minorHAnsi" w:hAnsiTheme="minorHAnsi"/>
        </w:rPr>
        <w:t>P</w:t>
      </w:r>
      <w:r w:rsidRPr="00A90F8A">
        <w:rPr>
          <w:rFonts w:asciiTheme="minorHAnsi" w:hAnsiTheme="minorHAnsi"/>
        </w:rPr>
        <w:t>recincts</w:t>
      </w:r>
      <w:r w:rsidR="001643B7">
        <w:rPr>
          <w:rFonts w:asciiTheme="minorHAnsi" w:hAnsiTheme="minorHAnsi"/>
        </w:rPr>
        <w:t>,</w:t>
      </w:r>
      <w:r>
        <w:rPr>
          <w:rFonts w:asciiTheme="minorHAnsi" w:hAnsiTheme="minorHAnsi"/>
        </w:rPr>
        <w:t xml:space="preserve"> a key part of the open space network in Fishermans Bend.  The Review Panel agrees that other linear open spaces should not receive overshadowing protection.  While they are an important part of the open space network, they are relatively low in the hierarchy, and perform a different function to the precinct and neighbourhood parks.  Many of these linear spaces run east</w:t>
      </w:r>
      <w:r w:rsidR="00165DB1">
        <w:rPr>
          <w:rFonts w:asciiTheme="minorHAnsi" w:hAnsiTheme="minorHAnsi"/>
        </w:rPr>
        <w:t>–</w:t>
      </w:r>
      <w:r>
        <w:rPr>
          <w:rFonts w:asciiTheme="minorHAnsi" w:hAnsiTheme="minorHAnsi"/>
        </w:rPr>
        <w:t>west for a significant distance, with long interfaces with private property to the immediate north.  Applying shadow protection to the linear spines would limit heights in large parts of the Precincts.</w:t>
      </w:r>
    </w:p>
    <w:p w:rsidR="00FC2F90" w:rsidRDefault="00FC2F90" w:rsidP="00FC2F90">
      <w:pPr>
        <w:pStyle w:val="PPVBody"/>
        <w:rPr>
          <w:rFonts w:asciiTheme="minorHAnsi" w:hAnsiTheme="minorHAnsi"/>
        </w:rPr>
      </w:pPr>
      <w:r>
        <w:rPr>
          <w:rFonts w:asciiTheme="minorHAnsi" w:hAnsiTheme="minorHAnsi"/>
        </w:rPr>
        <w:t>All of the experts supported discretionary overshadowing controls, primarily on the basis that mandatory controls could lead to the development potential on nearby sites being limited just to avoid minor and fleeting shadows on areas that are not particularly dependent on sunlight for their functionality – an outcome that Mr Tweedie described as “</w:t>
      </w:r>
      <w:r w:rsidRPr="00CA73A6">
        <w:rPr>
          <w:rFonts w:asciiTheme="minorHAnsi" w:hAnsiTheme="minorHAnsi"/>
          <w:i/>
        </w:rPr>
        <w:t>absurd</w:t>
      </w:r>
      <w:r>
        <w:rPr>
          <w:rFonts w:asciiTheme="minorHAnsi" w:hAnsiTheme="minorHAnsi"/>
        </w:rPr>
        <w:t>”.</w:t>
      </w:r>
      <w:r w:rsidRPr="00820B43">
        <w:rPr>
          <w:rStyle w:val="FootnoteReference"/>
          <w:rFonts w:asciiTheme="minorHAnsi" w:hAnsiTheme="minorHAnsi"/>
        </w:rPr>
        <w:footnoteReference w:id="106"/>
      </w:r>
      <w:r>
        <w:rPr>
          <w:rFonts w:asciiTheme="minorHAnsi" w:hAnsiTheme="minorHAnsi"/>
        </w:rPr>
        <w:t xml:space="preserve">  On the other hand, the Review Panel </w:t>
      </w:r>
      <w:r w:rsidRPr="00A90F8A">
        <w:rPr>
          <w:rFonts w:asciiTheme="minorHAnsi" w:hAnsiTheme="minorHAnsi"/>
        </w:rPr>
        <w:t xml:space="preserve">accepts </w:t>
      </w:r>
      <w:r>
        <w:rPr>
          <w:rFonts w:asciiTheme="minorHAnsi" w:hAnsiTheme="minorHAnsi"/>
        </w:rPr>
        <w:t xml:space="preserve">the Minister’s submission </w:t>
      </w:r>
      <w:r w:rsidRPr="00A90F8A">
        <w:rPr>
          <w:rFonts w:asciiTheme="minorHAnsi" w:hAnsiTheme="minorHAnsi"/>
        </w:rPr>
        <w:t xml:space="preserve">that discretionary controls involve a risk of sunlight protection </w:t>
      </w:r>
      <w:r>
        <w:rPr>
          <w:rFonts w:asciiTheme="minorHAnsi" w:hAnsiTheme="minorHAnsi"/>
        </w:rPr>
        <w:t xml:space="preserve">being </w:t>
      </w:r>
      <w:r w:rsidRPr="00A90F8A">
        <w:rPr>
          <w:rFonts w:asciiTheme="minorHAnsi" w:hAnsiTheme="minorHAnsi"/>
        </w:rPr>
        <w:t>erod</w:t>
      </w:r>
      <w:r>
        <w:rPr>
          <w:rFonts w:asciiTheme="minorHAnsi" w:hAnsiTheme="minorHAnsi"/>
        </w:rPr>
        <w:t>ed</w:t>
      </w:r>
      <w:r w:rsidRPr="00A90F8A">
        <w:rPr>
          <w:rFonts w:asciiTheme="minorHAnsi" w:hAnsiTheme="minorHAnsi"/>
        </w:rPr>
        <w:t xml:space="preserve"> over time </w:t>
      </w:r>
      <w:r>
        <w:rPr>
          <w:rFonts w:asciiTheme="minorHAnsi" w:hAnsiTheme="minorHAnsi"/>
        </w:rPr>
        <w:t xml:space="preserve">due </w:t>
      </w:r>
      <w:r w:rsidRPr="00A90F8A">
        <w:rPr>
          <w:rFonts w:asciiTheme="minorHAnsi" w:hAnsiTheme="minorHAnsi"/>
        </w:rPr>
        <w:t>to incremental decision</w:t>
      </w:r>
      <w:r>
        <w:rPr>
          <w:rFonts w:asciiTheme="minorHAnsi" w:hAnsiTheme="minorHAnsi"/>
        </w:rPr>
        <w:t xml:space="preserve"> </w:t>
      </w:r>
      <w:r w:rsidRPr="00A90F8A">
        <w:rPr>
          <w:rFonts w:asciiTheme="minorHAnsi" w:hAnsiTheme="minorHAnsi"/>
        </w:rPr>
        <w:t>making</w:t>
      </w:r>
      <w:r>
        <w:rPr>
          <w:rFonts w:asciiTheme="minorHAnsi" w:hAnsiTheme="minorHAnsi"/>
        </w:rPr>
        <w:t xml:space="preserve"> – the problem of ‘death by a thousand cuts’.</w:t>
      </w:r>
    </w:p>
    <w:p w:rsidR="00FC2F90" w:rsidRDefault="00FC2F90" w:rsidP="00FC2F90">
      <w:pPr>
        <w:pStyle w:val="PPVBody"/>
        <w:rPr>
          <w:rFonts w:asciiTheme="minorHAnsi" w:hAnsiTheme="minorHAnsi"/>
        </w:rPr>
      </w:pPr>
      <w:r>
        <w:rPr>
          <w:rFonts w:asciiTheme="minorHAnsi" w:hAnsiTheme="minorHAnsi"/>
        </w:rPr>
        <w:t>Like many of the issues to be resolved in Fishermans Bend, overshadowing controls require a balanced approach.</w:t>
      </w:r>
    </w:p>
    <w:p w:rsidR="00FC2F90" w:rsidRPr="00A90F8A" w:rsidRDefault="00FC2F90" w:rsidP="00FC2F90">
      <w:pPr>
        <w:pStyle w:val="PPVBody"/>
        <w:rPr>
          <w:rFonts w:asciiTheme="minorHAnsi" w:hAnsiTheme="minorHAnsi"/>
        </w:rPr>
      </w:pPr>
      <w:r w:rsidRPr="00A90F8A">
        <w:rPr>
          <w:rFonts w:asciiTheme="minorHAnsi" w:hAnsiTheme="minorHAnsi"/>
        </w:rPr>
        <w:t xml:space="preserve">Mr Sheppard suggested that </w:t>
      </w:r>
      <w:r>
        <w:rPr>
          <w:rFonts w:asciiTheme="minorHAnsi" w:hAnsiTheme="minorHAnsi"/>
        </w:rPr>
        <w:t xml:space="preserve">the ‘death by a thousand cuts’ problem </w:t>
      </w:r>
      <w:r w:rsidRPr="00A90F8A">
        <w:rPr>
          <w:rFonts w:asciiTheme="minorHAnsi" w:hAnsiTheme="minorHAnsi"/>
        </w:rPr>
        <w:t xml:space="preserve">could be overcome by introducing decision guidelines requiring cumulative </w:t>
      </w:r>
      <w:r>
        <w:rPr>
          <w:rFonts w:asciiTheme="minorHAnsi" w:hAnsiTheme="minorHAnsi"/>
        </w:rPr>
        <w:t xml:space="preserve">shadow </w:t>
      </w:r>
      <w:r w:rsidRPr="00A90F8A">
        <w:rPr>
          <w:rFonts w:asciiTheme="minorHAnsi" w:hAnsiTheme="minorHAnsi"/>
        </w:rPr>
        <w:t xml:space="preserve">impacts to be </w:t>
      </w:r>
      <w:r>
        <w:rPr>
          <w:rFonts w:asciiTheme="minorHAnsi" w:hAnsiTheme="minorHAnsi"/>
        </w:rPr>
        <w:t>considered</w:t>
      </w:r>
      <w:r w:rsidRPr="00A90F8A">
        <w:rPr>
          <w:rFonts w:asciiTheme="minorHAnsi" w:hAnsiTheme="minorHAnsi"/>
        </w:rPr>
        <w:t xml:space="preserve">.  </w:t>
      </w:r>
      <w:r>
        <w:rPr>
          <w:rFonts w:asciiTheme="minorHAnsi" w:hAnsiTheme="minorHAnsi"/>
        </w:rPr>
        <w:t xml:space="preserve">The Review Panel is not entirely satisfied with this solution.  It </w:t>
      </w:r>
      <w:r w:rsidRPr="00A90F8A">
        <w:rPr>
          <w:rFonts w:asciiTheme="minorHAnsi" w:hAnsiTheme="minorHAnsi"/>
        </w:rPr>
        <w:t xml:space="preserve">creates </w:t>
      </w:r>
      <w:r>
        <w:rPr>
          <w:rFonts w:asciiTheme="minorHAnsi" w:hAnsiTheme="minorHAnsi"/>
        </w:rPr>
        <w:t xml:space="preserve">the </w:t>
      </w:r>
      <w:r w:rsidRPr="00A90F8A">
        <w:rPr>
          <w:rFonts w:asciiTheme="minorHAnsi" w:hAnsiTheme="minorHAnsi"/>
        </w:rPr>
        <w:t>potential for a ‘first in best dressed’ scenario that would not, in the Review Panel’s view, represent fair and orderly planning.</w:t>
      </w:r>
      <w:r>
        <w:rPr>
          <w:rFonts w:asciiTheme="minorHAnsi" w:hAnsiTheme="minorHAnsi"/>
        </w:rPr>
        <w:t xml:space="preserve">  However, restricting development potential to avoid overshadowing the roof of a toilet block, for example, would also not constitute </w:t>
      </w:r>
      <w:r w:rsidRPr="00A90F8A">
        <w:rPr>
          <w:rFonts w:asciiTheme="minorHAnsi" w:hAnsiTheme="minorHAnsi"/>
        </w:rPr>
        <w:t>fair and orderly planning</w:t>
      </w:r>
      <w:r>
        <w:rPr>
          <w:rFonts w:asciiTheme="minorHAnsi" w:hAnsiTheme="minorHAnsi"/>
        </w:rPr>
        <w:t>.</w:t>
      </w:r>
    </w:p>
    <w:p w:rsidR="00FC2F90" w:rsidRDefault="00FC2F90" w:rsidP="00FC2F90">
      <w:pPr>
        <w:pStyle w:val="PPVBody"/>
        <w:rPr>
          <w:rFonts w:asciiTheme="minorHAnsi" w:hAnsiTheme="minorHAnsi"/>
        </w:rPr>
      </w:pPr>
      <w:r>
        <w:rPr>
          <w:rFonts w:asciiTheme="minorHAnsi" w:hAnsiTheme="minorHAnsi"/>
        </w:rPr>
        <w:t xml:space="preserve">On balance, and having considered the </w:t>
      </w:r>
      <w:r w:rsidRPr="00A90F8A">
        <w:rPr>
          <w:rFonts w:asciiTheme="minorHAnsi" w:hAnsiTheme="minorHAnsi"/>
        </w:rPr>
        <w:t xml:space="preserve">principles outlined in </w:t>
      </w:r>
      <w:r>
        <w:rPr>
          <w:rFonts w:asciiTheme="minorHAnsi" w:hAnsiTheme="minorHAnsi"/>
        </w:rPr>
        <w:t>Practice Note 59</w:t>
      </w:r>
      <w:r w:rsidRPr="00A90F8A">
        <w:rPr>
          <w:rFonts w:asciiTheme="minorHAnsi" w:hAnsiTheme="minorHAnsi"/>
        </w:rPr>
        <w:t xml:space="preserve">, the Review Panel </w:t>
      </w:r>
      <w:r>
        <w:rPr>
          <w:rFonts w:asciiTheme="minorHAnsi" w:hAnsiTheme="minorHAnsi"/>
        </w:rPr>
        <w:t xml:space="preserve">considers that mandatory winter solstice </w:t>
      </w:r>
      <w:r w:rsidRPr="00A90F8A">
        <w:rPr>
          <w:rFonts w:asciiTheme="minorHAnsi" w:hAnsiTheme="minorHAnsi"/>
        </w:rPr>
        <w:t>controls</w:t>
      </w:r>
      <w:r>
        <w:rPr>
          <w:rFonts w:asciiTheme="minorHAnsi" w:hAnsiTheme="minorHAnsi"/>
        </w:rPr>
        <w:t xml:space="preserve"> are justified for the key open spaces </w:t>
      </w:r>
      <w:r>
        <w:rPr>
          <w:rFonts w:asciiTheme="minorHAnsi" w:hAnsiTheme="minorHAnsi"/>
        </w:rPr>
        <w:lastRenderedPageBreak/>
        <w:t>in each Precinct, given their importance in the open space hierarchy.  Mandatory controls should be applied to:</w:t>
      </w:r>
    </w:p>
    <w:p w:rsidR="00FC2F90" w:rsidRDefault="00FC2F90" w:rsidP="00FC2F90">
      <w:pPr>
        <w:pStyle w:val="PPVBullet1"/>
      </w:pPr>
      <w:r>
        <w:t>Lorimer Central</w:t>
      </w:r>
    </w:p>
    <w:p w:rsidR="00785416" w:rsidRDefault="00FC2F90" w:rsidP="00FC2F90">
      <w:pPr>
        <w:pStyle w:val="PPVBullet1"/>
      </w:pPr>
      <w:r w:rsidRPr="00A5107C">
        <w:t>Montague Park</w:t>
      </w:r>
    </w:p>
    <w:p w:rsidR="00785416" w:rsidRDefault="00FC2F90" w:rsidP="00FC2F90">
      <w:pPr>
        <w:pStyle w:val="PPVBullet1"/>
      </w:pPr>
      <w:r>
        <w:t>North Port Oval</w:t>
      </w:r>
    </w:p>
    <w:p w:rsidR="00FC2F90" w:rsidRDefault="00FC2F90" w:rsidP="00FC2F90">
      <w:pPr>
        <w:pStyle w:val="PPVBullet1"/>
      </w:pPr>
      <w:r>
        <w:t>Prohasky Park and JL Murphy Reserve.</w:t>
      </w:r>
    </w:p>
    <w:p w:rsidR="00FC2F90" w:rsidRDefault="00FC2F90" w:rsidP="00FC2F90">
      <w:pPr>
        <w:pStyle w:val="PPVBody"/>
        <w:rPr>
          <w:rFonts w:asciiTheme="minorHAnsi" w:hAnsiTheme="minorHAnsi"/>
        </w:rPr>
      </w:pPr>
      <w:r>
        <w:rPr>
          <w:rFonts w:asciiTheme="minorHAnsi" w:hAnsiTheme="minorHAnsi"/>
        </w:rPr>
        <w:t>For the other parks, and for the Plummer Street Boulevard, the Review Panel considers that discretionary controls should apply at this stage, at least until the final location of the open space is fully resolved</w:t>
      </w:r>
      <w:r w:rsidRPr="002F4A58">
        <w:rPr>
          <w:rFonts w:asciiTheme="minorHAnsi" w:hAnsiTheme="minorHAnsi"/>
        </w:rPr>
        <w:t xml:space="preserve"> </w:t>
      </w:r>
      <w:r>
        <w:rPr>
          <w:rFonts w:asciiTheme="minorHAnsi" w:hAnsiTheme="minorHAnsi"/>
        </w:rPr>
        <w:t>through the Precinct planning process.  The form of discretionary control should:</w:t>
      </w:r>
    </w:p>
    <w:p w:rsidR="00FC2F90" w:rsidRDefault="00FC2F90" w:rsidP="00FC2F90">
      <w:pPr>
        <w:pStyle w:val="PPVBullet1"/>
      </w:pPr>
      <w:r>
        <w:t>be performance</w:t>
      </w:r>
      <w:r w:rsidR="00165DB1">
        <w:t xml:space="preserve"> </w:t>
      </w:r>
      <w:r>
        <w:t xml:space="preserve">based, requiring shadow to not </w:t>
      </w:r>
      <w:r w:rsidRPr="00E44D86">
        <w:rPr>
          <w:rFonts w:asciiTheme="minorHAnsi" w:hAnsiTheme="minorHAnsi"/>
        </w:rPr>
        <w:t>unreasonably detract from the amenity</w:t>
      </w:r>
      <w:r>
        <w:rPr>
          <w:rFonts w:asciiTheme="minorHAnsi" w:hAnsiTheme="minorHAnsi"/>
        </w:rPr>
        <w:t xml:space="preserve"> and functionality</w:t>
      </w:r>
      <w:r w:rsidRPr="00E44D86">
        <w:rPr>
          <w:rFonts w:asciiTheme="minorHAnsi" w:hAnsiTheme="minorHAnsi"/>
        </w:rPr>
        <w:t xml:space="preserve"> of the open space</w:t>
      </w:r>
    </w:p>
    <w:p w:rsidR="00FC2F90" w:rsidRDefault="00FC2F90" w:rsidP="00FC2F90">
      <w:pPr>
        <w:pStyle w:val="PPVBullet1"/>
      </w:pPr>
      <w:r>
        <w:t>require decision makers to consider the cumulative impacts of shadow on the open space when assessing a permit application.</w:t>
      </w:r>
    </w:p>
    <w:p w:rsidR="002566E0" w:rsidRDefault="002566E0" w:rsidP="002566E0">
      <w:pPr>
        <w:pStyle w:val="PPVBody"/>
        <w:rPr>
          <w:rFonts w:asciiTheme="minorHAnsi" w:hAnsiTheme="minorHAnsi"/>
        </w:rPr>
      </w:pPr>
      <w:r>
        <w:rPr>
          <w:rFonts w:asciiTheme="minorHAnsi" w:hAnsiTheme="minorHAnsi"/>
        </w:rPr>
        <w:t>All overshadowing controls, whether discretionary or mandatory, should exclude shadow caused by buildings and works within the park itself (so as to not effectively prohibit structures within parks that cast shadows on the park).</w:t>
      </w:r>
    </w:p>
    <w:p w:rsidR="002566E0" w:rsidRDefault="002566E0" w:rsidP="002566E0">
      <w:pPr>
        <w:pStyle w:val="PPVBody"/>
        <w:rPr>
          <w:rFonts w:asciiTheme="minorHAnsi" w:hAnsiTheme="minorHAnsi"/>
        </w:rPr>
      </w:pPr>
      <w:r w:rsidRPr="00C874AE">
        <w:rPr>
          <w:rFonts w:asciiTheme="minorHAnsi" w:hAnsiTheme="minorHAnsi"/>
        </w:rPr>
        <w:t>On</w:t>
      </w:r>
      <w:r>
        <w:rPr>
          <w:rFonts w:asciiTheme="minorHAnsi" w:hAnsiTheme="minorHAnsi"/>
        </w:rPr>
        <w:t>c</w:t>
      </w:r>
      <w:r w:rsidRPr="00C874AE">
        <w:rPr>
          <w:rFonts w:asciiTheme="minorHAnsi" w:hAnsiTheme="minorHAnsi"/>
        </w:rPr>
        <w:t>e the final locations, functions and layouts of the parks are resolved</w:t>
      </w:r>
      <w:r>
        <w:rPr>
          <w:rFonts w:asciiTheme="minorHAnsi" w:hAnsiTheme="minorHAnsi"/>
        </w:rPr>
        <w:t xml:space="preserve"> through the Precinct planning process</w:t>
      </w:r>
      <w:r w:rsidRPr="00C874AE">
        <w:rPr>
          <w:rFonts w:asciiTheme="minorHAnsi" w:hAnsiTheme="minorHAnsi"/>
        </w:rPr>
        <w:t>, consideration should be given to whether there is justification for converting the discretionary controls for some of the parks (or parts of the parks) into mandatory controls</w:t>
      </w:r>
      <w:r>
        <w:rPr>
          <w:rFonts w:asciiTheme="minorHAnsi" w:hAnsiTheme="minorHAnsi"/>
        </w:rPr>
        <w:t>, or for further relaxing the overshadowing controls depending on the layout of the park</w:t>
      </w:r>
      <w:r w:rsidRPr="00C874AE">
        <w:rPr>
          <w:rFonts w:asciiTheme="minorHAnsi" w:hAnsiTheme="minorHAnsi"/>
        </w:rPr>
        <w:t>.</w:t>
      </w:r>
    </w:p>
    <w:p w:rsidR="002566E0" w:rsidRPr="00A90F8A" w:rsidRDefault="002566E0" w:rsidP="002566E0">
      <w:pPr>
        <w:pStyle w:val="Heading4"/>
        <w:rPr>
          <w:rFonts w:asciiTheme="minorHAnsi" w:hAnsiTheme="minorHAnsi"/>
        </w:rPr>
      </w:pPr>
      <w:r w:rsidRPr="00A90F8A">
        <w:rPr>
          <w:rFonts w:asciiTheme="minorHAnsi" w:hAnsiTheme="minorHAnsi"/>
        </w:rPr>
        <w:t>Findings</w:t>
      </w:r>
    </w:p>
    <w:p w:rsidR="002566E0" w:rsidRPr="00A90F8A" w:rsidRDefault="002566E0" w:rsidP="002566E0">
      <w:pPr>
        <w:pStyle w:val="PPVBody"/>
        <w:rPr>
          <w:rFonts w:asciiTheme="minorHAnsi" w:hAnsiTheme="minorHAnsi"/>
        </w:rPr>
      </w:pPr>
      <w:r w:rsidRPr="00A90F8A">
        <w:rPr>
          <w:rFonts w:asciiTheme="minorHAnsi" w:hAnsiTheme="minorHAnsi"/>
        </w:rPr>
        <w:t>The Review Panel finds:</w:t>
      </w:r>
    </w:p>
    <w:p w:rsidR="002566E0" w:rsidRPr="00EB407B" w:rsidRDefault="002566E0" w:rsidP="002566E0">
      <w:pPr>
        <w:pStyle w:val="PPVBullet1"/>
      </w:pPr>
      <w:r w:rsidRPr="00EB407B">
        <w:rPr>
          <w:rFonts w:asciiTheme="minorHAnsi" w:hAnsiTheme="minorHAnsi"/>
        </w:rPr>
        <w:t>It supports mandatory winter solstice overshadowing co</w:t>
      </w:r>
      <w:r>
        <w:rPr>
          <w:rFonts w:asciiTheme="minorHAnsi" w:hAnsiTheme="minorHAnsi"/>
        </w:rPr>
        <w:t xml:space="preserve">ntrols for Lorimer Central, Montague Park, </w:t>
      </w:r>
      <w:r w:rsidRPr="00EB407B">
        <w:rPr>
          <w:rFonts w:asciiTheme="minorHAnsi" w:hAnsiTheme="minorHAnsi"/>
        </w:rPr>
        <w:t>North Port Oval, Prohasky Park and JL Murphy Reserve.</w:t>
      </w:r>
    </w:p>
    <w:p w:rsidR="002566E0" w:rsidRDefault="002566E0" w:rsidP="002566E0">
      <w:pPr>
        <w:pStyle w:val="PPVBullet1"/>
      </w:pPr>
      <w:r w:rsidRPr="001C2B20">
        <w:t>At this stage, other parks</w:t>
      </w:r>
      <w:r>
        <w:t xml:space="preserve"> and </w:t>
      </w:r>
      <w:r w:rsidRPr="001C2B20">
        <w:t xml:space="preserve">the Plummer Street </w:t>
      </w:r>
      <w:r>
        <w:t xml:space="preserve">civic spine </w:t>
      </w:r>
      <w:r w:rsidRPr="001C2B20">
        <w:t>should have discretionary equinox protection.</w:t>
      </w:r>
      <w:r>
        <w:t xml:space="preserve">  Other linear spines should not receive overshadowing protection.</w:t>
      </w:r>
    </w:p>
    <w:p w:rsidR="002566E0" w:rsidRDefault="002566E0" w:rsidP="002566E0">
      <w:pPr>
        <w:pStyle w:val="PPVBullet1"/>
      </w:pPr>
      <w:r w:rsidRPr="00C874AE">
        <w:t>On</w:t>
      </w:r>
      <w:r>
        <w:t>c</w:t>
      </w:r>
      <w:r w:rsidRPr="00C874AE">
        <w:t>e the final locations, functions and layouts of the parks are resolved</w:t>
      </w:r>
      <w:r>
        <w:t xml:space="preserve"> through the Precinct planning process</w:t>
      </w:r>
      <w:r w:rsidRPr="00C874AE">
        <w:t>, consideration should be given to whether there is justification for converting the discretionary controls for some of the parks (or parts of the parks) into mandatory controls</w:t>
      </w:r>
      <w:r>
        <w:t>, or for relaxing the overshadowing controls</w:t>
      </w:r>
      <w:r w:rsidRPr="00C874AE">
        <w:t>.</w:t>
      </w:r>
    </w:p>
    <w:p w:rsidR="002566E0" w:rsidRDefault="002566E0" w:rsidP="002566E0">
      <w:pPr>
        <w:pStyle w:val="PPVBullet1"/>
      </w:pPr>
      <w:r>
        <w:t xml:space="preserve">All overshadowing controls, whether discretionary or mandatory, should exclude shadow caused by buildings and works within the park itself, </w:t>
      </w:r>
      <w:r>
        <w:rPr>
          <w:rFonts w:asciiTheme="minorHAnsi" w:hAnsiTheme="minorHAnsi"/>
        </w:rPr>
        <w:t>so as to not effectively prohibit structures within parks that cast shadows on the park</w:t>
      </w:r>
      <w:r>
        <w:t>.</w:t>
      </w:r>
    </w:p>
    <w:p w:rsidR="00FC2F90" w:rsidRDefault="00FC2F90" w:rsidP="00FC2F90">
      <w:pPr>
        <w:pStyle w:val="Heading2"/>
      </w:pPr>
      <w:bookmarkStart w:id="406" w:name="_Toc519271005"/>
      <w:bookmarkStart w:id="407" w:name="_Toc519710290"/>
      <w:bookmarkStart w:id="408" w:name="_Toc519766850"/>
      <w:r>
        <w:t>Other matters</w:t>
      </w:r>
      <w:bookmarkEnd w:id="406"/>
      <w:bookmarkEnd w:id="407"/>
      <w:bookmarkEnd w:id="408"/>
    </w:p>
    <w:p w:rsidR="00FC2F90" w:rsidRDefault="00FC2F90" w:rsidP="00FC2F90">
      <w:pPr>
        <w:pStyle w:val="PPVBody"/>
      </w:pPr>
      <w:r>
        <w:t>The Review Panel</w:t>
      </w:r>
      <w:r w:rsidRPr="00A90F8A">
        <w:t xml:space="preserve"> supports </w:t>
      </w:r>
      <w:r>
        <w:t xml:space="preserve">Port Phillip’s recommendation of </w:t>
      </w:r>
      <w:r w:rsidRPr="00A90F8A">
        <w:t>co-locating other civic infrastructure such as community hubs with open space</w:t>
      </w:r>
      <w:r>
        <w:t xml:space="preserve"> in prominent locations</w:t>
      </w:r>
      <w:r w:rsidRPr="00A90F8A">
        <w:t>.  This represents an efficient use of land, and helps contribute to ‘place making’.</w:t>
      </w:r>
      <w:r>
        <w:t xml:space="preserve">  This should be considered during </w:t>
      </w:r>
      <w:r w:rsidR="001643B7">
        <w:t>the Precinct plan</w:t>
      </w:r>
      <w:r>
        <w:t xml:space="preserve"> process.  Matters for consideration in the future planning of the Employment Precinct include:</w:t>
      </w:r>
    </w:p>
    <w:p w:rsidR="00FC2F90" w:rsidRDefault="00FC2F90" w:rsidP="00FC2F90">
      <w:pPr>
        <w:pStyle w:val="PPVBullet1"/>
      </w:pPr>
      <w:r w:rsidRPr="00155CF8">
        <w:lastRenderedPageBreak/>
        <w:t>Ms Thompson’s recommendation that new Capital City (major event space) and District (sporting fields) open space be provided in the Employment Precinct</w:t>
      </w:r>
    </w:p>
    <w:p w:rsidR="00FC2F90" w:rsidRDefault="00FC2F90" w:rsidP="00FC2F90">
      <w:pPr>
        <w:pStyle w:val="PPVBullet1"/>
      </w:pPr>
      <w:r>
        <w:t>the su</w:t>
      </w:r>
      <w:r w:rsidR="003C32A8">
        <w:t>bmission of the Friends of West G</w:t>
      </w:r>
      <w:r>
        <w:t>ate Park (S10), which raises issues including:</w:t>
      </w:r>
    </w:p>
    <w:p w:rsidR="00FC2F90" w:rsidRDefault="003C32A8" w:rsidP="00FC2F90">
      <w:pPr>
        <w:pStyle w:val="PPVBullet2"/>
      </w:pPr>
      <w:r>
        <w:t>preserving West G</w:t>
      </w:r>
      <w:r w:rsidR="00FC2F90">
        <w:t>ate Park as an informal recreation space with important biodiversity values</w:t>
      </w:r>
    </w:p>
    <w:p w:rsidR="00FC2F90" w:rsidRDefault="00FC2F90" w:rsidP="00FC2F90">
      <w:pPr>
        <w:pStyle w:val="PPVBullet2"/>
      </w:pPr>
      <w:r>
        <w:t>resolving the location of the future Southbank Tram Depot, and ensuring that this does not take up s</w:t>
      </w:r>
      <w:r w:rsidR="003C32A8">
        <w:t xml:space="preserve">pace currently occupied by West </w:t>
      </w:r>
      <w:r w:rsidR="00AE7DBC">
        <w:t>G</w:t>
      </w:r>
      <w:r>
        <w:t>ate Park</w:t>
      </w:r>
    </w:p>
    <w:p w:rsidR="00FC2F90" w:rsidRDefault="00FC2F90" w:rsidP="00FC2F90">
      <w:pPr>
        <w:pStyle w:val="PPVBullet2"/>
      </w:pPr>
      <w:r>
        <w:t>resolving the future use of the land currently occupied by the GoKart track east of Todd Road (inc</w:t>
      </w:r>
      <w:r w:rsidR="003C32A8">
        <w:t>luding integrating it with West G</w:t>
      </w:r>
      <w:r>
        <w:t>ate Park)</w:t>
      </w:r>
    </w:p>
    <w:p w:rsidR="00FC2F90" w:rsidRDefault="00FC2F90" w:rsidP="00FC2F90">
      <w:pPr>
        <w:pStyle w:val="PPVBullet2"/>
      </w:pPr>
      <w:r>
        <w:t>ensuring that future planning for the Employment Precinct takes into account the West</w:t>
      </w:r>
      <w:r w:rsidR="00AE7DBC">
        <w:t xml:space="preserve"> G</w:t>
      </w:r>
      <w:r>
        <w:t>ate Master Plan (which is currently being finalised)</w:t>
      </w:r>
    </w:p>
    <w:p w:rsidR="00FC2F90" w:rsidRDefault="00FC2F90" w:rsidP="00FC2F90">
      <w:pPr>
        <w:pStyle w:val="PPVBullet1"/>
      </w:pPr>
      <w:r>
        <w:t>the potential for enhanced punt link</w:t>
      </w:r>
      <w:r w:rsidR="003C32A8">
        <w:t>s between Williamstown and West G</w:t>
      </w:r>
      <w:r>
        <w:t>ate Park for pedestrians and cyclists</w:t>
      </w:r>
    </w:p>
    <w:p w:rsidR="00FC2F90" w:rsidRDefault="00FC2F90" w:rsidP="00FC2F90">
      <w:pPr>
        <w:pStyle w:val="PPVBullet1"/>
      </w:pPr>
      <w:r>
        <w:t>the submission of St Kilda Cycling Club (S61), which raises the potential for a future off-road criterium circuit to be established within West</w:t>
      </w:r>
      <w:r w:rsidR="00AE7DBC">
        <w:t xml:space="preserve"> G</w:t>
      </w:r>
      <w:r>
        <w:t>ate Park.</w:t>
      </w:r>
    </w:p>
    <w:p w:rsidR="00FC2F90" w:rsidRPr="002278EB" w:rsidRDefault="00FC2F90" w:rsidP="00FC2F90">
      <w:pPr>
        <w:pStyle w:val="Heading2"/>
      </w:pPr>
      <w:bookmarkStart w:id="409" w:name="_Toc519271006"/>
      <w:bookmarkStart w:id="410" w:name="_Toc519710291"/>
      <w:bookmarkStart w:id="411" w:name="_Toc519766851"/>
      <w:r>
        <w:t>R</w:t>
      </w:r>
      <w:r w:rsidRPr="002278EB">
        <w:t>ecommendations</w:t>
      </w:r>
      <w:bookmarkEnd w:id="409"/>
      <w:bookmarkEnd w:id="410"/>
      <w:bookmarkEnd w:id="411"/>
    </w:p>
    <w:p w:rsidR="00FC2F90" w:rsidRPr="001C078B" w:rsidRDefault="00FC2F90" w:rsidP="00FC2F90">
      <w:pPr>
        <w:pStyle w:val="PPVBody"/>
        <w:rPr>
          <w:b/>
        </w:rPr>
      </w:pPr>
      <w:r>
        <w:rPr>
          <w:b/>
        </w:rPr>
        <w:t>In accordance with the primary recommendation of the Review Panel to progress Amendment GC81</w:t>
      </w:r>
      <w:r w:rsidRPr="001C078B">
        <w:rPr>
          <w:b/>
        </w:rPr>
        <w:t>, the following key changes have been included in the amended Capital City Zone and Design and Development Overlays:</w:t>
      </w:r>
    </w:p>
    <w:p w:rsidR="00FC2F90" w:rsidRPr="001C078B" w:rsidRDefault="00FC2F90" w:rsidP="00FC2F90">
      <w:pPr>
        <w:pStyle w:val="PPVRecommendationDrafting"/>
      </w:pPr>
      <w:r w:rsidRPr="001C078B">
        <w:t>In the Design and Development Overlay, amend the overshadowing controls Schedules, in accordance with the Review Panel’s preferred version of the Design and Development Overlays to:</w:t>
      </w:r>
    </w:p>
    <w:p w:rsidR="00FC2F90" w:rsidRPr="00181298" w:rsidRDefault="00FC2F90" w:rsidP="00FC2F90">
      <w:pPr>
        <w:pStyle w:val="PPVBullet1"/>
        <w:rPr>
          <w:b/>
          <w:i/>
        </w:rPr>
      </w:pPr>
      <w:r w:rsidRPr="00181298">
        <w:rPr>
          <w:b/>
          <w:i/>
        </w:rPr>
        <w:t xml:space="preserve">convert the controls for all parks other than Lorimer Central, </w:t>
      </w:r>
      <w:r>
        <w:rPr>
          <w:b/>
          <w:i/>
        </w:rPr>
        <w:t>Montague Park</w:t>
      </w:r>
      <w:r w:rsidRPr="00181298">
        <w:rPr>
          <w:b/>
          <w:i/>
        </w:rPr>
        <w:t>, North Port Oval, Prohasky Park and JL Murphy Reserve into discretionary equinox controls</w:t>
      </w:r>
    </w:p>
    <w:p w:rsidR="00FC2F90" w:rsidRPr="00181298" w:rsidRDefault="00FC2F90" w:rsidP="00FC2F90">
      <w:pPr>
        <w:pStyle w:val="PPVBullet1"/>
        <w:rPr>
          <w:b/>
          <w:i/>
        </w:rPr>
      </w:pPr>
      <w:r w:rsidRPr="00181298">
        <w:rPr>
          <w:b/>
          <w:i/>
        </w:rPr>
        <w:t xml:space="preserve"> exclude shadow caused by buildings and works within the park itself</w:t>
      </w:r>
    </w:p>
    <w:p w:rsidR="00FC2F90" w:rsidRPr="00181298" w:rsidRDefault="00FC2F90" w:rsidP="00FC2F90">
      <w:pPr>
        <w:pStyle w:val="PPVBullet1"/>
        <w:rPr>
          <w:b/>
          <w:i/>
        </w:rPr>
      </w:pPr>
      <w:r w:rsidRPr="00181298">
        <w:rPr>
          <w:b/>
          <w:i/>
        </w:rPr>
        <w:t>require decision makers to consider cumulative shadow impacts.</w:t>
      </w:r>
    </w:p>
    <w:p w:rsidR="00785416" w:rsidRDefault="00FC2F90" w:rsidP="00FC2F90">
      <w:pPr>
        <w:pStyle w:val="PPVBody"/>
        <w:rPr>
          <w:b/>
        </w:rPr>
      </w:pPr>
      <w:r w:rsidRPr="003F40A4">
        <w:rPr>
          <w:b/>
        </w:rPr>
        <w:t>The Review Panel considers that Melbourne could:</w:t>
      </w:r>
    </w:p>
    <w:p w:rsidR="00FC2F90" w:rsidRPr="003F40A4" w:rsidRDefault="00FC2F90" w:rsidP="00FC2F90">
      <w:pPr>
        <w:pStyle w:val="PPVRecommendationDrafting"/>
      </w:pPr>
      <w:r w:rsidRPr="003F40A4">
        <w:t>Update the local policy to confirm that contributions under Clause 52.01 are preferred as cash rather than land in Clause 22.26 of the Melbourne Planning Scheme, as it applies to Lorimer.</w:t>
      </w:r>
    </w:p>
    <w:p w:rsidR="00566CAE" w:rsidRPr="00A90F8A" w:rsidRDefault="00566CAE" w:rsidP="00566CAE">
      <w:pPr>
        <w:pStyle w:val="Heading1"/>
        <w:rPr>
          <w:rFonts w:asciiTheme="minorHAnsi" w:hAnsiTheme="minorHAnsi"/>
        </w:rPr>
      </w:pPr>
      <w:bookmarkStart w:id="412" w:name="_Toc519710292"/>
      <w:bookmarkStart w:id="413" w:name="_Toc519766852"/>
      <w:bookmarkEnd w:id="386"/>
      <w:bookmarkEnd w:id="387"/>
      <w:r w:rsidRPr="00A90F8A">
        <w:rPr>
          <w:rFonts w:asciiTheme="minorHAnsi" w:hAnsiTheme="minorHAnsi"/>
        </w:rPr>
        <w:lastRenderedPageBreak/>
        <w:t>Transport framewor</w:t>
      </w:r>
      <w:r w:rsidR="00E7164D">
        <w:rPr>
          <w:rFonts w:asciiTheme="minorHAnsi" w:hAnsiTheme="minorHAnsi"/>
        </w:rPr>
        <w:t>k</w:t>
      </w:r>
      <w:bookmarkEnd w:id="412"/>
      <w:bookmarkEnd w:id="413"/>
    </w:p>
    <w:p w:rsidR="00496947" w:rsidRDefault="00496947" w:rsidP="00DD6314">
      <w:pPr>
        <w:pStyle w:val="Heading2"/>
      </w:pPr>
      <w:bookmarkStart w:id="414" w:name="_Toc517463795"/>
      <w:bookmarkStart w:id="415" w:name="_Toc519710293"/>
      <w:bookmarkStart w:id="416" w:name="_Toc519766853"/>
      <w:bookmarkStart w:id="417" w:name="_Toc516414569"/>
      <w:r>
        <w:t>Context and key issues</w:t>
      </w:r>
      <w:bookmarkEnd w:id="414"/>
      <w:bookmarkEnd w:id="415"/>
      <w:bookmarkEnd w:id="416"/>
    </w:p>
    <w:p w:rsidR="00496947" w:rsidRDefault="003E3261" w:rsidP="00496947">
      <w:pPr>
        <w:pStyle w:val="PPVBody"/>
      </w:pPr>
      <w:r>
        <w:t>The Fishermans Bend P</w:t>
      </w:r>
      <w:r w:rsidR="00496947">
        <w:t>reci</w:t>
      </w:r>
      <w:r w:rsidR="00B37954">
        <w:t xml:space="preserve">ncts are approximately </w:t>
      </w:r>
      <w:r w:rsidR="00AC1850">
        <w:t>one to four</w:t>
      </w:r>
      <w:r w:rsidR="00B37954">
        <w:t xml:space="preserve"> kilometres </w:t>
      </w:r>
      <w:r w:rsidR="00A12492">
        <w:t xml:space="preserve">from the edge of Melbourne CBD, with </w:t>
      </w:r>
      <w:r w:rsidR="00496947">
        <w:t>the Yarra River and Westgate Freeway a</w:t>
      </w:r>
      <w:r w:rsidR="00A12492">
        <w:t>s</w:t>
      </w:r>
      <w:r w:rsidR="00496947">
        <w:t xml:space="preserve"> major barriers to connectivity, and </w:t>
      </w:r>
      <w:r w:rsidR="008D421B">
        <w:t xml:space="preserve">there is </w:t>
      </w:r>
      <w:r w:rsidR="00170637">
        <w:t xml:space="preserve">currently </w:t>
      </w:r>
      <w:r w:rsidR="00496947">
        <w:t>little public transport</w:t>
      </w:r>
      <w:r w:rsidR="008D421B">
        <w:t xml:space="preserve"> to the Precincts other than Montague</w:t>
      </w:r>
      <w:r w:rsidR="00496947">
        <w:t>.</w:t>
      </w:r>
      <w:r>
        <w:t xml:space="preserve">  The provision of public transport connections are critical for the successful renewal of Fishermans Bend.</w:t>
      </w:r>
    </w:p>
    <w:p w:rsidR="00496947" w:rsidRDefault="00496947" w:rsidP="00496947">
      <w:pPr>
        <w:pStyle w:val="PPVBody"/>
      </w:pPr>
      <w:r>
        <w:t xml:space="preserve">In Fishermans Bend, it is proposed that people will be connected through integrated walking, cycling and public transport links.  </w:t>
      </w:r>
      <w:r w:rsidR="00A66B84">
        <w:t>The</w:t>
      </w:r>
      <w:r w:rsidR="003E3261">
        <w:t xml:space="preserve"> draft Framework</w:t>
      </w:r>
      <w:r w:rsidR="00A66B84">
        <w:t>’s key targets</w:t>
      </w:r>
      <w:r w:rsidR="003E3261">
        <w:t xml:space="preserve"> </w:t>
      </w:r>
      <w:r>
        <w:t>are:</w:t>
      </w:r>
    </w:p>
    <w:p w:rsidR="00496947" w:rsidRDefault="00496947" w:rsidP="004F6781">
      <w:pPr>
        <w:pStyle w:val="PPVBullet1"/>
      </w:pPr>
      <w:r>
        <w:t>80 per</w:t>
      </w:r>
      <w:r w:rsidR="003B4DFE">
        <w:t xml:space="preserve"> cent</w:t>
      </w:r>
      <w:r>
        <w:t xml:space="preserve"> of trips </w:t>
      </w:r>
      <w:r w:rsidR="007E2F78">
        <w:t xml:space="preserve">be </w:t>
      </w:r>
      <w:r>
        <w:t>made via sustainable transport</w:t>
      </w:r>
    </w:p>
    <w:p w:rsidR="00496947" w:rsidRDefault="00496947" w:rsidP="004F6781">
      <w:pPr>
        <w:pStyle w:val="PPVBullet1"/>
      </w:pPr>
      <w:r>
        <w:t>90 per</w:t>
      </w:r>
      <w:r w:rsidR="003B4DFE">
        <w:t xml:space="preserve"> cent</w:t>
      </w:r>
      <w:r>
        <w:t xml:space="preserve"> of school related trips </w:t>
      </w:r>
      <w:r w:rsidR="007E2F78">
        <w:t xml:space="preserve">be </w:t>
      </w:r>
      <w:r>
        <w:t>made via sustainable transport</w:t>
      </w:r>
    </w:p>
    <w:p w:rsidR="00EE461B" w:rsidRDefault="00496947" w:rsidP="004F6781">
      <w:pPr>
        <w:pStyle w:val="PPVBullet1"/>
      </w:pPr>
      <w:r>
        <w:t>a walkability score of 90 per</w:t>
      </w:r>
      <w:r w:rsidR="003B4DFE">
        <w:t xml:space="preserve"> cent</w:t>
      </w:r>
      <w:r>
        <w:t xml:space="preserve"> is achieved from homes and workplaces.</w:t>
      </w:r>
    </w:p>
    <w:p w:rsidR="00496947" w:rsidRDefault="00496947" w:rsidP="00496947">
      <w:pPr>
        <w:pStyle w:val="PPVBody"/>
      </w:pPr>
      <w:r>
        <w:t>The key planning principles are:</w:t>
      </w:r>
    </w:p>
    <w:p w:rsidR="00496947" w:rsidRDefault="00496947" w:rsidP="004F6781">
      <w:pPr>
        <w:pStyle w:val="PPVBullet1"/>
      </w:pPr>
      <w:r>
        <w:t>prioritise walking, cycling and public transport</w:t>
      </w:r>
    </w:p>
    <w:p w:rsidR="00496947" w:rsidRDefault="00496947" w:rsidP="004F6781">
      <w:pPr>
        <w:pStyle w:val="PPVBullet1"/>
      </w:pPr>
      <w:r>
        <w:t>provide a quality transport network integrated with land use</w:t>
      </w:r>
    </w:p>
    <w:p w:rsidR="00496947" w:rsidRDefault="00496947" w:rsidP="004F6781">
      <w:pPr>
        <w:pStyle w:val="PPVBullet1"/>
      </w:pPr>
      <w:r>
        <w:t>enable freight and private vehicle movements.</w:t>
      </w:r>
    </w:p>
    <w:p w:rsidR="00EE461B" w:rsidRDefault="00C30038" w:rsidP="00496947">
      <w:pPr>
        <w:pStyle w:val="PPVBody"/>
      </w:pPr>
      <w:r>
        <w:t xml:space="preserve">To achieve this, </w:t>
      </w:r>
      <w:r w:rsidR="003E3261">
        <w:t xml:space="preserve">the draft Framework proposes </w:t>
      </w:r>
      <w:r>
        <w:t>a fine grain</w:t>
      </w:r>
      <w:r w:rsidR="001643B7">
        <w:t>ed</w:t>
      </w:r>
      <w:r w:rsidR="00496947">
        <w:t xml:space="preserve"> road and laneway network to provide exceptional walkability.  A series of bicycle links </w:t>
      </w:r>
      <w:r w:rsidR="001643B7">
        <w:t>are</w:t>
      </w:r>
      <w:r w:rsidR="00496947">
        <w:t xml:space="preserve"> proposed, including two new links across the Yarra River and improv</w:t>
      </w:r>
      <w:r w:rsidR="001643B7">
        <w:t xml:space="preserve">ed </w:t>
      </w:r>
      <w:r w:rsidR="00496947">
        <w:t>connecti</w:t>
      </w:r>
      <w:r w:rsidR="001643B7">
        <w:t>ons</w:t>
      </w:r>
      <w:r w:rsidR="00496947">
        <w:t xml:space="preserve"> across the West</w:t>
      </w:r>
      <w:r w:rsidR="00A66B84">
        <w:t xml:space="preserve"> G</w:t>
      </w:r>
      <w:r w:rsidR="00496947">
        <w:t>ate Freeway.</w:t>
      </w:r>
    </w:p>
    <w:p w:rsidR="00496947" w:rsidRDefault="00496947" w:rsidP="00496947">
      <w:pPr>
        <w:pStyle w:val="PPVBody"/>
      </w:pPr>
      <w:r>
        <w:t xml:space="preserve">Liveability will be enhanced with activity cores and public spaces located near public transport to ensure that people </w:t>
      </w:r>
      <w:r w:rsidR="00A12492">
        <w:t>meet</w:t>
      </w:r>
      <w:r>
        <w:t xml:space="preserve"> their </w:t>
      </w:r>
      <w:r w:rsidR="00A12492">
        <w:t xml:space="preserve">transport </w:t>
      </w:r>
      <w:r>
        <w:t>needs without resorting to private vehicles.</w:t>
      </w:r>
    </w:p>
    <w:p w:rsidR="000E2B2A" w:rsidRDefault="000E2B2A" w:rsidP="000E2B2A">
      <w:pPr>
        <w:pStyle w:val="PPVBody"/>
      </w:pPr>
      <w:r>
        <w:t xml:space="preserve">Two new tram routes are proposed through the Lorimer, Sandridge and Wirraway Precincts, connecting to Collins Street via a new bridge across the Yarra River.  Long-term planning for a Metro Rail link identifies two feasible routes and associated indicative station locations.  Further work is required to identify the preferred route.  To complement heavy and light rail, new bus routes and improved bus services are proposed in the </w:t>
      </w:r>
      <w:r w:rsidR="00B40278">
        <w:t>short term</w:t>
      </w:r>
      <w:r>
        <w:t>.</w:t>
      </w:r>
    </w:p>
    <w:p w:rsidR="00496947" w:rsidRDefault="00496947" w:rsidP="00496947">
      <w:pPr>
        <w:pStyle w:val="PPVBody"/>
      </w:pPr>
      <w:r>
        <w:t xml:space="preserve">Port of Melbourne will </w:t>
      </w:r>
      <w:r w:rsidR="00A66B84">
        <w:t xml:space="preserve">continue to </w:t>
      </w:r>
      <w:r>
        <w:t>require 24/7 access</w:t>
      </w:r>
      <w:r w:rsidR="00A66B84">
        <w:t>.  T</w:t>
      </w:r>
      <w:r>
        <w:t xml:space="preserve">he street hierarchy will </w:t>
      </w:r>
      <w:r w:rsidR="003E3261">
        <w:t>require</w:t>
      </w:r>
      <w:r>
        <w:t xml:space="preserve"> appropriate traffic routes c</w:t>
      </w:r>
      <w:r w:rsidR="000E2B2A">
        <w:t>onnecting to key destinations.  N</w:t>
      </w:r>
      <w:r>
        <w:t>etwork planning and street design will</w:t>
      </w:r>
      <w:r w:rsidR="003E3261">
        <w:t xml:space="preserve"> need to</w:t>
      </w:r>
      <w:r>
        <w:t xml:space="preserve"> minimise the impact of freight traffic and general traffic on abutting land uses.  Ultimately</w:t>
      </w:r>
      <w:r w:rsidR="00A12492">
        <w:t>,</w:t>
      </w:r>
      <w:r>
        <w:t xml:space="preserve"> a dedicated elevated freight route (road and rail) from Webb Dock to Appleton Dock is proposed.</w:t>
      </w:r>
    </w:p>
    <w:p w:rsidR="003E3261" w:rsidRDefault="003E3261" w:rsidP="003E3261">
      <w:pPr>
        <w:pStyle w:val="PPVBody"/>
      </w:pPr>
      <w:r>
        <w:t xml:space="preserve">The </w:t>
      </w:r>
      <w:r w:rsidR="000E2B2A">
        <w:t xml:space="preserve">transport aspects of the </w:t>
      </w:r>
      <w:r>
        <w:t xml:space="preserve">Vision </w:t>
      </w:r>
      <w:r w:rsidR="000E2B2A">
        <w:t xml:space="preserve">and draft Framework </w:t>
      </w:r>
      <w:r>
        <w:t xml:space="preserve">were well supported and </w:t>
      </w:r>
      <w:r w:rsidR="000E2B2A">
        <w:t>there was agreement that the early</w:t>
      </w:r>
      <w:r>
        <w:t xml:space="preserve"> delivery of public transport is essential.</w:t>
      </w:r>
    </w:p>
    <w:p w:rsidR="00496947" w:rsidRPr="00A90F8A" w:rsidRDefault="00496947" w:rsidP="00496947">
      <w:pPr>
        <w:pStyle w:val="PPVBody"/>
        <w:rPr>
          <w:rFonts w:asciiTheme="minorHAnsi" w:hAnsiTheme="minorHAnsi"/>
        </w:rPr>
      </w:pPr>
      <w:r w:rsidRPr="00A90F8A">
        <w:rPr>
          <w:rFonts w:asciiTheme="minorHAnsi" w:hAnsiTheme="minorHAnsi"/>
        </w:rPr>
        <w:t>The key issues to be addressed are:</w:t>
      </w:r>
    </w:p>
    <w:p w:rsidR="00496947" w:rsidRDefault="00496947" w:rsidP="004F6781">
      <w:pPr>
        <w:pStyle w:val="PPVBullet1"/>
      </w:pPr>
      <w:r>
        <w:t>transport modelling</w:t>
      </w:r>
    </w:p>
    <w:p w:rsidR="00496947" w:rsidRPr="00A90F8A" w:rsidRDefault="00496947" w:rsidP="004F6781">
      <w:pPr>
        <w:pStyle w:val="PPVBullet1"/>
      </w:pPr>
      <w:r>
        <w:t>public transport</w:t>
      </w:r>
    </w:p>
    <w:p w:rsidR="00496947" w:rsidRDefault="00496947" w:rsidP="004F6781">
      <w:pPr>
        <w:pStyle w:val="PPVBullet1"/>
      </w:pPr>
      <w:r>
        <w:t>roads and laneways</w:t>
      </w:r>
    </w:p>
    <w:p w:rsidR="00496947" w:rsidRPr="00A90F8A" w:rsidRDefault="00496947" w:rsidP="004F6781">
      <w:pPr>
        <w:pStyle w:val="PPVBullet1"/>
      </w:pPr>
      <w:r>
        <w:t>parking</w:t>
      </w:r>
    </w:p>
    <w:p w:rsidR="00496947" w:rsidRDefault="00496947" w:rsidP="004F6781">
      <w:pPr>
        <w:pStyle w:val="PPVBullet1"/>
      </w:pPr>
      <w:r>
        <w:t>Port of Melbourne.</w:t>
      </w:r>
    </w:p>
    <w:p w:rsidR="00496947" w:rsidRDefault="00496947" w:rsidP="00DD6314">
      <w:pPr>
        <w:pStyle w:val="Heading2"/>
      </w:pPr>
      <w:bookmarkStart w:id="418" w:name="_Toc517463796"/>
      <w:bookmarkStart w:id="419" w:name="_Toc519710294"/>
      <w:bookmarkStart w:id="420" w:name="_Toc519766854"/>
      <w:r>
        <w:lastRenderedPageBreak/>
        <w:t>Transport modelling</w:t>
      </w:r>
      <w:bookmarkEnd w:id="418"/>
      <w:bookmarkEnd w:id="419"/>
      <w:bookmarkEnd w:id="420"/>
    </w:p>
    <w:p w:rsidR="00496947" w:rsidRPr="00A90F8A" w:rsidRDefault="00496947" w:rsidP="00496947">
      <w:pPr>
        <w:pStyle w:val="Heading4"/>
        <w:rPr>
          <w:rFonts w:asciiTheme="minorHAnsi" w:hAnsiTheme="minorHAnsi"/>
        </w:rPr>
      </w:pPr>
      <w:r w:rsidRPr="00A90F8A">
        <w:rPr>
          <w:rFonts w:asciiTheme="minorHAnsi" w:hAnsiTheme="minorHAnsi"/>
        </w:rPr>
        <w:t>Context</w:t>
      </w:r>
    </w:p>
    <w:p w:rsidR="000E2B2A" w:rsidRDefault="000E2B2A" w:rsidP="000E2B2A">
      <w:pPr>
        <w:pStyle w:val="PPVBody"/>
      </w:pPr>
      <w:r>
        <w:t>The transport modelling undertaken to date provides the basis of the proposed transport network.  It identifies and considers, among other issues, the appropriate road hierarchy and layout, and public transport infrastructure needs.  The projected population is a key input into the transport modelling.</w:t>
      </w:r>
    </w:p>
    <w:p w:rsidR="00785416" w:rsidRDefault="000E2B2A" w:rsidP="000E2B2A">
      <w:pPr>
        <w:pStyle w:val="PPVBody"/>
        <w:rPr>
          <w:rFonts w:asciiTheme="minorHAnsi" w:hAnsiTheme="minorHAnsi"/>
        </w:rPr>
      </w:pPr>
      <w:r>
        <w:rPr>
          <w:rFonts w:asciiTheme="minorHAnsi" w:hAnsiTheme="minorHAnsi"/>
        </w:rPr>
        <w:t>The capacity of the road network and public transport may be limiting factors which constrain future development.  Further, there will be consequences for the transport network if the goal for 80 per cent of all trips to be taken by sustainable transport is not achieved.</w:t>
      </w:r>
    </w:p>
    <w:p w:rsidR="000E2B2A" w:rsidRPr="00A90F8A" w:rsidRDefault="000E2B2A" w:rsidP="000E2B2A">
      <w:pPr>
        <w:pStyle w:val="Heading4"/>
        <w:rPr>
          <w:rFonts w:asciiTheme="minorHAnsi" w:hAnsiTheme="minorHAnsi"/>
        </w:rPr>
      </w:pPr>
      <w:r w:rsidRPr="00A90F8A">
        <w:rPr>
          <w:rFonts w:asciiTheme="minorHAnsi" w:hAnsiTheme="minorHAnsi"/>
        </w:rPr>
        <w:t>Submissions and evidence</w:t>
      </w:r>
    </w:p>
    <w:p w:rsidR="000E2B2A" w:rsidRDefault="000E2B2A" w:rsidP="000E2B2A">
      <w:pPr>
        <w:pStyle w:val="PPVBody"/>
      </w:pPr>
      <w:r>
        <w:t xml:space="preserve">The Minister relied on the evidence of Mr Kiriakidis and Mr Fooks, who carried out peer reviews of the </w:t>
      </w:r>
      <w:r w:rsidRPr="00922DFF">
        <w:rPr>
          <w:i/>
        </w:rPr>
        <w:t>Integrated Transport Plan</w:t>
      </w:r>
      <w:r>
        <w:t xml:space="preserve"> and draft Framework respectively.</w:t>
      </w:r>
    </w:p>
    <w:p w:rsidR="000E2B2A" w:rsidRDefault="000E2B2A" w:rsidP="000E2B2A">
      <w:pPr>
        <w:pStyle w:val="PPVBody"/>
        <w:rPr>
          <w:rFonts w:asciiTheme="minorHAnsi" w:hAnsiTheme="minorHAnsi"/>
        </w:rPr>
      </w:pPr>
      <w:r>
        <w:rPr>
          <w:rFonts w:asciiTheme="minorHAnsi" w:hAnsiTheme="minorHAnsi"/>
        </w:rPr>
        <w:t xml:space="preserve">Mr Kiriakidis’ evidence was that the road network modelling underpinning the </w:t>
      </w:r>
      <w:r w:rsidRPr="00922DFF">
        <w:rPr>
          <w:i/>
        </w:rPr>
        <w:t>Integrated Transport Plan</w:t>
      </w:r>
      <w:r>
        <w:t xml:space="preserve"> </w:t>
      </w:r>
      <w:r>
        <w:rPr>
          <w:rFonts w:asciiTheme="minorHAnsi" w:hAnsiTheme="minorHAnsi"/>
        </w:rPr>
        <w:t xml:space="preserve">was coarse and lacked consistency with sustainable transport objectives.  The modelling assessed the existing road cross-sections, which provide more traffic lanes than are likely to be provided in future, when many of the roads are proposed to be narrowed to create green spines.  As such, the existing modelling is more favourable to car-based trips.  Mr Kiriakidis recommended further research, including refinement that reflects aspiring road space allocations, a road hierarchy assessment and proposed speed limits (to maximise walking, 30 km/h speed limits would apply on local roads).  </w:t>
      </w:r>
      <w:r w:rsidR="008D421B">
        <w:rPr>
          <w:rFonts w:asciiTheme="minorHAnsi" w:hAnsiTheme="minorHAnsi"/>
        </w:rPr>
        <w:t>He recommended that t</w:t>
      </w:r>
      <w:r>
        <w:rPr>
          <w:rFonts w:asciiTheme="minorHAnsi" w:hAnsiTheme="minorHAnsi"/>
        </w:rPr>
        <w:t>his work be carried out prior to the Precinct planning.</w:t>
      </w:r>
    </w:p>
    <w:p w:rsidR="000E2B2A" w:rsidRDefault="000E2B2A" w:rsidP="000E2B2A">
      <w:pPr>
        <w:pStyle w:val="PPVBody"/>
      </w:pPr>
      <w:r>
        <w:t>Mr Kiriakidis recommended that the modelling be updated to take account of:</w:t>
      </w:r>
    </w:p>
    <w:p w:rsidR="000E2B2A" w:rsidRDefault="000E2B2A" w:rsidP="000E2B2A">
      <w:pPr>
        <w:pStyle w:val="PPVBullet1"/>
      </w:pPr>
      <w:r>
        <w:t xml:space="preserve">the additional (from earlier </w:t>
      </w:r>
      <w:r w:rsidR="00AE7DBC">
        <w:t>projections</w:t>
      </w:r>
      <w:r>
        <w:t>) 20,000 jobs in the Employment Precinct</w:t>
      </w:r>
    </w:p>
    <w:p w:rsidR="000E2B2A" w:rsidRDefault="000E2B2A" w:rsidP="000E2B2A">
      <w:pPr>
        <w:pStyle w:val="PPVBullet1"/>
      </w:pPr>
      <w:r>
        <w:t>major transport infrastructure items such as the West Gate Tunnel</w:t>
      </w:r>
    </w:p>
    <w:p w:rsidR="000E2B2A" w:rsidRDefault="000E2B2A" w:rsidP="000E2B2A">
      <w:pPr>
        <w:pStyle w:val="PPVBullet1"/>
      </w:pPr>
      <w:r>
        <w:t>planned road cross-sections and operational controls</w:t>
      </w:r>
    </w:p>
    <w:p w:rsidR="000E2B2A" w:rsidRDefault="000E2B2A" w:rsidP="000E2B2A">
      <w:pPr>
        <w:pStyle w:val="PPVBullet1"/>
      </w:pPr>
      <w:r>
        <w:t>opportunities to strengthen public transport connections</w:t>
      </w:r>
    </w:p>
    <w:p w:rsidR="000E2B2A" w:rsidRDefault="000E2B2A" w:rsidP="000E2B2A">
      <w:pPr>
        <w:pStyle w:val="PPVBullet1"/>
      </w:pPr>
      <w:r>
        <w:t>impact of additional bus frequency and associated bus priority measures.</w:t>
      </w:r>
    </w:p>
    <w:p w:rsidR="000E2B2A" w:rsidRDefault="000E2B2A" w:rsidP="000E2B2A">
      <w:pPr>
        <w:pStyle w:val="PPVBody"/>
      </w:pPr>
      <w:r>
        <w:t>The heavy rail alignment requires resolution, and the additional 20,000 jobs assumed in the Employment Precinct may result in the northern route being adopted.</w:t>
      </w:r>
    </w:p>
    <w:p w:rsidR="000E2B2A" w:rsidRDefault="000E2B2A" w:rsidP="000E2B2A">
      <w:pPr>
        <w:pStyle w:val="PPVBody"/>
      </w:pPr>
      <w:r>
        <w:t>In response to submissions that the 80,000 population target was too low, Mr Kiriakidis thought the proposed transport network would probably be capable of accommodating additional population, possibly exceeding 100,000, but he was not prepared to say by how much without further modelling.  He observed that:</w:t>
      </w:r>
    </w:p>
    <w:p w:rsidR="000E2B2A" w:rsidRDefault="000E2B2A" w:rsidP="000E2B2A">
      <w:pPr>
        <w:pStyle w:val="PPVBullet1"/>
      </w:pPr>
      <w:r>
        <w:t>engineering solutions could generally be found to maximise transport, noting that cost is a consideration</w:t>
      </w:r>
    </w:p>
    <w:p w:rsidR="000E2B2A" w:rsidRDefault="000E2B2A" w:rsidP="000E2B2A">
      <w:pPr>
        <w:pStyle w:val="PPVBullet1"/>
      </w:pPr>
      <w:r>
        <w:t>increasing population would generally result in lower service levels (that is, more crowding and queues).</w:t>
      </w:r>
    </w:p>
    <w:p w:rsidR="000E2B2A" w:rsidRDefault="000E2B2A" w:rsidP="000E2B2A">
      <w:pPr>
        <w:pStyle w:val="PPVBody"/>
        <w:rPr>
          <w:rFonts w:asciiTheme="minorHAnsi" w:hAnsiTheme="minorHAnsi"/>
        </w:rPr>
      </w:pPr>
      <w:r>
        <w:rPr>
          <w:rFonts w:asciiTheme="minorHAnsi" w:hAnsiTheme="minorHAnsi"/>
        </w:rPr>
        <w:t>Ms Dunstan was instructed by various landowners to assess whether the proposed transport network would be capable of accommodating in the order of 160,000 residents and employees.  She concurred with Mr Kiriakidis that further modelling work is required, but did not have the resources to undertake independent modelling.  Ms Dunstan noted:</w:t>
      </w:r>
    </w:p>
    <w:p w:rsidR="000E2B2A" w:rsidRDefault="000E2B2A" w:rsidP="000E2B2A">
      <w:pPr>
        <w:pStyle w:val="PPVQuote"/>
      </w:pPr>
      <w:r>
        <w:lastRenderedPageBreak/>
        <w:t>I am satisfied that if an appropriate public transport response is committed and delivered within a reasonable timeframe, that the transport networks would be able to serve significantly more than the targets of 80,000 residents and 80,000 jobs by 2050.</w:t>
      </w:r>
    </w:p>
    <w:p w:rsidR="000E2B2A" w:rsidRDefault="000E2B2A" w:rsidP="000E2B2A">
      <w:pPr>
        <w:pStyle w:val="PPVBody"/>
      </w:pPr>
      <w:r>
        <w:t xml:space="preserve">Ms Dunstan </w:t>
      </w:r>
      <w:r w:rsidR="00AE7DBC">
        <w:t>gave evidence</w:t>
      </w:r>
      <w:r>
        <w:t xml:space="preserve"> that once the infrastructure was in place, in particular rail and tram lines, additional public transport capacity could be provided by increasing service frequency, albeit that additional rolling stock may be required.</w:t>
      </w:r>
    </w:p>
    <w:p w:rsidR="000E2B2A" w:rsidRDefault="000E2B2A" w:rsidP="000E2B2A">
      <w:pPr>
        <w:pStyle w:val="PPVBody"/>
        <w:rPr>
          <w:rFonts w:asciiTheme="minorHAnsi" w:hAnsiTheme="minorHAnsi"/>
        </w:rPr>
      </w:pPr>
      <w:r>
        <w:rPr>
          <w:rFonts w:asciiTheme="minorHAnsi" w:hAnsiTheme="minorHAnsi"/>
        </w:rPr>
        <w:t>The Minister submitted that the policy framework and jobs targets provide the basis for major upfront investments in infrastructure such as public transport in the most effective way.  He submitted that the population target is based on several factors, including the need for roads and public transport to be able to cater for anticipated growth.</w:t>
      </w:r>
    </w:p>
    <w:p w:rsidR="000E2B2A" w:rsidRDefault="000E2B2A" w:rsidP="000E2B2A">
      <w:pPr>
        <w:pStyle w:val="PPVBody"/>
        <w:rPr>
          <w:rFonts w:asciiTheme="minorHAnsi" w:hAnsiTheme="minorHAnsi"/>
        </w:rPr>
      </w:pPr>
      <w:r>
        <w:rPr>
          <w:rFonts w:asciiTheme="minorHAnsi" w:hAnsiTheme="minorHAnsi"/>
        </w:rPr>
        <w:t>Melbourne generally acknowledged the modelling work undertaken to date, but submitted that it should be based on capacity analysis, particularly if setting aside land for public transport or roads.</w:t>
      </w:r>
      <w:r>
        <w:rPr>
          <w:rStyle w:val="FootnoteReference"/>
          <w:rFonts w:asciiTheme="minorHAnsi" w:hAnsiTheme="minorHAnsi"/>
        </w:rPr>
        <w:footnoteReference w:id="107"/>
      </w:r>
      <w:r>
        <w:rPr>
          <w:rFonts w:asciiTheme="minorHAnsi" w:hAnsiTheme="minorHAnsi"/>
        </w:rPr>
        <w:t xml:space="preserve">  The Councils submitted that more detail was required in relation to road cross-sections and the like, which ultimately need to be fed back into the modelling process.</w:t>
      </w:r>
    </w:p>
    <w:p w:rsidR="000E2B2A" w:rsidRDefault="000E2B2A" w:rsidP="000E2B2A">
      <w:pPr>
        <w:pStyle w:val="PPVBody"/>
        <w:rPr>
          <w:rFonts w:asciiTheme="minorHAnsi" w:hAnsiTheme="minorHAnsi"/>
        </w:rPr>
      </w:pPr>
      <w:r>
        <w:rPr>
          <w:rFonts w:asciiTheme="minorHAnsi" w:hAnsiTheme="minorHAnsi"/>
        </w:rPr>
        <w:t>A number of submissions raised concerns regarding existing traffic conditions and safety concerns, particularly around Lorimer Street and from the Montague precinct.  Other issues included:</w:t>
      </w:r>
    </w:p>
    <w:p w:rsidR="000E2B2A" w:rsidRDefault="000E2B2A" w:rsidP="000E2B2A">
      <w:pPr>
        <w:pStyle w:val="PPVBullet1"/>
      </w:pPr>
      <w:r>
        <w:t>suggested improvements to Lorimer Street including issues around freight movement and restricting their hours of operation, additional traffic controls and road widening</w:t>
      </w:r>
    </w:p>
    <w:p w:rsidR="000E2B2A" w:rsidRPr="00A90F8A" w:rsidRDefault="000E2B2A" w:rsidP="000E2B2A">
      <w:pPr>
        <w:pStyle w:val="PPVBullet1"/>
      </w:pPr>
      <w:r>
        <w:t>the ability of the road network to accommodate additional traffic associated new development.</w:t>
      </w:r>
    </w:p>
    <w:p w:rsidR="000E2B2A" w:rsidRPr="00A90F8A" w:rsidRDefault="000E2B2A" w:rsidP="000E2B2A">
      <w:pPr>
        <w:pStyle w:val="Heading4"/>
        <w:rPr>
          <w:rFonts w:asciiTheme="minorHAnsi" w:hAnsiTheme="minorHAnsi"/>
        </w:rPr>
      </w:pPr>
      <w:r w:rsidRPr="00A90F8A">
        <w:rPr>
          <w:rFonts w:asciiTheme="minorHAnsi" w:hAnsiTheme="minorHAnsi"/>
        </w:rPr>
        <w:t>Discussion</w:t>
      </w:r>
    </w:p>
    <w:p w:rsidR="00AE7DBC" w:rsidRDefault="00AE7DBC" w:rsidP="00AE7DBC">
      <w:pPr>
        <w:pStyle w:val="PPVBody"/>
        <w:rPr>
          <w:rFonts w:asciiTheme="minorHAnsi" w:hAnsiTheme="minorHAnsi"/>
        </w:rPr>
      </w:pPr>
      <w:r>
        <w:rPr>
          <w:rFonts w:asciiTheme="minorHAnsi" w:hAnsiTheme="minorHAnsi"/>
        </w:rPr>
        <w:t>Transport modelling is critical to providing robust and realistic outputs for the development of an appropriate transport network.  Inaccurate modelling would result in adverse downstream effects that are difficult to correct (such as roads not having enough lanes, or insufficient public transport encouraging increased car usage).</w:t>
      </w:r>
    </w:p>
    <w:p w:rsidR="00785416" w:rsidRDefault="008D421B" w:rsidP="008D421B">
      <w:pPr>
        <w:pStyle w:val="PPVBody"/>
        <w:rPr>
          <w:rFonts w:asciiTheme="minorHAnsi" w:hAnsiTheme="minorHAnsi"/>
        </w:rPr>
      </w:pPr>
      <w:r>
        <w:rPr>
          <w:rFonts w:asciiTheme="minorHAnsi" w:hAnsiTheme="minorHAnsi"/>
        </w:rPr>
        <w:t xml:space="preserve">The Review </w:t>
      </w:r>
      <w:r w:rsidRPr="00A12492">
        <w:rPr>
          <w:rFonts w:asciiTheme="minorHAnsi" w:hAnsiTheme="minorHAnsi"/>
        </w:rPr>
        <w:t>Panel supports Mr Kiriakidis</w:t>
      </w:r>
      <w:r>
        <w:rPr>
          <w:rFonts w:asciiTheme="minorHAnsi" w:hAnsiTheme="minorHAnsi"/>
        </w:rPr>
        <w:t>’</w:t>
      </w:r>
      <w:r w:rsidRPr="00A12492">
        <w:rPr>
          <w:rFonts w:asciiTheme="minorHAnsi" w:hAnsiTheme="minorHAnsi"/>
        </w:rPr>
        <w:t xml:space="preserve"> recommendations </w:t>
      </w:r>
      <w:r>
        <w:rPr>
          <w:rFonts w:asciiTheme="minorHAnsi" w:hAnsiTheme="minorHAnsi"/>
        </w:rPr>
        <w:t>to</w:t>
      </w:r>
      <w:r w:rsidRPr="00A12492">
        <w:rPr>
          <w:rFonts w:asciiTheme="minorHAnsi" w:hAnsiTheme="minorHAnsi"/>
        </w:rPr>
        <w:t xml:space="preserve"> updat</w:t>
      </w:r>
      <w:r>
        <w:rPr>
          <w:rFonts w:asciiTheme="minorHAnsi" w:hAnsiTheme="minorHAnsi"/>
        </w:rPr>
        <w:t>e</w:t>
      </w:r>
      <w:r w:rsidRPr="00A12492">
        <w:rPr>
          <w:rFonts w:asciiTheme="minorHAnsi" w:hAnsiTheme="minorHAnsi"/>
        </w:rPr>
        <w:t xml:space="preserve"> and refresh the transport model</w:t>
      </w:r>
      <w:r>
        <w:rPr>
          <w:rFonts w:asciiTheme="minorHAnsi" w:hAnsiTheme="minorHAnsi"/>
        </w:rPr>
        <w:t>ling</w:t>
      </w:r>
      <w:r w:rsidRPr="00A12492">
        <w:rPr>
          <w:rFonts w:asciiTheme="minorHAnsi" w:hAnsiTheme="minorHAnsi"/>
        </w:rPr>
        <w:t xml:space="preserve">.  </w:t>
      </w:r>
      <w:r>
        <w:rPr>
          <w:rFonts w:asciiTheme="minorHAnsi" w:hAnsiTheme="minorHAnsi"/>
        </w:rPr>
        <w:t xml:space="preserve">Revised traffic modelling should be undertaken iteratively, to consider the ability of the surrounding road network to absorb the additional traffic and transport demand created as the urban renewal of </w:t>
      </w:r>
      <w:r w:rsidRPr="008D421B">
        <w:rPr>
          <w:rFonts w:asciiTheme="minorHAnsi" w:hAnsiTheme="minorHAnsi"/>
        </w:rPr>
        <w:t>Fishermans Bend progresses.  Modelling of the impacts of a population in the range of the Review Panel’s recommended 80,000 to 120,000 should be undertaken prior to the Precinct planning, to confirm that a population in this range will not have unanticipated impacts on the transport system.  Updated transport modelling will be a key input in the five year review recommended</w:t>
      </w:r>
      <w:r>
        <w:rPr>
          <w:rFonts w:asciiTheme="minorHAnsi" w:hAnsiTheme="minorHAnsi"/>
        </w:rPr>
        <w:t xml:space="preserve"> by the Review Panel, and any subsequent reviews of population and infrastructure in Fishermans Bend.</w:t>
      </w:r>
    </w:p>
    <w:p w:rsidR="000E2B2A" w:rsidRDefault="000E2B2A" w:rsidP="000E2B2A">
      <w:pPr>
        <w:pStyle w:val="PPVBody"/>
        <w:rPr>
          <w:rFonts w:asciiTheme="minorHAnsi" w:hAnsiTheme="minorHAnsi"/>
        </w:rPr>
      </w:pPr>
      <w:r>
        <w:rPr>
          <w:rFonts w:asciiTheme="minorHAnsi" w:hAnsiTheme="minorHAnsi"/>
        </w:rPr>
        <w:t>Further detail on road geometry</w:t>
      </w:r>
      <w:r w:rsidR="00AE7DBC">
        <w:rPr>
          <w:rFonts w:asciiTheme="minorHAnsi" w:hAnsiTheme="minorHAnsi"/>
        </w:rPr>
        <w:t>,</w:t>
      </w:r>
      <w:r>
        <w:rPr>
          <w:rFonts w:asciiTheme="minorHAnsi" w:hAnsiTheme="minorHAnsi"/>
        </w:rPr>
        <w:t xml:space="preserve"> management and safety measures (including cyclists) should be developed as part of the Precinct planning phase, and fed into the iterative transport modelling.</w:t>
      </w:r>
    </w:p>
    <w:p w:rsidR="00785416" w:rsidRDefault="000E2B2A" w:rsidP="000E2B2A">
      <w:pPr>
        <w:pStyle w:val="Heading4"/>
        <w:rPr>
          <w:rFonts w:asciiTheme="minorHAnsi" w:hAnsiTheme="minorHAnsi"/>
        </w:rPr>
      </w:pPr>
      <w:r w:rsidRPr="00A90F8A">
        <w:rPr>
          <w:rFonts w:asciiTheme="minorHAnsi" w:hAnsiTheme="minorHAnsi"/>
        </w:rPr>
        <w:lastRenderedPageBreak/>
        <w:t>Findings</w:t>
      </w:r>
      <w:r>
        <w:rPr>
          <w:rFonts w:asciiTheme="minorHAnsi" w:hAnsiTheme="minorHAnsi"/>
        </w:rPr>
        <w:t xml:space="preserve"> and recommendation</w:t>
      </w:r>
    </w:p>
    <w:p w:rsidR="000E2B2A" w:rsidRDefault="000E2B2A" w:rsidP="000E2B2A">
      <w:pPr>
        <w:pStyle w:val="PPVBody"/>
      </w:pPr>
      <w:r>
        <w:t>The Review Panel finds:</w:t>
      </w:r>
    </w:p>
    <w:p w:rsidR="000E2B2A" w:rsidRDefault="000E2B2A" w:rsidP="000E2B2A">
      <w:pPr>
        <w:pStyle w:val="PPVBullet1"/>
      </w:pPr>
      <w:r>
        <w:t xml:space="preserve">transport modelling should be iteratively updated and refined </w:t>
      </w:r>
      <w:r>
        <w:rPr>
          <w:rFonts w:asciiTheme="minorHAnsi" w:hAnsiTheme="minorHAnsi"/>
        </w:rPr>
        <w:t>as the urban renewal of Fishermans Bend progresses</w:t>
      </w:r>
    </w:p>
    <w:p w:rsidR="000E2B2A" w:rsidRPr="002D1D6D" w:rsidRDefault="000E2B2A" w:rsidP="000E2B2A">
      <w:pPr>
        <w:pStyle w:val="PPVBullet1"/>
      </w:pPr>
      <w:r>
        <w:rPr>
          <w:rFonts w:asciiTheme="minorHAnsi" w:hAnsiTheme="minorHAnsi"/>
        </w:rPr>
        <w:t>further detail on road geometry</w:t>
      </w:r>
      <w:r w:rsidR="00AE7DBC">
        <w:rPr>
          <w:rFonts w:asciiTheme="minorHAnsi" w:hAnsiTheme="minorHAnsi"/>
        </w:rPr>
        <w:t>,</w:t>
      </w:r>
      <w:r>
        <w:rPr>
          <w:rFonts w:asciiTheme="minorHAnsi" w:hAnsiTheme="minorHAnsi"/>
        </w:rPr>
        <w:t xml:space="preserve"> traffic management and safety measures should be developed as part of the Precinct planning phase.</w:t>
      </w:r>
    </w:p>
    <w:p w:rsidR="00496947" w:rsidRPr="00A90F8A" w:rsidRDefault="00496947" w:rsidP="00DD6314">
      <w:pPr>
        <w:pStyle w:val="Heading2"/>
      </w:pPr>
      <w:bookmarkStart w:id="421" w:name="_Toc517463797"/>
      <w:bookmarkStart w:id="422" w:name="_Toc519710295"/>
      <w:bookmarkStart w:id="423" w:name="_Toc519766855"/>
      <w:r>
        <w:t>Public transport</w:t>
      </w:r>
      <w:bookmarkEnd w:id="421"/>
      <w:bookmarkEnd w:id="422"/>
      <w:bookmarkEnd w:id="423"/>
    </w:p>
    <w:p w:rsidR="00496947" w:rsidRPr="00A90F8A" w:rsidRDefault="00496947" w:rsidP="00496947">
      <w:pPr>
        <w:pStyle w:val="Heading4"/>
        <w:rPr>
          <w:rFonts w:asciiTheme="minorHAnsi" w:hAnsiTheme="minorHAnsi"/>
        </w:rPr>
      </w:pPr>
      <w:r w:rsidRPr="00A90F8A">
        <w:rPr>
          <w:rFonts w:asciiTheme="minorHAnsi" w:hAnsiTheme="minorHAnsi"/>
        </w:rPr>
        <w:t>Context</w:t>
      </w:r>
    </w:p>
    <w:p w:rsidR="00AE7DBC" w:rsidRDefault="00AE7DBC" w:rsidP="00AE7DBC">
      <w:pPr>
        <w:pStyle w:val="PPVBody"/>
        <w:rPr>
          <w:rFonts w:asciiTheme="minorHAnsi" w:hAnsiTheme="minorHAnsi"/>
        </w:rPr>
      </w:pPr>
      <w:r>
        <w:rPr>
          <w:rFonts w:asciiTheme="minorHAnsi" w:hAnsiTheme="minorHAnsi"/>
        </w:rPr>
        <w:t xml:space="preserve">Significant public transport infrastructure and services are required as a fundamental tenet for 80 per cent of </w:t>
      </w:r>
      <w:r w:rsidRPr="00AE7DBC">
        <w:rPr>
          <w:rFonts w:asciiTheme="minorHAnsi" w:hAnsiTheme="minorHAnsi"/>
        </w:rPr>
        <w:t>trips within</w:t>
      </w:r>
      <w:r>
        <w:rPr>
          <w:rFonts w:asciiTheme="minorHAnsi" w:hAnsiTheme="minorHAnsi"/>
        </w:rPr>
        <w:t>, to and from Fishermans Bend to be made by sustainable transport.  The principle of providing public transport and providing it early was supported.</w:t>
      </w:r>
    </w:p>
    <w:p w:rsidR="00496947" w:rsidRDefault="00496947" w:rsidP="00496947">
      <w:pPr>
        <w:pStyle w:val="PPVBody"/>
        <w:rPr>
          <w:rFonts w:asciiTheme="minorHAnsi" w:hAnsiTheme="minorHAnsi"/>
        </w:rPr>
      </w:pPr>
      <w:r>
        <w:rPr>
          <w:rFonts w:asciiTheme="minorHAnsi" w:hAnsiTheme="minorHAnsi"/>
        </w:rPr>
        <w:t xml:space="preserve">However, </w:t>
      </w:r>
      <w:r w:rsidR="000723EB">
        <w:rPr>
          <w:rFonts w:asciiTheme="minorHAnsi" w:hAnsiTheme="minorHAnsi"/>
        </w:rPr>
        <w:t xml:space="preserve">some submitters were </w:t>
      </w:r>
      <w:r>
        <w:rPr>
          <w:rFonts w:asciiTheme="minorHAnsi" w:hAnsiTheme="minorHAnsi"/>
        </w:rPr>
        <w:t>concern</w:t>
      </w:r>
      <w:r w:rsidR="000723EB">
        <w:rPr>
          <w:rFonts w:asciiTheme="minorHAnsi" w:hAnsiTheme="minorHAnsi"/>
        </w:rPr>
        <w:t>ed</w:t>
      </w:r>
      <w:r>
        <w:rPr>
          <w:rFonts w:asciiTheme="minorHAnsi" w:hAnsiTheme="minorHAnsi"/>
        </w:rPr>
        <w:t xml:space="preserve"> </w:t>
      </w:r>
      <w:r w:rsidR="000723EB">
        <w:rPr>
          <w:rFonts w:asciiTheme="minorHAnsi" w:hAnsiTheme="minorHAnsi"/>
        </w:rPr>
        <w:t>about</w:t>
      </w:r>
      <w:r>
        <w:rPr>
          <w:rFonts w:asciiTheme="minorHAnsi" w:hAnsiTheme="minorHAnsi"/>
        </w:rPr>
        <w:t xml:space="preserve"> the timing and location of public transport facilities, </w:t>
      </w:r>
      <w:r w:rsidR="00A6554F">
        <w:rPr>
          <w:rFonts w:asciiTheme="minorHAnsi" w:hAnsiTheme="minorHAnsi"/>
        </w:rPr>
        <w:t xml:space="preserve">and </w:t>
      </w:r>
      <w:r>
        <w:rPr>
          <w:rFonts w:asciiTheme="minorHAnsi" w:hAnsiTheme="minorHAnsi"/>
        </w:rPr>
        <w:t>the mechanism for protecting public transport corridors.</w:t>
      </w:r>
    </w:p>
    <w:p w:rsidR="00011BCC" w:rsidRDefault="00011BCC" w:rsidP="00011BCC">
      <w:pPr>
        <w:pStyle w:val="PPVBody"/>
        <w:rPr>
          <w:rFonts w:asciiTheme="minorHAnsi" w:hAnsiTheme="minorHAnsi"/>
        </w:rPr>
      </w:pPr>
      <w:r>
        <w:rPr>
          <w:rFonts w:asciiTheme="minorHAnsi" w:hAnsiTheme="minorHAnsi"/>
        </w:rPr>
        <w:t>Introducing tram infrastructure through Fishermans Bend was universally supported and acknowledged as a key plank in achieving sustainability goals.</w:t>
      </w:r>
    </w:p>
    <w:p w:rsidR="00011BCC" w:rsidRDefault="00011BCC" w:rsidP="00011BCC">
      <w:pPr>
        <w:pStyle w:val="PPVBody"/>
        <w:rPr>
          <w:rFonts w:asciiTheme="minorHAnsi" w:hAnsiTheme="minorHAnsi"/>
        </w:rPr>
      </w:pPr>
      <w:r>
        <w:rPr>
          <w:rFonts w:asciiTheme="minorHAnsi" w:hAnsiTheme="minorHAnsi"/>
        </w:rPr>
        <w:t>A general theme in submissions related to the ‘certainty’ of the trams being implemented and a delivery timeframe, with ‘the earlier the better’.</w:t>
      </w:r>
    </w:p>
    <w:p w:rsidR="00011BCC" w:rsidRDefault="00011BCC" w:rsidP="00011BCC">
      <w:pPr>
        <w:pStyle w:val="PPVBody"/>
        <w:rPr>
          <w:rFonts w:asciiTheme="minorHAnsi" w:hAnsiTheme="minorHAnsi"/>
        </w:rPr>
      </w:pPr>
      <w:r>
        <w:rPr>
          <w:rFonts w:asciiTheme="minorHAnsi" w:hAnsiTheme="minorHAnsi"/>
        </w:rPr>
        <w:t>The notable exception was the proposed Collins Street tram extension/Yarra River crossing which generated significant community submissions.</w:t>
      </w:r>
    </w:p>
    <w:p w:rsidR="00496947" w:rsidRPr="00A90F8A" w:rsidRDefault="00496947" w:rsidP="00496947">
      <w:pPr>
        <w:pStyle w:val="Heading4"/>
        <w:rPr>
          <w:rFonts w:asciiTheme="minorHAnsi" w:hAnsiTheme="minorHAnsi"/>
        </w:rPr>
      </w:pPr>
      <w:r w:rsidRPr="00A90F8A">
        <w:rPr>
          <w:rFonts w:asciiTheme="minorHAnsi" w:hAnsiTheme="minorHAnsi"/>
        </w:rPr>
        <w:t>Submissions and evidence</w:t>
      </w:r>
    </w:p>
    <w:p w:rsidR="00785416" w:rsidRDefault="00011BCC" w:rsidP="00FC14F6">
      <w:pPr>
        <w:pStyle w:val="Heading5"/>
      </w:pPr>
      <w:r w:rsidRPr="000E2B2A">
        <w:t>General</w:t>
      </w:r>
    </w:p>
    <w:p w:rsidR="00A6554F" w:rsidRDefault="00A6554F" w:rsidP="00A6554F">
      <w:pPr>
        <w:pStyle w:val="PPVBody"/>
        <w:rPr>
          <w:rFonts w:asciiTheme="minorHAnsi" w:hAnsiTheme="minorHAnsi"/>
        </w:rPr>
      </w:pPr>
      <w:r>
        <w:rPr>
          <w:rFonts w:asciiTheme="minorHAnsi" w:hAnsiTheme="minorHAnsi"/>
        </w:rPr>
        <w:t>Mr Kiriakidis’ evidence principally focus</w:t>
      </w:r>
      <w:r w:rsidR="00A90D8B">
        <w:rPr>
          <w:rFonts w:asciiTheme="minorHAnsi" w:hAnsiTheme="minorHAnsi"/>
        </w:rPr>
        <w:t>ed</w:t>
      </w:r>
      <w:r>
        <w:rPr>
          <w:rFonts w:asciiTheme="minorHAnsi" w:hAnsiTheme="minorHAnsi"/>
        </w:rPr>
        <w:t xml:space="preserve"> on reviewing a number of previous public transport studies which fed into the draft Framework.</w:t>
      </w:r>
    </w:p>
    <w:p w:rsidR="00A6554F" w:rsidRDefault="00A6554F" w:rsidP="00A6554F">
      <w:pPr>
        <w:pStyle w:val="PPVBody"/>
        <w:rPr>
          <w:rFonts w:asciiTheme="minorHAnsi" w:hAnsiTheme="minorHAnsi"/>
        </w:rPr>
      </w:pPr>
      <w:r>
        <w:rPr>
          <w:rFonts w:asciiTheme="minorHAnsi" w:hAnsiTheme="minorHAnsi"/>
        </w:rPr>
        <w:t xml:space="preserve">The </w:t>
      </w:r>
      <w:r w:rsidRPr="00884708">
        <w:rPr>
          <w:rFonts w:asciiTheme="minorHAnsi" w:hAnsiTheme="minorHAnsi"/>
          <w:i/>
        </w:rPr>
        <w:t>Integrated Transport Plan</w:t>
      </w:r>
      <w:r>
        <w:rPr>
          <w:rFonts w:asciiTheme="minorHAnsi" w:hAnsiTheme="minorHAnsi"/>
        </w:rPr>
        <w:t xml:space="preserve"> 2017 identified two Metro Rail alignments through Fisherman Bend which should be preserved, however, only one route would be developed.</w:t>
      </w:r>
    </w:p>
    <w:p w:rsidR="00A6554F" w:rsidRDefault="00A6554F" w:rsidP="00A6554F">
      <w:pPr>
        <w:pStyle w:val="PPVBody"/>
        <w:rPr>
          <w:rFonts w:asciiTheme="minorHAnsi" w:hAnsiTheme="minorHAnsi"/>
        </w:rPr>
      </w:pPr>
      <w:r>
        <w:rPr>
          <w:rFonts w:asciiTheme="minorHAnsi" w:hAnsiTheme="minorHAnsi"/>
        </w:rPr>
        <w:t>Significant modelling work was carried out for a number of tram network options and Mr Kiriakidis noted that much of this modelling should be refreshed.</w:t>
      </w:r>
    </w:p>
    <w:p w:rsidR="00785416" w:rsidRDefault="00A6554F" w:rsidP="00A6554F">
      <w:pPr>
        <w:pStyle w:val="PPVBody"/>
        <w:rPr>
          <w:rFonts w:asciiTheme="minorHAnsi" w:hAnsiTheme="minorHAnsi"/>
        </w:rPr>
      </w:pPr>
      <w:r>
        <w:rPr>
          <w:rFonts w:asciiTheme="minorHAnsi" w:hAnsiTheme="minorHAnsi"/>
        </w:rPr>
        <w:t>Ms Dunstan identified the most critical issue as being the Metro Rail alignment and station locations.  Her evidence was that heavy rail is necessary to support the employment and residential mode share aspirations set out in the draft Framework.  She stated it would not be possible to cater for 160,000 residents and jobs in Fishermans Bend without the Metro Rail service, as tram services would not be an effective substitute.</w:t>
      </w:r>
    </w:p>
    <w:p w:rsidR="00A6554F" w:rsidRDefault="00A6554F" w:rsidP="00A6554F">
      <w:pPr>
        <w:pStyle w:val="PPVBody"/>
        <w:rPr>
          <w:rFonts w:asciiTheme="minorHAnsi" w:hAnsiTheme="minorHAnsi"/>
        </w:rPr>
      </w:pPr>
      <w:r>
        <w:rPr>
          <w:rFonts w:asciiTheme="minorHAnsi" w:hAnsiTheme="minorHAnsi"/>
        </w:rPr>
        <w:t>Ms Dunstan’s evidence (which was consistent with that of Mr Kiriakidis) was that of the two alternative rail routes shown in the draft Framework, it is likely that the alignment serving the Employment Precinct would be selected.  This has implications for station locations, and additional public transport services that may be required (possibly additional bus services linking Wirraway and the Employment Precincts).</w:t>
      </w:r>
    </w:p>
    <w:p w:rsidR="00A6554F" w:rsidRDefault="00A6554F" w:rsidP="00A6554F">
      <w:pPr>
        <w:pStyle w:val="PPVBody"/>
        <w:rPr>
          <w:rFonts w:asciiTheme="minorHAnsi" w:hAnsiTheme="minorHAnsi"/>
        </w:rPr>
      </w:pPr>
      <w:r w:rsidRPr="003E3D33">
        <w:rPr>
          <w:rFonts w:asciiTheme="minorHAnsi" w:hAnsiTheme="minorHAnsi"/>
        </w:rPr>
        <w:t xml:space="preserve">Mr Walsh </w:t>
      </w:r>
      <w:r>
        <w:rPr>
          <w:rFonts w:asciiTheme="minorHAnsi" w:hAnsiTheme="minorHAnsi"/>
        </w:rPr>
        <w:t xml:space="preserve">highlighted that </w:t>
      </w:r>
      <w:r w:rsidRPr="003E3D33">
        <w:rPr>
          <w:rFonts w:asciiTheme="minorHAnsi" w:hAnsiTheme="minorHAnsi"/>
        </w:rPr>
        <w:t xml:space="preserve">the Vision for Fishermans Bend providing a sustainable transport network </w:t>
      </w:r>
      <w:r>
        <w:rPr>
          <w:rFonts w:asciiTheme="minorHAnsi" w:hAnsiTheme="minorHAnsi"/>
        </w:rPr>
        <w:t>is fundamentally dependant on</w:t>
      </w:r>
      <w:r w:rsidRPr="007B1FD2">
        <w:rPr>
          <w:rFonts w:asciiTheme="minorHAnsi" w:hAnsiTheme="minorHAnsi"/>
        </w:rPr>
        <w:t xml:space="preserve"> </w:t>
      </w:r>
      <w:r>
        <w:rPr>
          <w:rFonts w:asciiTheme="minorHAnsi" w:hAnsiTheme="minorHAnsi"/>
        </w:rPr>
        <w:t>the Metro Rail and tram routes</w:t>
      </w:r>
      <w:r w:rsidRPr="003E3D33">
        <w:rPr>
          <w:rFonts w:asciiTheme="minorHAnsi" w:hAnsiTheme="minorHAnsi"/>
        </w:rPr>
        <w:t xml:space="preserve">.  He </w:t>
      </w:r>
      <w:r w:rsidR="00AE7DBC">
        <w:rPr>
          <w:rFonts w:asciiTheme="minorHAnsi" w:hAnsiTheme="minorHAnsi"/>
        </w:rPr>
        <w:t>gave evidence</w:t>
      </w:r>
      <w:r w:rsidRPr="003E3D33">
        <w:rPr>
          <w:rFonts w:asciiTheme="minorHAnsi" w:hAnsiTheme="minorHAnsi"/>
        </w:rPr>
        <w:t xml:space="preserve"> </w:t>
      </w:r>
      <w:r w:rsidRPr="003E3D33">
        <w:rPr>
          <w:rFonts w:asciiTheme="minorHAnsi" w:hAnsiTheme="minorHAnsi"/>
        </w:rPr>
        <w:lastRenderedPageBreak/>
        <w:t xml:space="preserve">that without public transport improvements, the area will remain car dependent.  Considering the importance of the public transport network, he said that the planning schemes should </w:t>
      </w:r>
      <w:r>
        <w:rPr>
          <w:rFonts w:asciiTheme="minorHAnsi" w:hAnsiTheme="minorHAnsi"/>
        </w:rPr>
        <w:t xml:space="preserve">identify and </w:t>
      </w:r>
      <w:r w:rsidRPr="003E3D33">
        <w:rPr>
          <w:rFonts w:asciiTheme="minorHAnsi" w:hAnsiTheme="minorHAnsi"/>
        </w:rPr>
        <w:t xml:space="preserve">reference the rail and tram networks and that land to be set aside for these uses should be reserved with a </w:t>
      </w:r>
      <w:r>
        <w:rPr>
          <w:rFonts w:asciiTheme="minorHAnsi" w:hAnsiTheme="minorHAnsi"/>
        </w:rPr>
        <w:t>PAO</w:t>
      </w:r>
      <w:r w:rsidRPr="003E3D33">
        <w:rPr>
          <w:rFonts w:asciiTheme="minorHAnsi" w:hAnsiTheme="minorHAnsi"/>
        </w:rPr>
        <w:t>.</w:t>
      </w:r>
    </w:p>
    <w:p w:rsidR="00A6554F" w:rsidRDefault="00A6554F" w:rsidP="00A6554F">
      <w:pPr>
        <w:pStyle w:val="PPVBody"/>
      </w:pPr>
      <w:r>
        <w:t xml:space="preserve">The Review Panel was advised by </w:t>
      </w:r>
      <w:r w:rsidRPr="00E66D5C">
        <w:t>TfV</w:t>
      </w:r>
      <w:r>
        <w:t xml:space="preserve"> </w:t>
      </w:r>
      <w:r w:rsidRPr="00E66D5C">
        <w:t xml:space="preserve">that </w:t>
      </w:r>
      <w:r>
        <w:t>it</w:t>
      </w:r>
      <w:r w:rsidRPr="00E66D5C">
        <w:t xml:space="preserve"> had undertaken the initial stages of the planning work to determine the possible public</w:t>
      </w:r>
      <w:r>
        <w:t xml:space="preserve"> transport connections into Fishermans Bend but w</w:t>
      </w:r>
      <w:r w:rsidR="00AE7DBC">
        <w:t xml:space="preserve">ere </w:t>
      </w:r>
      <w:r>
        <w:t xml:space="preserve">not in </w:t>
      </w:r>
      <w:r w:rsidR="00AE7DBC">
        <w:t xml:space="preserve">a </w:t>
      </w:r>
      <w:r>
        <w:t xml:space="preserve">position to commit to any particular route.  It confirmed that the Government has provided $1million in the recent budget to further progress this work by developing a preliminary business case including comprehensive transport and economic assessments.  A key focus will include further consultation with </w:t>
      </w:r>
      <w:r w:rsidR="0079402A">
        <w:t>the C</w:t>
      </w:r>
      <w:r>
        <w:t>ouncils, local residents business owners and other stakeholders.</w:t>
      </w:r>
    </w:p>
    <w:p w:rsidR="00A6554F" w:rsidRDefault="00A6554F" w:rsidP="00A6554F">
      <w:pPr>
        <w:pStyle w:val="PPVBody"/>
      </w:pPr>
      <w:r>
        <w:t>While parties were looking for certainty or clarification on particular tram route elements</w:t>
      </w:r>
      <w:r w:rsidR="00AE7DBC">
        <w:t xml:space="preserve"> as part of this process</w:t>
      </w:r>
      <w:r>
        <w:t>, TfV advised it was not in a position to provide any further information other than what is shown in the draft Framework and suggested that ‘feasible’ should be used instead of ‘proposed’ for the public transport routes to avoid misunderstanding.</w:t>
      </w:r>
    </w:p>
    <w:p w:rsidR="00A6554F" w:rsidRDefault="00A6554F" w:rsidP="00A6554F">
      <w:pPr>
        <w:pStyle w:val="PPVBody"/>
        <w:rPr>
          <w:rFonts w:asciiTheme="minorHAnsi" w:hAnsiTheme="minorHAnsi"/>
        </w:rPr>
      </w:pPr>
      <w:r>
        <w:rPr>
          <w:rFonts w:asciiTheme="minorHAnsi" w:hAnsiTheme="minorHAnsi"/>
        </w:rPr>
        <w:t xml:space="preserve">The Minister confirmed (D94) that the tram extensions and future stages of Melbourne Metro were considered as part of </w:t>
      </w:r>
      <w:r w:rsidRPr="00884708">
        <w:rPr>
          <w:rFonts w:asciiTheme="minorHAnsi" w:hAnsiTheme="minorHAnsi"/>
          <w:i/>
        </w:rPr>
        <w:t>Infrastructure Victoria’s 30 Year Strategy</w:t>
      </w:r>
      <w:r>
        <w:rPr>
          <w:rFonts w:asciiTheme="minorHAnsi" w:hAnsiTheme="minorHAnsi"/>
        </w:rPr>
        <w:t xml:space="preserve"> which recommended that:</w:t>
      </w:r>
    </w:p>
    <w:p w:rsidR="00A6554F" w:rsidRDefault="00A6554F" w:rsidP="00A6554F">
      <w:pPr>
        <w:pStyle w:val="PPVBullet1"/>
      </w:pPr>
      <w:r>
        <w:t>Fishermans Bend tram extensions should be delivered in the next five to ten years</w:t>
      </w:r>
    </w:p>
    <w:p w:rsidR="00A6554F" w:rsidRDefault="00A6554F" w:rsidP="00A6554F">
      <w:pPr>
        <w:pStyle w:val="PPVBullet1"/>
      </w:pPr>
      <w:r>
        <w:t>planning for future stages of Melbourne Metro should begin in next five years with delivery occurring in the next 15 – 30 years.</w:t>
      </w:r>
    </w:p>
    <w:p w:rsidR="00A6554F" w:rsidRDefault="00A6554F" w:rsidP="00A6554F">
      <w:pPr>
        <w:pStyle w:val="PPVBody"/>
        <w:rPr>
          <w:rFonts w:asciiTheme="minorHAnsi" w:hAnsiTheme="minorHAnsi"/>
        </w:rPr>
      </w:pPr>
      <w:r>
        <w:rPr>
          <w:rFonts w:asciiTheme="minorHAnsi" w:hAnsiTheme="minorHAnsi"/>
        </w:rPr>
        <w:t>The Minister accepted that it is desirable for public transport to be provided as early as possible.  He su</w:t>
      </w:r>
      <w:r w:rsidR="00AE7DBC">
        <w:rPr>
          <w:rFonts w:asciiTheme="minorHAnsi" w:hAnsiTheme="minorHAnsi"/>
        </w:rPr>
        <w:t xml:space="preserve">ggested </w:t>
      </w:r>
      <w:r>
        <w:rPr>
          <w:rFonts w:asciiTheme="minorHAnsi" w:hAnsiTheme="minorHAnsi"/>
        </w:rPr>
        <w:t>that it is appropriate to proceed with the draft A</w:t>
      </w:r>
      <w:r w:rsidR="001601F7">
        <w:rPr>
          <w:rFonts w:asciiTheme="minorHAnsi" w:hAnsiTheme="minorHAnsi"/>
        </w:rPr>
        <w:t>mendment on the basis that the G</w:t>
      </w:r>
      <w:r>
        <w:rPr>
          <w:rFonts w:asciiTheme="minorHAnsi" w:hAnsiTheme="minorHAnsi"/>
        </w:rPr>
        <w:t>overnment intends to deliver the public transport infrastructure that is shown in the draft Framework, however</w:t>
      </w:r>
      <w:r w:rsidR="00A90D8B">
        <w:rPr>
          <w:rFonts w:asciiTheme="minorHAnsi" w:hAnsiTheme="minorHAnsi"/>
        </w:rPr>
        <w:t>,</w:t>
      </w:r>
      <w:r>
        <w:rPr>
          <w:rFonts w:asciiTheme="minorHAnsi" w:hAnsiTheme="minorHAnsi"/>
        </w:rPr>
        <w:t xml:space="preserve"> the delivery timeframes are beyond the budget window (of five years).</w:t>
      </w:r>
    </w:p>
    <w:p w:rsidR="00A6554F" w:rsidRDefault="00A6554F" w:rsidP="00A6554F">
      <w:pPr>
        <w:pStyle w:val="PPVBody"/>
      </w:pPr>
      <w:r>
        <w:t>The Minister explained that further planning by TfV for the proposed tram routes will continue over the next 12 months.  Once the proposed route is identified, only then will TfV be in a position to confirm the amount of</w:t>
      </w:r>
      <w:r w:rsidR="00AE7DBC">
        <w:t xml:space="preserve"> land</w:t>
      </w:r>
      <w:r>
        <w:t xml:space="preserve"> to be acquired and how.  Traditionally TfV uses a </w:t>
      </w:r>
      <w:r w:rsidR="001601F7">
        <w:t>PAO</w:t>
      </w:r>
      <w:r>
        <w:t xml:space="preserve"> to ensure the land required can be secured and provided in a timely manner.  However, the ultimate method of reservation and funding will be determined by the Government.</w:t>
      </w:r>
    </w:p>
    <w:p w:rsidR="00A6554F" w:rsidRDefault="00A6554F" w:rsidP="00A6554F">
      <w:pPr>
        <w:pStyle w:val="PPVBody"/>
      </w:pPr>
      <w:r>
        <w:t>To enhance clarity and certainty, the Minister agreed that the proposed tram route should be shown on the Lorimer Urban Structure Map consistent with the draft Framework Figure 5: Public transport.</w:t>
      </w:r>
    </w:p>
    <w:p w:rsidR="00A6554F" w:rsidRDefault="00A6554F" w:rsidP="00A6554F">
      <w:pPr>
        <w:pStyle w:val="PPVBody"/>
      </w:pPr>
      <w:r>
        <w:rPr>
          <w:rFonts w:asciiTheme="minorHAnsi" w:hAnsiTheme="minorHAnsi"/>
        </w:rPr>
        <w:t xml:space="preserve">Both Councils supported the public transport initiatives, emphasising that early delivery is critical.  Melbourne noted that large scale development within the Employment Precinct without a Metro station would not be viable. </w:t>
      </w:r>
      <w:r w:rsidRPr="009456D7">
        <w:t xml:space="preserve"> </w:t>
      </w:r>
      <w:r w:rsidR="00AE7DBC">
        <w:t>It</w:t>
      </w:r>
      <w:r>
        <w:t xml:space="preserve"> </w:t>
      </w:r>
      <w:r w:rsidR="00AE7DBC">
        <w:t>was of the view</w:t>
      </w:r>
      <w:r>
        <w:t xml:space="preserve"> that the tram routes must be shown on the CCZ maps and protected from development as a matter of urgency and it is common, if not standard practice to protect the preferred transport route while detailed work is undertaken.</w:t>
      </w:r>
    </w:p>
    <w:p w:rsidR="00A6554F" w:rsidRDefault="00AE7DBC" w:rsidP="00A6554F">
      <w:pPr>
        <w:pStyle w:val="PPVBody"/>
        <w:rPr>
          <w:rFonts w:asciiTheme="minorHAnsi" w:hAnsiTheme="minorHAnsi"/>
        </w:rPr>
      </w:pPr>
      <w:r w:rsidRPr="00AE7DBC">
        <w:rPr>
          <w:rFonts w:asciiTheme="minorHAnsi" w:hAnsiTheme="minorHAnsi"/>
        </w:rPr>
        <w:t xml:space="preserve">However, in relation to the timing of and commitment to public transport infrastructure and TfV’s concern with using the term ‘proposed’ and suggested ‘feasible’ tram route would be more appropriate, </w:t>
      </w:r>
      <w:r w:rsidR="00A6554F" w:rsidRPr="00AE7DBC">
        <w:rPr>
          <w:rFonts w:asciiTheme="minorHAnsi" w:hAnsiTheme="minorHAnsi"/>
        </w:rPr>
        <w:t>Mr</w:t>
      </w:r>
      <w:r w:rsidR="00A6554F">
        <w:rPr>
          <w:rFonts w:asciiTheme="minorHAnsi" w:hAnsiTheme="minorHAnsi"/>
        </w:rPr>
        <w:t xml:space="preserve"> Tweedie (D359) submitted that:</w:t>
      </w:r>
    </w:p>
    <w:p w:rsidR="00A6554F" w:rsidRDefault="00A6554F" w:rsidP="00A6554F">
      <w:pPr>
        <w:pStyle w:val="PPVQuote"/>
      </w:pPr>
      <w:r>
        <w:lastRenderedPageBreak/>
        <w:t>Essential public transport has not been decided or committed to.  Without settling the proposed transport infrastructure, strategic planning decisions with regard to urban design outcomes, land uses and intensity of development are unable to be properly decided upon.</w:t>
      </w:r>
    </w:p>
    <w:p w:rsidR="00A6554F" w:rsidRDefault="00A6554F" w:rsidP="00A6554F">
      <w:pPr>
        <w:pStyle w:val="PPVBody"/>
      </w:pPr>
      <w:r>
        <w:t>Several submitters suggested that applying a PAO over private land for future public transport use would ensure clarity and certainty for land owners as well as ensuring public transport could be provided in a timely fashion.  Others submitted that until further clarity is available regarding the public transport alignments, it would be premature to apply a PAO.</w:t>
      </w:r>
    </w:p>
    <w:p w:rsidR="00A6554F" w:rsidRPr="000E2B2A" w:rsidRDefault="00A6554F" w:rsidP="00FC14F6">
      <w:pPr>
        <w:pStyle w:val="Heading5"/>
      </w:pPr>
      <w:r w:rsidRPr="000E2B2A">
        <w:t>Yarra River tram bridge</w:t>
      </w:r>
    </w:p>
    <w:p w:rsidR="008D421B" w:rsidRDefault="008D421B" w:rsidP="008D421B">
      <w:pPr>
        <w:pStyle w:val="PPVBody"/>
      </w:pPr>
      <w:r>
        <w:t>Mr Kiriakidis confirmed that the Jacobs Report Stage 1 study only assessed above ground river crossing options.  His evidence was that p</w:t>
      </w:r>
      <w:r w:rsidRPr="00D80DB3">
        <w:t>revious studies</w:t>
      </w:r>
      <w:r>
        <w:t xml:space="preserve"> have identified that tunnels are too expensive and deemed not to provide preferred active transport solutions.  He noted that based on previous work:</w:t>
      </w:r>
    </w:p>
    <w:p w:rsidR="00A6554F" w:rsidRDefault="00A6554F" w:rsidP="00A6554F">
      <w:pPr>
        <w:pStyle w:val="PPVQuoteBullet1"/>
      </w:pPr>
      <w:r w:rsidRPr="00647299">
        <w:t>Modelling tests both the Charles Grimes and Collins Street light rail bridge options.</w:t>
      </w:r>
      <w:r>
        <w:t xml:space="preserve">  </w:t>
      </w:r>
      <w:r w:rsidRPr="00647299">
        <w:t xml:space="preserve">The </w:t>
      </w:r>
      <w:r w:rsidR="00F34EE4" w:rsidRPr="00F34EE4">
        <w:t xml:space="preserve">Victorian Integrated Transport Model </w:t>
      </w:r>
      <w:r w:rsidRPr="00922DFF">
        <w:t xml:space="preserve">report indicates that </w:t>
      </w:r>
      <w:r w:rsidRPr="00F34EE4">
        <w:t>“the river crossin</w:t>
      </w:r>
      <w:r w:rsidRPr="00922DFF">
        <w:rPr>
          <w:bCs/>
          <w:iCs/>
        </w:rPr>
        <w:t xml:space="preserve">g alignment does not have a great impact on public transport trips to any of the Fishermans Bend </w:t>
      </w:r>
      <w:r w:rsidR="0079402A">
        <w:rPr>
          <w:bCs/>
          <w:iCs/>
        </w:rPr>
        <w:t>P</w:t>
      </w:r>
      <w:r w:rsidRPr="00922DFF">
        <w:rPr>
          <w:bCs/>
          <w:iCs/>
        </w:rPr>
        <w:t>recincts”</w:t>
      </w:r>
      <w:r w:rsidRPr="00922DFF">
        <w:t>(p39),</w:t>
      </w:r>
      <w:r w:rsidRPr="00647299">
        <w:t xml:space="preserve"> with the Charles Grimes option having slightly less usage of trams, which is not unexpected given the slightly longer journey time.</w:t>
      </w:r>
    </w:p>
    <w:p w:rsidR="00A6554F" w:rsidRPr="009B0B78" w:rsidRDefault="00A6554F" w:rsidP="00A6554F">
      <w:pPr>
        <w:pStyle w:val="PPVQuoteBullet1"/>
      </w:pPr>
      <w:r w:rsidRPr="009B0B78">
        <w:t>The proposed tram crossing (via Collins St) represents the quickest and most direct tram connection between Fishermans</w:t>
      </w:r>
      <w:r>
        <w:t xml:space="preserve"> </w:t>
      </w:r>
      <w:r w:rsidRPr="009B0B78">
        <w:t>Bend and the CBD and nearby rail stations.</w:t>
      </w:r>
      <w:r w:rsidR="00893811">
        <w:rPr>
          <w:rStyle w:val="FootnoteReference"/>
        </w:rPr>
        <w:footnoteReference w:id="108"/>
      </w:r>
    </w:p>
    <w:p w:rsidR="00A6554F" w:rsidRDefault="00A6554F" w:rsidP="00A6554F">
      <w:pPr>
        <w:pStyle w:val="PPVBody"/>
      </w:pPr>
      <w:r>
        <w:t>The Minister’s Part A submission (D49b) noted that TfV had evaluated a number of possible alignments and Yarra River crossings.  The bridge option was preferred over a tunnel option based on cost, urban realm impacts in Docklands and Fishermans Bend, need for additional walking and cycling connections across the river, and the inability to provide safe access for emergency service vehicle via the tunnel option.</w:t>
      </w:r>
    </w:p>
    <w:p w:rsidR="00A6554F" w:rsidRDefault="00A6554F" w:rsidP="00A6554F">
      <w:pPr>
        <w:pStyle w:val="PPVBody"/>
      </w:pPr>
      <w:r>
        <w:t>The Charles Grimes Bridge option was discounted due to the existing traffic conditions on roads in the vicinity which are some of the busiest networks in Melbourne and would not enhance active transport.</w:t>
      </w:r>
    </w:p>
    <w:p w:rsidR="00A6554F" w:rsidRDefault="00A6554F" w:rsidP="00A6554F">
      <w:pPr>
        <w:pStyle w:val="PPVBody"/>
      </w:pPr>
      <w:r>
        <w:t xml:space="preserve">Detailed planning and full business case development will be required prior to any </w:t>
      </w:r>
      <w:r w:rsidR="0079402A">
        <w:t>g</w:t>
      </w:r>
      <w:r>
        <w:t>overnment decision.</w:t>
      </w:r>
    </w:p>
    <w:p w:rsidR="00A6554F" w:rsidRDefault="00A6554F" w:rsidP="00A6554F">
      <w:pPr>
        <w:pStyle w:val="PPVBody"/>
      </w:pPr>
      <w:r>
        <w:t xml:space="preserve">Melbourne acknowledged that the two proposed bridges over the Yarra (a walking and cycling bridge east of Bolte Bridge, and a tram, walking and cycling bridge west of Charles Grimes Bridge) are fundamental to successfully connecting Fishermans Bend to </w:t>
      </w:r>
      <w:r w:rsidR="001601F7">
        <w:t xml:space="preserve">the </w:t>
      </w:r>
      <w:r>
        <w:t>Central City and Docklands.  Design and detail</w:t>
      </w:r>
      <w:r w:rsidR="00AE7DBC">
        <w:t>ed</w:t>
      </w:r>
      <w:r>
        <w:t xml:space="preserve"> assessment remains to be undertaken, however</w:t>
      </w:r>
      <w:r w:rsidR="00A90D8B">
        <w:t>,</w:t>
      </w:r>
      <w:r>
        <w:t xml:space="preserve"> the ongoing use of the waterways for river traffic and marine operations should remain.</w:t>
      </w:r>
    </w:p>
    <w:p w:rsidR="00A6554F" w:rsidRPr="00064C55" w:rsidRDefault="00A6554F" w:rsidP="00064C55">
      <w:pPr>
        <w:pStyle w:val="PPVBody"/>
      </w:pPr>
      <w:r>
        <w:t xml:space="preserve">Ms Collingwood opposed the river crossing being located at the Collins Street extension adjacent to ANZ Centre at 833 Collins Street, Docklands.  She noted that the proposed tram lines were extremely close to </w:t>
      </w:r>
      <w:r w:rsidR="00AE7DBC">
        <w:t>its</w:t>
      </w:r>
      <w:r>
        <w:t xml:space="preserve"> building</w:t>
      </w:r>
      <w:r w:rsidR="00AE7DBC">
        <w:t>s</w:t>
      </w:r>
      <w:r>
        <w:t xml:space="preserve"> and would result in loss of valuable public open </w:t>
      </w:r>
      <w:r>
        <w:lastRenderedPageBreak/>
        <w:t xml:space="preserve">space and street artwork.  She noted that there had been a lack of direct consultation and the </w:t>
      </w:r>
      <w:r w:rsidRPr="00064C55">
        <w:t>provision of relevant information.</w:t>
      </w:r>
    </w:p>
    <w:p w:rsidR="00064C55" w:rsidRPr="00064C55" w:rsidRDefault="00064C55" w:rsidP="00064C55">
      <w:pPr>
        <w:pStyle w:val="PPVBody"/>
      </w:pPr>
      <w:r w:rsidRPr="00064C55">
        <w:t>The UDIA (S215) submitted that the lack of a commitment to funding or a proposed timeframe for the delivery of public transport is a significant issue.</w:t>
      </w:r>
    </w:p>
    <w:p w:rsidR="00A6554F" w:rsidRDefault="00A6554F" w:rsidP="00064C55">
      <w:pPr>
        <w:pStyle w:val="PPVBody"/>
      </w:pPr>
      <w:r w:rsidRPr="00064C55">
        <w:t>Ms Dawson, on behalf of Yarra’s Edge Class Action Committee (L23) advised she was representing over 3,000 adversely</w:t>
      </w:r>
      <w:r>
        <w:t xml:space="preserve"> affected parties </w:t>
      </w:r>
      <w:r w:rsidR="00AE7DBC">
        <w:t>including businesses, apartment</w:t>
      </w:r>
      <w:r>
        <w:t xml:space="preserve"> owners, and marina owners and operators, stating that the proposed fixed bridge affects far more parties than 40 to 50 yacht owners.</w:t>
      </w:r>
    </w:p>
    <w:p w:rsidR="00A6554F" w:rsidRDefault="00A6554F" w:rsidP="00A6554F">
      <w:pPr>
        <w:pStyle w:val="PPVBody"/>
      </w:pPr>
      <w:r>
        <w:t xml:space="preserve">The proposed bridge will cut off water access to the entrance of Yarra Edge Marina for all vessels which rise more than </w:t>
      </w:r>
      <w:r w:rsidR="001601F7">
        <w:t>three</w:t>
      </w:r>
      <w:r>
        <w:t xml:space="preserve"> metres (the Review Panel notes the clearance is six metres) above the water level, essentially the smallest boats which are not the type presently moored at the marina.</w:t>
      </w:r>
    </w:p>
    <w:p w:rsidR="00A6554F" w:rsidRDefault="00A6554F" w:rsidP="00A6554F">
      <w:pPr>
        <w:pStyle w:val="PPVBody"/>
      </w:pPr>
      <w:r>
        <w:t>Ms Dawson presented arguments in support of her position why the bridge in its current configuration should not proceed.  She noted that other options such as submersible tube (tunnel) or an opening bridge would alleviate many issues of her group.</w:t>
      </w:r>
    </w:p>
    <w:p w:rsidR="00785416" w:rsidRDefault="00A6554F" w:rsidP="00064C55">
      <w:pPr>
        <w:pStyle w:val="PPVBody"/>
      </w:pPr>
      <w:r>
        <w:t xml:space="preserve">Mr </w:t>
      </w:r>
      <w:r w:rsidRPr="00064C55">
        <w:t>Sutherland submitted that an alternative plan of an immersed tube to accommodate freight and trams, and a shared path in the vicinity of the Bolte Bridge, should be considered.  He believed this option may be more economical and improve tram network capacity.</w:t>
      </w:r>
    </w:p>
    <w:p w:rsidR="00A6554F" w:rsidRDefault="00064C55" w:rsidP="00064C55">
      <w:pPr>
        <w:pStyle w:val="PPVBody"/>
      </w:pPr>
      <w:r>
        <w:t>Mr and Ms Hirst (S46 and S</w:t>
      </w:r>
      <w:r w:rsidRPr="00064C55">
        <w:t>47) raised concerns about the impacts that a new bridge crossing may have on amenity and noise within Yarra's Edge and the access for sail boats to the Yarra's Edge Marina.</w:t>
      </w:r>
      <w:r>
        <w:t xml:space="preserve">  </w:t>
      </w:r>
      <w:r w:rsidR="00A6554F" w:rsidRPr="00064C55">
        <w:t>Other issues raised by submitters included that charter boat operators could no longer operate from the Yarra Edge Marina, adverse amenity impacts with the tram line running close to their property, visual</w:t>
      </w:r>
      <w:r w:rsidR="00A6554F">
        <w:t xml:space="preserve"> blight and a decline in property value.</w:t>
      </w:r>
    </w:p>
    <w:p w:rsidR="00A6554F" w:rsidRPr="00A90F8A" w:rsidRDefault="00A6554F" w:rsidP="00A6554F">
      <w:pPr>
        <w:pStyle w:val="Heading4"/>
        <w:rPr>
          <w:rFonts w:asciiTheme="minorHAnsi" w:hAnsiTheme="minorHAnsi"/>
        </w:rPr>
      </w:pPr>
      <w:r w:rsidRPr="00A90F8A">
        <w:rPr>
          <w:rFonts w:asciiTheme="minorHAnsi" w:hAnsiTheme="minorHAnsi"/>
        </w:rPr>
        <w:t>Discussion</w:t>
      </w:r>
    </w:p>
    <w:p w:rsidR="00785416" w:rsidRDefault="00A6554F" w:rsidP="00FC14F6">
      <w:pPr>
        <w:pStyle w:val="Heading5"/>
      </w:pPr>
      <w:r w:rsidRPr="000E2B2A">
        <w:t>General</w:t>
      </w:r>
    </w:p>
    <w:p w:rsidR="00A6554F" w:rsidRPr="00971782" w:rsidRDefault="00A6554F" w:rsidP="00A6554F">
      <w:pPr>
        <w:pStyle w:val="PPVBody"/>
        <w:rPr>
          <w:rFonts w:asciiTheme="minorHAnsi" w:hAnsiTheme="minorHAnsi"/>
        </w:rPr>
      </w:pPr>
      <w:r>
        <w:rPr>
          <w:rFonts w:asciiTheme="minorHAnsi" w:hAnsiTheme="minorHAnsi"/>
        </w:rPr>
        <w:t>The Review Panel notes that to date, there has been significant work undertaken on identifying a suitable suite of public transport infrastructure for Fishermans Bend.  The draft Framework at Figure 5 shows an extensive public transport network of train, tram and bus routes with indicative del</w:t>
      </w:r>
      <w:r w:rsidR="00A80B82">
        <w:rPr>
          <w:rFonts w:asciiTheme="minorHAnsi" w:hAnsiTheme="minorHAnsi"/>
        </w:rPr>
        <w:t>ivery timeframes of short (2018–2020), medium (2020–</w:t>
      </w:r>
      <w:r>
        <w:rPr>
          <w:rFonts w:asciiTheme="minorHAnsi" w:hAnsiTheme="minorHAnsi"/>
        </w:rPr>
        <w:t>2025) and long</w:t>
      </w:r>
      <w:r w:rsidR="00B40278">
        <w:rPr>
          <w:rFonts w:asciiTheme="minorHAnsi" w:hAnsiTheme="minorHAnsi"/>
        </w:rPr>
        <w:t xml:space="preserve"> </w:t>
      </w:r>
      <w:r>
        <w:rPr>
          <w:rFonts w:asciiTheme="minorHAnsi" w:hAnsiTheme="minorHAnsi"/>
        </w:rPr>
        <w:t xml:space="preserve">term (2025+).  The work appears reasonable, and consistent with achieving the </w:t>
      </w:r>
      <w:r w:rsidRPr="00971782">
        <w:rPr>
          <w:rFonts w:asciiTheme="minorHAnsi" w:hAnsiTheme="minorHAnsi"/>
        </w:rPr>
        <w:t>sustainable transport goals.</w:t>
      </w:r>
    </w:p>
    <w:p w:rsidR="00A6554F" w:rsidRDefault="00A6554F" w:rsidP="00A6554F">
      <w:pPr>
        <w:pStyle w:val="PPVBody"/>
        <w:rPr>
          <w:rFonts w:asciiTheme="minorHAnsi" w:hAnsiTheme="minorHAnsi"/>
        </w:rPr>
      </w:pPr>
      <w:r w:rsidRPr="00971782">
        <w:rPr>
          <w:rFonts w:asciiTheme="minorHAnsi" w:hAnsiTheme="minorHAnsi"/>
        </w:rPr>
        <w:t>The Review Panel does not accept that because funding has not been requested or allocated at this stage, it infers that public transport works will not proceed.  State funding for these works is required, and without a detailed design and clear scope of works for the various public transport elements, determining the appropriate level of funding is not possible.</w:t>
      </w:r>
    </w:p>
    <w:p w:rsidR="00A6554F" w:rsidRDefault="00A6554F" w:rsidP="00A6554F">
      <w:pPr>
        <w:pStyle w:val="PPVBody"/>
      </w:pPr>
      <w:r>
        <w:t xml:space="preserve">The reluctance of TfV to share information with the Review Panel </w:t>
      </w:r>
      <w:r w:rsidR="001601F7">
        <w:t xml:space="preserve">and the community </w:t>
      </w:r>
      <w:r>
        <w:t>was unhelpful, particularly for the proposed tram routes.  The Jacobs report(s) provided to the Review Panel showed some plans, but with details on the northern tram route alignment(s) heavily redacted.</w:t>
      </w:r>
    </w:p>
    <w:p w:rsidR="00B40278" w:rsidRDefault="00A6554F" w:rsidP="00A6554F">
      <w:pPr>
        <w:pStyle w:val="PPVBody"/>
      </w:pPr>
      <w:r>
        <w:rPr>
          <w:rFonts w:asciiTheme="minorHAnsi" w:hAnsiTheme="minorHAnsi"/>
        </w:rPr>
        <w:t>Nevertheless, t</w:t>
      </w:r>
      <w:r w:rsidRPr="001A5A83">
        <w:rPr>
          <w:rFonts w:asciiTheme="minorHAnsi" w:hAnsiTheme="minorHAnsi"/>
        </w:rPr>
        <w:t xml:space="preserve">he Review Panel acknowledges that TfV </w:t>
      </w:r>
      <w:r w:rsidR="00AE7DBC">
        <w:rPr>
          <w:rFonts w:asciiTheme="minorHAnsi" w:hAnsiTheme="minorHAnsi"/>
        </w:rPr>
        <w:t>is</w:t>
      </w:r>
      <w:r w:rsidRPr="001A5A83">
        <w:rPr>
          <w:rFonts w:asciiTheme="minorHAnsi" w:hAnsiTheme="minorHAnsi"/>
        </w:rPr>
        <w:t xml:space="preserve"> not ready to confirm </w:t>
      </w:r>
      <w:r>
        <w:rPr>
          <w:rFonts w:asciiTheme="minorHAnsi" w:hAnsiTheme="minorHAnsi"/>
        </w:rPr>
        <w:t xml:space="preserve">the </w:t>
      </w:r>
      <w:r w:rsidRPr="001A5A83">
        <w:rPr>
          <w:rFonts w:asciiTheme="minorHAnsi" w:hAnsiTheme="minorHAnsi"/>
        </w:rPr>
        <w:t xml:space="preserve">amount of private property </w:t>
      </w:r>
      <w:r>
        <w:rPr>
          <w:rFonts w:asciiTheme="minorHAnsi" w:hAnsiTheme="minorHAnsi"/>
        </w:rPr>
        <w:t xml:space="preserve">that </w:t>
      </w:r>
      <w:r w:rsidRPr="001A5A83">
        <w:rPr>
          <w:rFonts w:asciiTheme="minorHAnsi" w:hAnsiTheme="minorHAnsi"/>
        </w:rPr>
        <w:t>will need to be acquired</w:t>
      </w:r>
      <w:r>
        <w:rPr>
          <w:rFonts w:asciiTheme="minorHAnsi" w:hAnsiTheme="minorHAnsi"/>
        </w:rPr>
        <w:t xml:space="preserve">.  The Review Panel does not consider that it is appropriate to apply a PAO to the proposed alignments until more certainty is available as to </w:t>
      </w:r>
      <w:r>
        <w:rPr>
          <w:rFonts w:asciiTheme="minorHAnsi" w:hAnsiTheme="minorHAnsi"/>
        </w:rPr>
        <w:lastRenderedPageBreak/>
        <w:t xml:space="preserve">the final route.  This </w:t>
      </w:r>
      <w:r w:rsidRPr="001A5A83">
        <w:rPr>
          <w:rFonts w:asciiTheme="minorHAnsi" w:hAnsiTheme="minorHAnsi"/>
        </w:rPr>
        <w:t xml:space="preserve">work should be progressed </w:t>
      </w:r>
      <w:r>
        <w:rPr>
          <w:rFonts w:asciiTheme="minorHAnsi" w:hAnsiTheme="minorHAnsi"/>
        </w:rPr>
        <w:t>expeditiously.</w:t>
      </w:r>
      <w:r w:rsidRPr="001A5A83">
        <w:rPr>
          <w:rFonts w:asciiTheme="minorHAnsi" w:hAnsiTheme="minorHAnsi"/>
        </w:rPr>
        <w:t xml:space="preserve">  </w:t>
      </w:r>
      <w:r>
        <w:t>Only then will TfV be in a position to confirm the extent of private property acquisition.  It was noted that traditionally TfV uses a PAO to ensure the land required can be secured, however</w:t>
      </w:r>
      <w:r w:rsidR="00A90D8B">
        <w:t>,</w:t>
      </w:r>
      <w:r>
        <w:t xml:space="preserve"> the ultimate method of reservation and funding will be determined by </w:t>
      </w:r>
      <w:r w:rsidR="0079402A">
        <w:t>g</w:t>
      </w:r>
      <w:r>
        <w:t>overnment.</w:t>
      </w:r>
    </w:p>
    <w:p w:rsidR="00A6554F" w:rsidRDefault="00A6554F" w:rsidP="00A6554F">
      <w:pPr>
        <w:pStyle w:val="PPVBody"/>
        <w:rPr>
          <w:rFonts w:asciiTheme="minorHAnsi" w:hAnsiTheme="minorHAnsi"/>
        </w:rPr>
      </w:pPr>
      <w:r>
        <w:t xml:space="preserve">It appears that background modelling and investigations of several tram route options has led to the preferred or ‘feasible’ routes being identified and shown in Figure 5 of the draft Framework.  </w:t>
      </w:r>
      <w:r>
        <w:rPr>
          <w:rFonts w:asciiTheme="minorHAnsi" w:hAnsiTheme="minorHAnsi"/>
        </w:rPr>
        <w:t xml:space="preserve">To maintain consistency with the draft Framework, and to protect these possible future alignments, they should be mapped in the CCZ and DDO maps, and indicated </w:t>
      </w:r>
      <w:r w:rsidRPr="00971782">
        <w:rPr>
          <w:rFonts w:asciiTheme="minorHAnsi" w:hAnsiTheme="minorHAnsi"/>
        </w:rPr>
        <w:t>as ‘proposed tram</w:t>
      </w:r>
      <w:r>
        <w:rPr>
          <w:rFonts w:asciiTheme="minorHAnsi" w:hAnsiTheme="minorHAnsi"/>
        </w:rPr>
        <w:t xml:space="preserve"> [train] alignment subject to final planning by TfV’ or similar wording.</w:t>
      </w:r>
    </w:p>
    <w:p w:rsidR="00A6554F" w:rsidRPr="000E2B2A" w:rsidRDefault="00A6554F" w:rsidP="00FC14F6">
      <w:pPr>
        <w:pStyle w:val="Heading5"/>
      </w:pPr>
      <w:r w:rsidRPr="000E2B2A">
        <w:t>Yarra River tram bridge</w:t>
      </w:r>
    </w:p>
    <w:p w:rsidR="00A6554F" w:rsidRDefault="00A6554F" w:rsidP="00A6554F">
      <w:pPr>
        <w:pStyle w:val="PPVBody"/>
      </w:pPr>
      <w:r>
        <w:t>The Review Panel accepts, like several other infrastructure elements, more time is required to finalise the river crossing and in particular its impact on private property.  The Review Panel acknowledges that this provides little comfort to property owners or the broader community.</w:t>
      </w:r>
    </w:p>
    <w:p w:rsidR="00A6554F" w:rsidRDefault="00A6554F" w:rsidP="00A6554F">
      <w:pPr>
        <w:pStyle w:val="PPVBody"/>
      </w:pPr>
      <w:r>
        <w:t>The draft Framework clearly shows the preferred location of the tram river crossing extending from Collins Street.  The Review Panel accepts that providing public transport infrastructure requires detailed planning and assessment, design and business case development.  No doubt, this task would most likely be an iterative process, taking some time to complete.</w:t>
      </w:r>
    </w:p>
    <w:p w:rsidR="00A6554F" w:rsidRDefault="00A6554F" w:rsidP="00A6554F">
      <w:pPr>
        <w:pStyle w:val="PPVBody"/>
      </w:pPr>
      <w:r>
        <w:t>The Review Panel accepts that some in the community, particularly those in and around Yarra’s Edge and the marina, will be unhappy with a new bridge across the Yarra River in this location.  This should be balanced against the broader community benefits that will be realised, including the benefits for the overall redevelopment of Fishermans Bend and the need to provide tram and additional walking and cycling facilities across the Yarra River.  A net community benefit analysis will need to be undertaken prior to the final crossing being determined, and</w:t>
      </w:r>
      <w:r w:rsidRPr="000B6645">
        <w:t xml:space="preserve"> </w:t>
      </w:r>
      <w:r>
        <w:t>further consultation with all stakeholders will be essential.</w:t>
      </w:r>
    </w:p>
    <w:p w:rsidR="00A6554F" w:rsidRDefault="00A6554F" w:rsidP="00A6554F">
      <w:pPr>
        <w:pStyle w:val="PPVBody"/>
      </w:pPr>
      <w:r>
        <w:t>The Review Panel appreciates Mr Sutherland’s submissions about the immersed tube option, but notes that alternative options for the tram routes to cross the river are outside the Review Panel’s Terms of Reference.</w:t>
      </w:r>
      <w:r w:rsidR="001601F7">
        <w:t xml:space="preserve">  </w:t>
      </w:r>
      <w:r>
        <w:t>Moving forward, further consultation with all stakeholders will be essential.</w:t>
      </w:r>
    </w:p>
    <w:p w:rsidR="00A6554F" w:rsidRPr="00A90F8A" w:rsidRDefault="00A6554F" w:rsidP="00A6554F">
      <w:pPr>
        <w:pStyle w:val="Heading4"/>
        <w:rPr>
          <w:rFonts w:asciiTheme="minorHAnsi" w:hAnsiTheme="minorHAnsi"/>
        </w:rPr>
      </w:pPr>
      <w:r w:rsidRPr="00A90F8A">
        <w:rPr>
          <w:rFonts w:asciiTheme="minorHAnsi" w:hAnsiTheme="minorHAnsi"/>
        </w:rPr>
        <w:t>Findings</w:t>
      </w:r>
    </w:p>
    <w:p w:rsidR="00A6554F" w:rsidRDefault="00A6554F" w:rsidP="00A6554F">
      <w:pPr>
        <w:pStyle w:val="PPVBody"/>
        <w:rPr>
          <w:rFonts w:asciiTheme="minorHAnsi" w:hAnsiTheme="minorHAnsi"/>
        </w:rPr>
      </w:pPr>
      <w:r>
        <w:rPr>
          <w:rFonts w:asciiTheme="minorHAnsi" w:hAnsiTheme="minorHAnsi"/>
        </w:rPr>
        <w:t>The Review Panel finds:</w:t>
      </w:r>
    </w:p>
    <w:p w:rsidR="00A6554F" w:rsidRDefault="00A6554F" w:rsidP="00A6554F">
      <w:pPr>
        <w:pStyle w:val="PPVBullet1"/>
      </w:pPr>
      <w:r>
        <w:t>the proposed public transport facilities are generally satisfactory and appropriate subject to further transport modelling</w:t>
      </w:r>
    </w:p>
    <w:p w:rsidR="00785416" w:rsidRDefault="00A6554F" w:rsidP="00A6554F">
      <w:pPr>
        <w:pStyle w:val="PPVBullet1"/>
        <w:rPr>
          <w:rFonts w:asciiTheme="minorHAnsi" w:hAnsiTheme="minorHAnsi"/>
        </w:rPr>
      </w:pPr>
      <w:r>
        <w:t xml:space="preserve">the proposed public transport </w:t>
      </w:r>
      <w:r>
        <w:rPr>
          <w:rFonts w:asciiTheme="minorHAnsi" w:hAnsiTheme="minorHAnsi"/>
        </w:rPr>
        <w:t xml:space="preserve">alignments should be mapped in the CCZ and DDO maps, and indicated as </w:t>
      </w:r>
      <w:r w:rsidR="00C1231F">
        <w:rPr>
          <w:rFonts w:asciiTheme="minorHAnsi" w:hAnsiTheme="minorHAnsi"/>
        </w:rPr>
        <w:t>proposed</w:t>
      </w:r>
    </w:p>
    <w:p w:rsidR="00344765" w:rsidRPr="00296F3C" w:rsidRDefault="00344765" w:rsidP="00344765">
      <w:pPr>
        <w:pStyle w:val="PPVBullet1"/>
      </w:pPr>
      <w:r>
        <w:rPr>
          <w:rFonts w:asciiTheme="minorHAnsi" w:hAnsiTheme="minorHAnsi"/>
        </w:rPr>
        <w:t>it is premature to apply PAOs to the future public transport alignments, until there is more certainty to final routes</w:t>
      </w:r>
    </w:p>
    <w:p w:rsidR="00344765" w:rsidRDefault="00344765" w:rsidP="00344765">
      <w:pPr>
        <w:pStyle w:val="PPVBullet1"/>
        <w:rPr>
          <w:rFonts w:asciiTheme="minorHAnsi" w:hAnsiTheme="minorHAnsi"/>
        </w:rPr>
      </w:pPr>
      <w:r>
        <w:t xml:space="preserve">while it is </w:t>
      </w:r>
      <w:r w:rsidRPr="00344765">
        <w:t>not</w:t>
      </w:r>
      <w:r>
        <w:t xml:space="preserve"> able to endorse the location of any Yarra River tram crossing, the finalisation of the location and a commitment to build as soon as is practically possible is urged to ‘kick start’ the intensive urban renewal process.</w:t>
      </w:r>
    </w:p>
    <w:p w:rsidR="00A6554F" w:rsidRPr="001C078B" w:rsidRDefault="00A6554F" w:rsidP="00A6554F">
      <w:pPr>
        <w:pStyle w:val="PPVBody"/>
        <w:rPr>
          <w:b/>
        </w:rPr>
      </w:pPr>
      <w:r>
        <w:rPr>
          <w:b/>
        </w:rPr>
        <w:lastRenderedPageBreak/>
        <w:t>In accordance with the primary recommendation of the Review Panel to progress Amendment GC81</w:t>
      </w:r>
      <w:r w:rsidRPr="001C078B">
        <w:rPr>
          <w:b/>
        </w:rPr>
        <w:t>, the following key changes have been included in the amended Capital City Zone:</w:t>
      </w:r>
    </w:p>
    <w:p w:rsidR="00A6554F" w:rsidRDefault="00A6554F" w:rsidP="00A6554F">
      <w:pPr>
        <w:pStyle w:val="PPVRecommendationDrafting"/>
      </w:pPr>
      <w:r w:rsidRPr="001C078B">
        <w:t>In</w:t>
      </w:r>
      <w:r>
        <w:t xml:space="preserve">clude a Map that clearly shows the </w:t>
      </w:r>
      <w:r w:rsidR="00971782">
        <w:t>proposed</w:t>
      </w:r>
      <w:r>
        <w:t xml:space="preserve"> routes of the Metro Rail, the tram and the elevated freight alignments.</w:t>
      </w:r>
    </w:p>
    <w:p w:rsidR="008D421B" w:rsidRPr="001C078B" w:rsidRDefault="008D421B" w:rsidP="008D421B">
      <w:pPr>
        <w:pStyle w:val="PPVRecommendationDrafting"/>
      </w:pPr>
      <w:r>
        <w:rPr>
          <w:rFonts w:eastAsiaTheme="minorEastAsia"/>
        </w:rPr>
        <w:t>U</w:t>
      </w:r>
      <w:r w:rsidRPr="00FE2D04">
        <w:rPr>
          <w:rFonts w:eastAsiaTheme="minorEastAsia"/>
        </w:rPr>
        <w:t xml:space="preserve">pdate Clause </w:t>
      </w:r>
      <w:r>
        <w:rPr>
          <w:rFonts w:eastAsiaTheme="minorEastAsia"/>
        </w:rPr>
        <w:t xml:space="preserve">66.06 so that </w:t>
      </w:r>
      <w:r>
        <w:t>notice of an application for permits within 50 metres of the proposed Metro alignment, possible tram routes, proposed bus routes and possible elevated freight routes must be given to Transport for Victoria.</w:t>
      </w:r>
    </w:p>
    <w:p w:rsidR="00011BCC" w:rsidRDefault="001601F7" w:rsidP="00011BCC">
      <w:pPr>
        <w:pStyle w:val="PPVBody"/>
      </w:pPr>
      <w:r>
        <w:t>(Note: the e</w:t>
      </w:r>
      <w:r w:rsidR="00011BCC">
        <w:t>levated freight alignment is discussed in Chapter 10.</w:t>
      </w:r>
      <w:r w:rsidR="002D10FF">
        <w:t>6</w:t>
      </w:r>
      <w:r w:rsidR="00011BCC">
        <w:t>)</w:t>
      </w:r>
    </w:p>
    <w:p w:rsidR="00496947" w:rsidRPr="00A90F8A" w:rsidRDefault="00496947" w:rsidP="00DD6314">
      <w:pPr>
        <w:pStyle w:val="Heading2"/>
      </w:pPr>
      <w:bookmarkStart w:id="424" w:name="_Toc517463799"/>
      <w:bookmarkStart w:id="425" w:name="_Toc519710296"/>
      <w:bookmarkStart w:id="426" w:name="_Toc519766856"/>
      <w:r>
        <w:t>Roads and laneways</w:t>
      </w:r>
      <w:bookmarkEnd w:id="424"/>
      <w:bookmarkEnd w:id="425"/>
      <w:bookmarkEnd w:id="426"/>
    </w:p>
    <w:p w:rsidR="00496947" w:rsidRPr="00A90F8A" w:rsidRDefault="00496947" w:rsidP="00496947">
      <w:pPr>
        <w:pStyle w:val="Heading4"/>
        <w:rPr>
          <w:rFonts w:asciiTheme="minorHAnsi" w:hAnsiTheme="minorHAnsi"/>
        </w:rPr>
      </w:pPr>
      <w:r w:rsidRPr="00A90F8A">
        <w:rPr>
          <w:rFonts w:asciiTheme="minorHAnsi" w:hAnsiTheme="minorHAnsi"/>
        </w:rPr>
        <w:t>Context</w:t>
      </w:r>
    </w:p>
    <w:p w:rsidR="000E2B2A" w:rsidRDefault="000E2B2A" w:rsidP="000E2B2A">
      <w:pPr>
        <w:pStyle w:val="PPVBody"/>
        <w:rPr>
          <w:rFonts w:asciiTheme="minorHAnsi" w:hAnsiTheme="minorHAnsi"/>
        </w:rPr>
      </w:pPr>
      <w:r>
        <w:rPr>
          <w:rFonts w:asciiTheme="minorHAnsi" w:hAnsiTheme="minorHAnsi"/>
        </w:rPr>
        <w:t>The draft Framework proposes a fine grained network of roads and laneways (existing and proposed) to break up larger allotments, providing greater permeability, particularly for walking.  The proposed network also included a series of road closures, principally to increase open space.  While there was general support for a fine grained network, many submitters opposed particular locations of roads and laneways, and argued that flexibility was required, particularly in the position and alignment of laneways.</w:t>
      </w:r>
    </w:p>
    <w:p w:rsidR="00B40278" w:rsidRDefault="000E2B2A" w:rsidP="000E2B2A">
      <w:pPr>
        <w:pStyle w:val="PPVBody"/>
        <w:rPr>
          <w:rFonts w:asciiTheme="minorHAnsi" w:hAnsiTheme="minorHAnsi"/>
        </w:rPr>
      </w:pPr>
      <w:r w:rsidRPr="0093559C">
        <w:rPr>
          <w:rFonts w:asciiTheme="minorHAnsi" w:hAnsiTheme="minorHAnsi"/>
        </w:rPr>
        <w:t xml:space="preserve">Further discussion on site specific road and laneway issues </w:t>
      </w:r>
      <w:r w:rsidR="00C1231F">
        <w:rPr>
          <w:rFonts w:asciiTheme="minorHAnsi" w:hAnsiTheme="minorHAnsi"/>
        </w:rPr>
        <w:t xml:space="preserve">is undertaken </w:t>
      </w:r>
      <w:r w:rsidRPr="0093559C">
        <w:rPr>
          <w:rFonts w:asciiTheme="minorHAnsi" w:hAnsiTheme="minorHAnsi"/>
        </w:rPr>
        <w:t xml:space="preserve">in each </w:t>
      </w:r>
      <w:r>
        <w:rPr>
          <w:rFonts w:asciiTheme="minorHAnsi" w:hAnsiTheme="minorHAnsi"/>
        </w:rPr>
        <w:t>P</w:t>
      </w:r>
      <w:r w:rsidRPr="0093559C">
        <w:rPr>
          <w:rFonts w:asciiTheme="minorHAnsi" w:hAnsiTheme="minorHAnsi"/>
        </w:rPr>
        <w:t xml:space="preserve">recinct </w:t>
      </w:r>
      <w:r w:rsidR="00827876">
        <w:rPr>
          <w:rFonts w:asciiTheme="minorHAnsi" w:hAnsiTheme="minorHAnsi"/>
        </w:rPr>
        <w:t>R</w:t>
      </w:r>
      <w:r w:rsidRPr="0093559C">
        <w:rPr>
          <w:rFonts w:asciiTheme="minorHAnsi" w:hAnsiTheme="minorHAnsi"/>
        </w:rPr>
        <w:t>eport</w:t>
      </w:r>
      <w:r>
        <w:rPr>
          <w:rFonts w:asciiTheme="minorHAnsi" w:hAnsiTheme="minorHAnsi"/>
        </w:rPr>
        <w:t>.</w:t>
      </w:r>
    </w:p>
    <w:p w:rsidR="000E2B2A" w:rsidRPr="00A90F8A" w:rsidRDefault="000E2B2A" w:rsidP="000E2B2A">
      <w:pPr>
        <w:pStyle w:val="Heading4"/>
        <w:rPr>
          <w:rFonts w:asciiTheme="minorHAnsi" w:hAnsiTheme="minorHAnsi"/>
        </w:rPr>
      </w:pPr>
      <w:r w:rsidRPr="00A90F8A">
        <w:rPr>
          <w:rFonts w:asciiTheme="minorHAnsi" w:hAnsiTheme="minorHAnsi"/>
        </w:rPr>
        <w:t>Submissions and evidence</w:t>
      </w:r>
    </w:p>
    <w:p w:rsidR="000E2B2A" w:rsidRDefault="000E2B2A" w:rsidP="000E2B2A">
      <w:pPr>
        <w:pStyle w:val="PPVBody"/>
        <w:rPr>
          <w:rFonts w:asciiTheme="minorHAnsi" w:hAnsiTheme="minorHAnsi"/>
        </w:rPr>
      </w:pPr>
      <w:r>
        <w:rPr>
          <w:rFonts w:asciiTheme="minorHAnsi" w:hAnsiTheme="minorHAnsi"/>
        </w:rPr>
        <w:t xml:space="preserve">The Minister submitted that to achieve a fine grain and permeable network, new streets, laneways and pedestrian connections should be </w:t>
      </w:r>
      <w:r>
        <w:t>no more than</w:t>
      </w:r>
      <w:r>
        <w:rPr>
          <w:rFonts w:asciiTheme="minorHAnsi" w:hAnsiTheme="minorHAnsi"/>
        </w:rPr>
        <w:t>:</w:t>
      </w:r>
    </w:p>
    <w:p w:rsidR="000E2B2A" w:rsidRDefault="000E2B2A" w:rsidP="000E2B2A">
      <w:pPr>
        <w:pStyle w:val="PPVBullet1"/>
      </w:pPr>
      <w:r>
        <w:t>100 metres apart in non-core areas</w:t>
      </w:r>
    </w:p>
    <w:p w:rsidR="000E2B2A" w:rsidRDefault="000E2B2A" w:rsidP="000E2B2A">
      <w:pPr>
        <w:pStyle w:val="PPVBullet1"/>
      </w:pPr>
      <w:r>
        <w:t>50 metres apart in core areas</w:t>
      </w:r>
    </w:p>
    <w:p w:rsidR="000E2B2A" w:rsidRDefault="000E2B2A" w:rsidP="000E2B2A">
      <w:pPr>
        <w:pStyle w:val="PPVBullet1"/>
      </w:pPr>
      <w:r>
        <w:t>50 metres within 200 metres of public transport routes.</w:t>
      </w:r>
      <w:r>
        <w:rPr>
          <w:rStyle w:val="FootnoteReference"/>
        </w:rPr>
        <w:footnoteReference w:id="109"/>
      </w:r>
    </w:p>
    <w:p w:rsidR="000E2B2A" w:rsidRDefault="000E2B2A" w:rsidP="000E2B2A">
      <w:pPr>
        <w:pStyle w:val="PPVBody"/>
      </w:pPr>
      <w:r>
        <w:t xml:space="preserve">He submitted that the </w:t>
      </w:r>
      <w:r w:rsidR="00FC563B">
        <w:t>Precinct Plans</w:t>
      </w:r>
      <w:r>
        <w:t xml:space="preserve"> should finalise the hierarchy of streets to be protected from vehicle access, with public transport as the highest priority, then walking and cycling followed by active frontages as the lowest priority.</w:t>
      </w:r>
    </w:p>
    <w:p w:rsidR="000E2B2A" w:rsidRDefault="000E2B2A" w:rsidP="000E2B2A">
      <w:pPr>
        <w:pStyle w:val="PPVBody"/>
        <w:rPr>
          <w:rFonts w:asciiTheme="minorHAnsi" w:hAnsiTheme="minorHAnsi"/>
        </w:rPr>
      </w:pPr>
      <w:r>
        <w:rPr>
          <w:rFonts w:asciiTheme="minorHAnsi" w:hAnsiTheme="minorHAnsi"/>
        </w:rPr>
        <w:t xml:space="preserve">Melbourne acknowledged the network of streets and laneways </w:t>
      </w:r>
      <w:r w:rsidR="00C1231F">
        <w:rPr>
          <w:rFonts w:asciiTheme="minorHAnsi" w:hAnsiTheme="minorHAnsi"/>
        </w:rPr>
        <w:t>is</w:t>
      </w:r>
      <w:r>
        <w:rPr>
          <w:rFonts w:asciiTheme="minorHAnsi" w:hAnsiTheme="minorHAnsi"/>
        </w:rPr>
        <w:t xml:space="preserve"> critical to achieving a highly permeable urban structure, and agreed that there should be some flexibility in the location of laneways.  It endorsed the proposed road and laneway network shown in the draft Framework, and suggested it be included in the planning scheme.</w:t>
      </w:r>
    </w:p>
    <w:p w:rsidR="000E2B2A" w:rsidRDefault="000E2B2A" w:rsidP="000E2B2A">
      <w:pPr>
        <w:pStyle w:val="PPVBody"/>
      </w:pPr>
      <w:r>
        <w:rPr>
          <w:rFonts w:asciiTheme="minorHAnsi" w:hAnsiTheme="minorHAnsi"/>
        </w:rPr>
        <w:t xml:space="preserve">Port Phillip (D109a) generally supported the street network but submitted that certain changes should be made, as shown </w:t>
      </w:r>
      <w:r>
        <w:t>in</w:t>
      </w:r>
      <w:r w:rsidR="000E0848">
        <w:t xml:space="preserve"> </w:t>
      </w:r>
      <w:r w:rsidR="000E0848">
        <w:fldChar w:fldCharType="begin"/>
      </w:r>
      <w:r w:rsidR="000E0848">
        <w:instrText xml:space="preserve"> REF _Ref519718986 \h </w:instrText>
      </w:r>
      <w:r w:rsidR="000E0848">
        <w:fldChar w:fldCharType="separate"/>
      </w:r>
      <w:r w:rsidR="00A307EC">
        <w:t xml:space="preserve">Figure </w:t>
      </w:r>
      <w:r w:rsidR="00A307EC">
        <w:rPr>
          <w:noProof/>
        </w:rPr>
        <w:t>11</w:t>
      </w:r>
      <w:r w:rsidR="000E0848">
        <w:fldChar w:fldCharType="end"/>
      </w:r>
      <w:r>
        <w:t>.</w:t>
      </w:r>
    </w:p>
    <w:p w:rsidR="000E2B2A" w:rsidRDefault="000E2B2A" w:rsidP="000E2B2A">
      <w:pPr>
        <w:pStyle w:val="Caption"/>
      </w:pPr>
      <w:bookmarkStart w:id="427" w:name="_Ref519718986"/>
      <w:bookmarkStart w:id="428" w:name="_Toc519270782"/>
      <w:bookmarkStart w:id="429" w:name="_Toc519719114"/>
      <w:bookmarkStart w:id="430" w:name="_Toc519710382"/>
      <w:r>
        <w:lastRenderedPageBreak/>
        <w:t xml:space="preserve">Figure </w:t>
      </w:r>
      <w:r>
        <w:rPr>
          <w:noProof/>
        </w:rPr>
        <w:fldChar w:fldCharType="begin"/>
      </w:r>
      <w:r>
        <w:rPr>
          <w:noProof/>
        </w:rPr>
        <w:instrText xml:space="preserve"> SEQ Figure \* ARABIC </w:instrText>
      </w:r>
      <w:r>
        <w:rPr>
          <w:noProof/>
        </w:rPr>
        <w:fldChar w:fldCharType="separate"/>
      </w:r>
      <w:r w:rsidR="00A307EC">
        <w:rPr>
          <w:noProof/>
        </w:rPr>
        <w:t>11</w:t>
      </w:r>
      <w:r>
        <w:rPr>
          <w:noProof/>
        </w:rPr>
        <w:fldChar w:fldCharType="end"/>
      </w:r>
      <w:bookmarkEnd w:id="427"/>
      <w:r>
        <w:rPr>
          <w:noProof/>
        </w:rPr>
        <w:t>:</w:t>
      </w:r>
      <w:r>
        <w:tab/>
        <w:t>Proposed road network changes (Port Phillip)</w:t>
      </w:r>
      <w:bookmarkEnd w:id="428"/>
      <w:bookmarkEnd w:id="429"/>
      <w:bookmarkEnd w:id="430"/>
    </w:p>
    <w:p w:rsidR="000E2B2A" w:rsidRDefault="000E2B2A" w:rsidP="000E2B2A">
      <w:pPr>
        <w:pStyle w:val="PPVBullet1"/>
        <w:numPr>
          <w:ilvl w:val="0"/>
          <w:numId w:val="0"/>
        </w:numPr>
        <w:ind w:left="851"/>
      </w:pPr>
      <w:r>
        <w:rPr>
          <w:noProof/>
        </w:rPr>
        <w:drawing>
          <wp:inline distT="0" distB="0" distL="0" distR="0" wp14:anchorId="2009EC00" wp14:editId="37AF7C24">
            <wp:extent cx="3575713" cy="2051995"/>
            <wp:effectExtent l="0" t="0" r="5715"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592313" cy="2061521"/>
                    </a:xfrm>
                    <a:prstGeom prst="rect">
                      <a:avLst/>
                    </a:prstGeom>
                  </pic:spPr>
                </pic:pic>
              </a:graphicData>
            </a:graphic>
          </wp:inline>
        </w:drawing>
      </w:r>
    </w:p>
    <w:p w:rsidR="000E2B2A" w:rsidRDefault="000E2B2A" w:rsidP="000E2B2A">
      <w:pPr>
        <w:pStyle w:val="PPVBody"/>
        <w:rPr>
          <w:rFonts w:asciiTheme="minorHAnsi" w:hAnsiTheme="minorHAnsi"/>
        </w:rPr>
      </w:pPr>
      <w:r>
        <w:rPr>
          <w:rFonts w:asciiTheme="minorHAnsi" w:hAnsiTheme="minorHAnsi"/>
        </w:rPr>
        <w:t>Port Phillip submitted that laneways should be included in the relevant maps and identified as indicative</w:t>
      </w:r>
      <w:r>
        <w:t xml:space="preserve">.  </w:t>
      </w:r>
      <w:r>
        <w:rPr>
          <w:rFonts w:asciiTheme="minorHAnsi" w:hAnsiTheme="minorHAnsi"/>
        </w:rPr>
        <w:t>Further work on the exact location, width (including widening of some existing narrow laneways), function and character was required, but could be explor</w:t>
      </w:r>
      <w:r w:rsidR="000E1FB1">
        <w:rPr>
          <w:rFonts w:asciiTheme="minorHAnsi" w:hAnsiTheme="minorHAnsi"/>
        </w:rPr>
        <w:t xml:space="preserve">ed through the </w:t>
      </w:r>
      <w:r w:rsidR="00FC563B">
        <w:rPr>
          <w:rFonts w:asciiTheme="minorHAnsi" w:hAnsiTheme="minorHAnsi"/>
        </w:rPr>
        <w:t>Precinct Plans</w:t>
      </w:r>
      <w:r>
        <w:rPr>
          <w:rFonts w:asciiTheme="minorHAnsi" w:hAnsiTheme="minorHAnsi"/>
        </w:rPr>
        <w:t xml:space="preserve">.  </w:t>
      </w:r>
      <w:r w:rsidR="000E1FB1">
        <w:rPr>
          <w:rFonts w:asciiTheme="minorHAnsi" w:hAnsiTheme="minorHAnsi"/>
        </w:rPr>
        <w:t xml:space="preserve">Port Phillip further submitted that laneway orientation should </w:t>
      </w:r>
      <w:r w:rsidR="00C1231F">
        <w:rPr>
          <w:rFonts w:asciiTheme="minorHAnsi" w:hAnsiTheme="minorHAnsi"/>
        </w:rPr>
        <w:t xml:space="preserve">be </w:t>
      </w:r>
      <w:r w:rsidR="000E1FB1">
        <w:rPr>
          <w:rFonts w:asciiTheme="minorHAnsi" w:hAnsiTheme="minorHAnsi"/>
        </w:rPr>
        <w:t>north</w:t>
      </w:r>
      <w:r w:rsidR="00165DB1">
        <w:rPr>
          <w:rFonts w:asciiTheme="minorHAnsi" w:hAnsiTheme="minorHAnsi"/>
        </w:rPr>
        <w:t>–</w:t>
      </w:r>
      <w:r w:rsidR="000E1FB1">
        <w:rPr>
          <w:rFonts w:asciiTheme="minorHAnsi" w:hAnsiTheme="minorHAnsi"/>
        </w:rPr>
        <w:t xml:space="preserve">south where possible.  </w:t>
      </w:r>
      <w:r>
        <w:rPr>
          <w:rFonts w:asciiTheme="minorHAnsi" w:hAnsiTheme="minorHAnsi"/>
        </w:rPr>
        <w:t xml:space="preserve">It noted that Mr Sheppard agreed that it was sensible to show the indicative laneway locations in the controls, subject to their refinement as part of the </w:t>
      </w:r>
      <w:r w:rsidR="00FC563B">
        <w:rPr>
          <w:rFonts w:asciiTheme="minorHAnsi" w:hAnsiTheme="minorHAnsi"/>
        </w:rPr>
        <w:t>Precinct Plans</w:t>
      </w:r>
      <w:r>
        <w:rPr>
          <w:rFonts w:asciiTheme="minorHAnsi" w:hAnsiTheme="minorHAnsi"/>
        </w:rPr>
        <w:t>.</w:t>
      </w:r>
    </w:p>
    <w:p w:rsidR="000E2B2A" w:rsidRPr="00A5678C" w:rsidRDefault="000E2B2A" w:rsidP="000E2B2A">
      <w:pPr>
        <w:pStyle w:val="PPVBody"/>
        <w:rPr>
          <w:rFonts w:asciiTheme="minorHAnsi" w:hAnsiTheme="minorHAnsi"/>
        </w:rPr>
      </w:pPr>
      <w:r>
        <w:rPr>
          <w:rFonts w:asciiTheme="minorHAnsi" w:hAnsiTheme="minorHAnsi"/>
        </w:rPr>
        <w:t>Mr Kiriakidis undertook a high level review of the road network including the road hierarchy, walking and cycling facilities, freight movement and tram routes.  He was satisfied that sufficient planning had been undertaken, noting that more detailed planning around street function and road space allocation would be undertaken as part of the Precinct planning phase.  Mr Kiriakidis’ view was that cross intersections should be signalised, and road segments should be aligned (that is,</w:t>
      </w:r>
      <w:r w:rsidRPr="00A5678C">
        <w:rPr>
          <w:rFonts w:asciiTheme="minorHAnsi" w:hAnsiTheme="minorHAnsi"/>
        </w:rPr>
        <w:t xml:space="preserve"> no staggered intersections)</w:t>
      </w:r>
      <w:r>
        <w:rPr>
          <w:rFonts w:asciiTheme="minorHAnsi" w:hAnsiTheme="minorHAnsi"/>
        </w:rPr>
        <w:t>,</w:t>
      </w:r>
      <w:r w:rsidRPr="00D5435E">
        <w:rPr>
          <w:rFonts w:asciiTheme="minorHAnsi" w:hAnsiTheme="minorHAnsi"/>
        </w:rPr>
        <w:t xml:space="preserve"> </w:t>
      </w:r>
      <w:r>
        <w:rPr>
          <w:rFonts w:asciiTheme="minorHAnsi" w:hAnsiTheme="minorHAnsi"/>
        </w:rPr>
        <w:t>particularly if on a cycling route.</w:t>
      </w:r>
    </w:p>
    <w:p w:rsidR="000E2B2A" w:rsidRDefault="000E2B2A" w:rsidP="000E2B2A">
      <w:pPr>
        <w:pStyle w:val="PPVBody"/>
        <w:rPr>
          <w:rFonts w:asciiTheme="minorHAnsi" w:hAnsiTheme="minorHAnsi"/>
        </w:rPr>
      </w:pPr>
      <w:r>
        <w:rPr>
          <w:rFonts w:asciiTheme="minorHAnsi" w:hAnsiTheme="minorHAnsi"/>
        </w:rPr>
        <w:t xml:space="preserve">Ms Dunstan </w:t>
      </w:r>
      <w:r w:rsidR="00C1231F">
        <w:rPr>
          <w:rFonts w:asciiTheme="minorHAnsi" w:hAnsiTheme="minorHAnsi"/>
        </w:rPr>
        <w:t xml:space="preserve">also </w:t>
      </w:r>
      <w:r>
        <w:rPr>
          <w:rFonts w:asciiTheme="minorHAnsi" w:hAnsiTheme="minorHAnsi"/>
        </w:rPr>
        <w:t>undertook a high level review and was generally satisfied with the underlying principles behind the road network and the proposed road layout.  She suggested that some flexibility in road alignments and locations would be appropriate, in particular, if a road was not on a continuous route or where existing uses may continue for some time, thereby compromising the timing of future development.</w:t>
      </w:r>
    </w:p>
    <w:p w:rsidR="000E2B2A" w:rsidRDefault="000E2B2A" w:rsidP="000E2B2A">
      <w:pPr>
        <w:pStyle w:val="PPVBody"/>
        <w:rPr>
          <w:rFonts w:asciiTheme="minorHAnsi" w:hAnsiTheme="minorHAnsi"/>
        </w:rPr>
      </w:pPr>
      <w:r w:rsidRPr="00A5678C">
        <w:rPr>
          <w:rFonts w:asciiTheme="minorHAnsi" w:hAnsiTheme="minorHAnsi"/>
        </w:rPr>
        <w:t xml:space="preserve">Mr Walsh was generally supportive of the proposed grid network and believed that </w:t>
      </w:r>
      <w:r>
        <w:rPr>
          <w:rFonts w:asciiTheme="minorHAnsi" w:hAnsiTheme="minorHAnsi"/>
        </w:rPr>
        <w:t>it would</w:t>
      </w:r>
      <w:r w:rsidRPr="00A5678C">
        <w:rPr>
          <w:rFonts w:asciiTheme="minorHAnsi" w:hAnsiTheme="minorHAnsi"/>
        </w:rPr>
        <w:t xml:space="preserve"> encourage a permeable and walkable network.  </w:t>
      </w:r>
      <w:r>
        <w:rPr>
          <w:rFonts w:asciiTheme="minorHAnsi" w:hAnsiTheme="minorHAnsi"/>
        </w:rPr>
        <w:t xml:space="preserve">He </w:t>
      </w:r>
      <w:r w:rsidRPr="00A5678C">
        <w:rPr>
          <w:rFonts w:asciiTheme="minorHAnsi" w:hAnsiTheme="minorHAnsi"/>
        </w:rPr>
        <w:t xml:space="preserve">noted a 100 metre spacing would provide a walkable network, as evidenced in the Hoddle Grid network. </w:t>
      </w:r>
      <w:r>
        <w:rPr>
          <w:rFonts w:asciiTheme="minorHAnsi" w:hAnsiTheme="minorHAnsi"/>
        </w:rPr>
        <w:t xml:space="preserve"> </w:t>
      </w:r>
      <w:r w:rsidRPr="00A5678C">
        <w:rPr>
          <w:rFonts w:asciiTheme="minorHAnsi" w:hAnsiTheme="minorHAnsi"/>
        </w:rPr>
        <w:t>However</w:t>
      </w:r>
      <w:r>
        <w:rPr>
          <w:rFonts w:asciiTheme="minorHAnsi" w:hAnsiTheme="minorHAnsi"/>
        </w:rPr>
        <w:t>,</w:t>
      </w:r>
      <w:r w:rsidRPr="00A5678C">
        <w:rPr>
          <w:rFonts w:asciiTheme="minorHAnsi" w:hAnsiTheme="minorHAnsi"/>
        </w:rPr>
        <w:t xml:space="preserve"> he believed that the controls were overly prescriptive regarding spacing between streets and lanes</w:t>
      </w:r>
      <w:r>
        <w:rPr>
          <w:rFonts w:asciiTheme="minorHAnsi" w:hAnsiTheme="minorHAnsi"/>
        </w:rPr>
        <w:t>,</w:t>
      </w:r>
      <w:r w:rsidRPr="00A5678C">
        <w:rPr>
          <w:rFonts w:asciiTheme="minorHAnsi" w:hAnsiTheme="minorHAnsi"/>
        </w:rPr>
        <w:t xml:space="preserve"> and believed that laneways should not be shown </w:t>
      </w:r>
      <w:r>
        <w:rPr>
          <w:rFonts w:asciiTheme="minorHAnsi" w:hAnsiTheme="minorHAnsi"/>
        </w:rPr>
        <w:t>on the CCZ and DDO maps, but rather sh</w:t>
      </w:r>
      <w:r w:rsidRPr="00A5678C">
        <w:rPr>
          <w:rFonts w:asciiTheme="minorHAnsi" w:hAnsiTheme="minorHAnsi"/>
        </w:rPr>
        <w:t xml:space="preserve">ould be considered during the </w:t>
      </w:r>
      <w:r>
        <w:rPr>
          <w:rFonts w:asciiTheme="minorHAnsi" w:hAnsiTheme="minorHAnsi"/>
        </w:rPr>
        <w:t>P</w:t>
      </w:r>
      <w:r w:rsidRPr="00A5678C">
        <w:rPr>
          <w:rFonts w:asciiTheme="minorHAnsi" w:hAnsiTheme="minorHAnsi"/>
        </w:rPr>
        <w:t>recinct plan</w:t>
      </w:r>
      <w:r>
        <w:rPr>
          <w:rFonts w:asciiTheme="minorHAnsi" w:hAnsiTheme="minorHAnsi"/>
        </w:rPr>
        <w:t>ning</w:t>
      </w:r>
      <w:r w:rsidRPr="00A5678C">
        <w:rPr>
          <w:rFonts w:asciiTheme="minorHAnsi" w:hAnsiTheme="minorHAnsi"/>
        </w:rPr>
        <w:t xml:space="preserve"> stage.</w:t>
      </w:r>
    </w:p>
    <w:p w:rsidR="000E2B2A" w:rsidRDefault="000E2B2A" w:rsidP="000E2B2A">
      <w:pPr>
        <w:pStyle w:val="PPVBody"/>
        <w:rPr>
          <w:rFonts w:asciiTheme="minorHAnsi" w:hAnsiTheme="minorHAnsi"/>
        </w:rPr>
      </w:pPr>
      <w:r>
        <w:rPr>
          <w:rFonts w:asciiTheme="minorHAnsi" w:hAnsiTheme="minorHAnsi"/>
        </w:rPr>
        <w:t>Several other drafting and map presentation issues such as showing tram routes, bicycle lanes, new bridge structures, station locations and preferred access points were proposed.</w:t>
      </w:r>
    </w:p>
    <w:p w:rsidR="000E2B2A" w:rsidRDefault="000E2B2A" w:rsidP="000E2B2A">
      <w:pPr>
        <w:pStyle w:val="PPVBody"/>
        <w:rPr>
          <w:rFonts w:asciiTheme="minorHAnsi" w:hAnsiTheme="minorHAnsi"/>
        </w:rPr>
      </w:pPr>
      <w:r>
        <w:rPr>
          <w:rFonts w:asciiTheme="minorHAnsi" w:hAnsiTheme="minorHAnsi"/>
        </w:rPr>
        <w:t xml:space="preserve">Landowners were concerned with the </w:t>
      </w:r>
      <w:r w:rsidRPr="00110144">
        <w:rPr>
          <w:rFonts w:asciiTheme="minorHAnsi" w:hAnsiTheme="minorHAnsi"/>
        </w:rPr>
        <w:t xml:space="preserve">requirement </w:t>
      </w:r>
      <w:r>
        <w:rPr>
          <w:rFonts w:asciiTheme="minorHAnsi" w:hAnsiTheme="minorHAnsi"/>
        </w:rPr>
        <w:t xml:space="preserve">in the exhibited controls </w:t>
      </w:r>
      <w:r w:rsidRPr="00110144">
        <w:rPr>
          <w:rFonts w:asciiTheme="minorHAnsi" w:hAnsiTheme="minorHAnsi"/>
        </w:rPr>
        <w:t>th</w:t>
      </w:r>
      <w:r>
        <w:rPr>
          <w:rFonts w:asciiTheme="minorHAnsi" w:hAnsiTheme="minorHAnsi"/>
        </w:rPr>
        <w:t>at any works requiring a planning permit associated with an existing use (such as providing a lunchroom in a factory) would trigger a condition for the proposed roads and laneways on that site to be provided.  The draft controls were amended to address this anomaly during the Hearing.</w:t>
      </w:r>
    </w:p>
    <w:p w:rsidR="000E2B2A" w:rsidRDefault="000E2B2A" w:rsidP="000E2B2A">
      <w:pPr>
        <w:pStyle w:val="PPVBody"/>
      </w:pPr>
      <w:r>
        <w:t xml:space="preserve">Site specific submissions are discussed in each Precinct </w:t>
      </w:r>
      <w:r w:rsidR="00827876">
        <w:t>R</w:t>
      </w:r>
      <w:r>
        <w:t>eport.</w:t>
      </w:r>
    </w:p>
    <w:p w:rsidR="000E2B2A" w:rsidRPr="00A90F8A" w:rsidRDefault="000E2B2A" w:rsidP="000E2B2A">
      <w:pPr>
        <w:pStyle w:val="Heading4"/>
      </w:pPr>
      <w:r w:rsidRPr="00A90F8A">
        <w:lastRenderedPageBreak/>
        <w:t>Discussion</w:t>
      </w:r>
    </w:p>
    <w:p w:rsidR="000E2B2A" w:rsidRDefault="000E2B2A" w:rsidP="000E2B2A">
      <w:pPr>
        <w:pStyle w:val="PPVBody"/>
        <w:rPr>
          <w:rFonts w:asciiTheme="minorHAnsi" w:hAnsiTheme="minorHAnsi"/>
        </w:rPr>
      </w:pPr>
      <w:r>
        <w:rPr>
          <w:rFonts w:asciiTheme="minorHAnsi" w:hAnsiTheme="minorHAnsi"/>
        </w:rPr>
        <w:t xml:space="preserve">The principle of providing </w:t>
      </w:r>
      <w:r w:rsidR="00C1231F">
        <w:rPr>
          <w:rFonts w:asciiTheme="minorHAnsi" w:hAnsiTheme="minorHAnsi"/>
        </w:rPr>
        <w:t xml:space="preserve">a </w:t>
      </w:r>
      <w:r>
        <w:rPr>
          <w:rFonts w:asciiTheme="minorHAnsi" w:hAnsiTheme="minorHAnsi"/>
        </w:rPr>
        <w:t>fine grained and permeable network of roads, laneways and pedestrian links has widespread support.  Relevant maps have been updated throughout the Hearing, showing the location of title boundaries and proposed roads and laneways.  Many issues related to particular classification of various roads, or minor changes to alignments or locations.  These can be adequately addressed as part of the Precinct planning phase.</w:t>
      </w:r>
    </w:p>
    <w:p w:rsidR="000E2B2A" w:rsidRDefault="000E2B2A" w:rsidP="000E2B2A">
      <w:pPr>
        <w:pStyle w:val="PPVBody"/>
        <w:rPr>
          <w:rFonts w:asciiTheme="minorHAnsi" w:hAnsiTheme="minorHAnsi"/>
        </w:rPr>
      </w:pPr>
      <w:r>
        <w:rPr>
          <w:rFonts w:asciiTheme="minorHAnsi" w:hAnsiTheme="minorHAnsi"/>
        </w:rPr>
        <w:t xml:space="preserve">The Review Panel takes a contrary view to the Minister, Councils and some experts in that laneways should only be shown at this stage if they are </w:t>
      </w:r>
      <w:r w:rsidRPr="00922DFF">
        <w:rPr>
          <w:rFonts w:asciiTheme="minorHAnsi" w:hAnsiTheme="minorHAnsi"/>
        </w:rPr>
        <w:t>essential</w:t>
      </w:r>
      <w:r>
        <w:rPr>
          <w:rFonts w:asciiTheme="minorHAnsi" w:hAnsiTheme="minorHAnsi"/>
        </w:rPr>
        <w:t xml:space="preserve"> to ensure a site is not land locked (or access is curtailed via roads designated as ‘no crossovers’ roads).  The most obvious example is </w:t>
      </w:r>
      <w:r w:rsidR="00A80B82">
        <w:t xml:space="preserve">Mr Wren’s clients at 870, 874 – 876, and 880 – </w:t>
      </w:r>
      <w:r>
        <w:t>884 Lorimer Street, Port Melbourne.  At this location, Lorimer Street is proposed to be a ‘no crossover’ street and the proposed tramline at the rear essentially land locks these properties.  In this circumstance, rear access is vital and a laneway would need to be provided.</w:t>
      </w:r>
    </w:p>
    <w:p w:rsidR="00785416" w:rsidRDefault="000E2B2A" w:rsidP="000E2B2A">
      <w:pPr>
        <w:pStyle w:val="PPVBody"/>
        <w:rPr>
          <w:rFonts w:asciiTheme="minorHAnsi" w:hAnsiTheme="minorHAnsi"/>
        </w:rPr>
      </w:pPr>
      <w:r>
        <w:rPr>
          <w:rFonts w:asciiTheme="minorHAnsi" w:hAnsiTheme="minorHAnsi"/>
        </w:rPr>
        <w:t>Laneways provide other functions besides vehicle access.  This includes permeability, urban realm, built form and street activation.  These attributes are not explicitly tied to a particular location or alignment.  In the majority of cases, flexibility should be provided to allow for innovation.  Showing indicative locations of all laneways on the maps at this stage may limit and stifle optimal outcomes.</w:t>
      </w:r>
    </w:p>
    <w:p w:rsidR="000E2B2A" w:rsidRDefault="000E2B2A" w:rsidP="000E2B2A">
      <w:pPr>
        <w:pStyle w:val="PPVBody"/>
        <w:rPr>
          <w:rFonts w:asciiTheme="minorHAnsi" w:hAnsiTheme="minorHAnsi"/>
        </w:rPr>
      </w:pPr>
      <w:r>
        <w:rPr>
          <w:rFonts w:asciiTheme="minorHAnsi" w:hAnsiTheme="minorHAnsi"/>
        </w:rPr>
        <w:t>Laneway attributes and locations should be resolved during the Precinct planning phase, however</w:t>
      </w:r>
      <w:r w:rsidR="00A90D8B">
        <w:rPr>
          <w:rFonts w:asciiTheme="minorHAnsi" w:hAnsiTheme="minorHAnsi"/>
        </w:rPr>
        <w:t>,</w:t>
      </w:r>
      <w:r>
        <w:rPr>
          <w:rFonts w:asciiTheme="minorHAnsi" w:hAnsiTheme="minorHAnsi"/>
        </w:rPr>
        <w:t xml:space="preserve"> it is appropriate to include policy requirements and design outcomes for laneways in the controls, such as spacing, enabling views, open</w:t>
      </w:r>
      <w:r w:rsidR="00C1231F">
        <w:rPr>
          <w:rFonts w:asciiTheme="minorHAnsi" w:hAnsiTheme="minorHAnsi"/>
        </w:rPr>
        <w:t>ness</w:t>
      </w:r>
      <w:r>
        <w:rPr>
          <w:rFonts w:asciiTheme="minorHAnsi" w:hAnsiTheme="minorHAnsi"/>
        </w:rPr>
        <w:t xml:space="preserve"> to the sky and active frontages in core areas, to guide the ultimate location and function of laneways.</w:t>
      </w:r>
    </w:p>
    <w:p w:rsidR="00785416" w:rsidRDefault="000E2B2A" w:rsidP="000E2B2A">
      <w:pPr>
        <w:pStyle w:val="PPVBody"/>
        <w:rPr>
          <w:rFonts w:asciiTheme="minorHAnsi" w:hAnsiTheme="minorHAnsi"/>
        </w:rPr>
      </w:pPr>
      <w:r>
        <w:rPr>
          <w:rFonts w:asciiTheme="minorHAnsi" w:hAnsiTheme="minorHAnsi"/>
        </w:rPr>
        <w:t>All roads should be shown on the relevant CCZ and DDO maps, to ensure a greater level of understanding and certainty about where these important road infrastructure assets are to be located.</w:t>
      </w:r>
    </w:p>
    <w:p w:rsidR="00785416" w:rsidRDefault="000E2B2A" w:rsidP="000E2B2A">
      <w:pPr>
        <w:pStyle w:val="Heading4"/>
        <w:rPr>
          <w:rFonts w:asciiTheme="minorHAnsi" w:hAnsiTheme="minorHAnsi"/>
        </w:rPr>
      </w:pPr>
      <w:r w:rsidRPr="00A90F8A">
        <w:rPr>
          <w:rFonts w:asciiTheme="minorHAnsi" w:hAnsiTheme="minorHAnsi"/>
        </w:rPr>
        <w:t>Findings</w:t>
      </w:r>
      <w:r>
        <w:rPr>
          <w:rFonts w:asciiTheme="minorHAnsi" w:hAnsiTheme="minorHAnsi"/>
        </w:rPr>
        <w:t xml:space="preserve"> and recommendation</w:t>
      </w:r>
    </w:p>
    <w:p w:rsidR="000E2B2A" w:rsidRDefault="000E2B2A" w:rsidP="000E2B2A">
      <w:pPr>
        <w:pStyle w:val="PPVBody"/>
      </w:pPr>
      <w:r>
        <w:t>The Review Panel finds:</w:t>
      </w:r>
    </w:p>
    <w:p w:rsidR="000E2B2A" w:rsidRDefault="000E2B2A" w:rsidP="000E2B2A">
      <w:pPr>
        <w:pStyle w:val="PPVBullet1"/>
      </w:pPr>
      <w:r>
        <w:t>the proposed fine grained road and laneway network is appropriate to create permeable and walkable precincts</w:t>
      </w:r>
    </w:p>
    <w:p w:rsidR="000E2B2A" w:rsidRDefault="00FC563B" w:rsidP="000E2B2A">
      <w:pPr>
        <w:pStyle w:val="PPVBullet1"/>
      </w:pPr>
      <w:r>
        <w:t>Precinct Plans</w:t>
      </w:r>
      <w:r w:rsidR="000E2B2A">
        <w:t xml:space="preserve"> can be used to finalise road classification, cross sectional elements, laneway locations and functions and other minor alignment issues</w:t>
      </w:r>
    </w:p>
    <w:p w:rsidR="000E2B2A" w:rsidRDefault="000E2B2A" w:rsidP="000E2B2A">
      <w:pPr>
        <w:pStyle w:val="PPVBullet1"/>
      </w:pPr>
      <w:r>
        <w:t>at this stage, only laneways essential for traffic access should be shown on the CCZ and DDO maps.</w:t>
      </w:r>
    </w:p>
    <w:p w:rsidR="000E2B2A" w:rsidRPr="001C078B" w:rsidRDefault="000E2B2A" w:rsidP="000E2B2A">
      <w:pPr>
        <w:pStyle w:val="PPVBody"/>
        <w:rPr>
          <w:b/>
        </w:rPr>
      </w:pPr>
      <w:r>
        <w:rPr>
          <w:b/>
        </w:rPr>
        <w:t>In accordance with the primary recommendation of the Review Panel to progress Amendment GC81</w:t>
      </w:r>
      <w:r w:rsidRPr="001C078B">
        <w:rPr>
          <w:b/>
        </w:rPr>
        <w:t>, the following key changes have been included in the amended Capital City Zone and Design and Development Overlays:</w:t>
      </w:r>
    </w:p>
    <w:p w:rsidR="000E2B2A" w:rsidRPr="002057A3" w:rsidRDefault="000E2B2A" w:rsidP="000E2B2A">
      <w:pPr>
        <w:pStyle w:val="PPVRecommendationDrafting"/>
      </w:pPr>
      <w:r w:rsidRPr="002057A3">
        <w:t xml:space="preserve">Show only laneways that are essential for traffic access as ‘indicative only’ on the Maps, with all other laneways to be resolved as part of the </w:t>
      </w:r>
      <w:r>
        <w:t>P</w:t>
      </w:r>
      <w:r w:rsidRPr="002057A3">
        <w:t>recinct plan</w:t>
      </w:r>
      <w:r>
        <w:t>ning</w:t>
      </w:r>
      <w:r w:rsidRPr="002057A3">
        <w:t xml:space="preserve"> phase.</w:t>
      </w:r>
    </w:p>
    <w:p w:rsidR="00C803BF" w:rsidRDefault="00C803BF">
      <w:pPr>
        <w:spacing w:before="0"/>
        <w:jc w:val="left"/>
        <w:rPr>
          <w:rFonts w:eastAsia="Dotum"/>
          <w:b/>
          <w:kern w:val="32"/>
          <w:sz w:val="28"/>
          <w:szCs w:val="28"/>
        </w:rPr>
      </w:pPr>
      <w:bookmarkStart w:id="431" w:name="_Toc519271013"/>
      <w:bookmarkStart w:id="432" w:name="_Toc519710297"/>
      <w:r>
        <w:br w:type="page"/>
      </w:r>
    </w:p>
    <w:p w:rsidR="000E2B2A" w:rsidRPr="00A90F8A" w:rsidRDefault="000E2B2A" w:rsidP="000E2B2A">
      <w:pPr>
        <w:pStyle w:val="Heading2"/>
      </w:pPr>
      <w:bookmarkStart w:id="433" w:name="_Toc519766857"/>
      <w:r>
        <w:lastRenderedPageBreak/>
        <w:t>Parking</w:t>
      </w:r>
      <w:bookmarkEnd w:id="431"/>
      <w:bookmarkEnd w:id="432"/>
      <w:bookmarkEnd w:id="433"/>
    </w:p>
    <w:p w:rsidR="000E2B2A" w:rsidRPr="00A90F8A" w:rsidRDefault="000E2B2A" w:rsidP="000E2B2A">
      <w:pPr>
        <w:pStyle w:val="Heading4"/>
        <w:rPr>
          <w:rFonts w:asciiTheme="minorHAnsi" w:hAnsiTheme="minorHAnsi"/>
        </w:rPr>
      </w:pPr>
      <w:r w:rsidRPr="00A90F8A">
        <w:rPr>
          <w:rFonts w:asciiTheme="minorHAnsi" w:hAnsiTheme="minorHAnsi"/>
        </w:rPr>
        <w:t>Context</w:t>
      </w:r>
    </w:p>
    <w:p w:rsidR="000E2B2A" w:rsidRDefault="000E2B2A" w:rsidP="000E2B2A">
      <w:pPr>
        <w:pStyle w:val="PPVBody"/>
        <w:rPr>
          <w:rFonts w:asciiTheme="minorHAnsi" w:hAnsiTheme="minorHAnsi"/>
        </w:rPr>
      </w:pPr>
      <w:r>
        <w:rPr>
          <w:rFonts w:asciiTheme="minorHAnsi" w:hAnsiTheme="minorHAnsi"/>
        </w:rPr>
        <w:t>A number of major parking themes emerged from submissions and expert evidence:</w:t>
      </w:r>
    </w:p>
    <w:p w:rsidR="000E2B2A" w:rsidRDefault="000E2B2A" w:rsidP="000E2B2A">
      <w:pPr>
        <w:pStyle w:val="PPVBullet1"/>
      </w:pPr>
      <w:r>
        <w:t>the Parking Overlay was generally confusing and complex</w:t>
      </w:r>
    </w:p>
    <w:p w:rsidR="00785416" w:rsidRDefault="000E2B2A" w:rsidP="000E2B2A">
      <w:pPr>
        <w:pStyle w:val="PPVBullet1"/>
      </w:pPr>
      <w:r>
        <w:t>maximum parking rate of 0.5 spaces per dwelling was too low</w:t>
      </w:r>
    </w:p>
    <w:p w:rsidR="000E2B2A" w:rsidRDefault="000E2B2A" w:rsidP="000E2B2A">
      <w:pPr>
        <w:pStyle w:val="PPVBullet1"/>
      </w:pPr>
      <w:r>
        <w:t>insufficient provision for parking for car share arrangements</w:t>
      </w:r>
    </w:p>
    <w:p w:rsidR="000E2B2A" w:rsidRDefault="000E2B2A" w:rsidP="000E2B2A">
      <w:pPr>
        <w:pStyle w:val="PPVBullet1"/>
      </w:pPr>
      <w:r>
        <w:t>the practi</w:t>
      </w:r>
      <w:r w:rsidR="00C1231F">
        <w:t>cality of implementing P</w:t>
      </w:r>
      <w:r>
        <w:t xml:space="preserve">recinct </w:t>
      </w:r>
      <w:r w:rsidR="00C1231F">
        <w:t xml:space="preserve">parking </w:t>
      </w:r>
      <w:r>
        <w:t>stations and adapting carparks or carparking areas within other buildings to other uses in future.</w:t>
      </w:r>
    </w:p>
    <w:p w:rsidR="000E2B2A" w:rsidRPr="00A90F8A" w:rsidRDefault="000E2B2A" w:rsidP="000E2B2A">
      <w:pPr>
        <w:pStyle w:val="Heading4"/>
        <w:rPr>
          <w:rFonts w:asciiTheme="minorHAnsi" w:hAnsiTheme="minorHAnsi"/>
        </w:rPr>
      </w:pPr>
      <w:r w:rsidRPr="00A90F8A">
        <w:rPr>
          <w:rFonts w:asciiTheme="minorHAnsi" w:hAnsiTheme="minorHAnsi"/>
        </w:rPr>
        <w:t>Submissions and evidence</w:t>
      </w:r>
    </w:p>
    <w:p w:rsidR="000E2B2A" w:rsidRDefault="000E2B2A" w:rsidP="000E2B2A">
      <w:pPr>
        <w:pStyle w:val="PPVBody"/>
      </w:pPr>
      <w:r>
        <w:rPr>
          <w:rFonts w:asciiTheme="minorHAnsi" w:hAnsiTheme="minorHAnsi"/>
        </w:rPr>
        <w:t xml:space="preserve">In the Minister’s Part B submission, he noted that many submitters believed the parking rate was too low without public transport, and would not meet purchaser expectations.  He submitted that the Parking Overlay rate is a vitally important component in a suite of provisions designed to achieve the 80 per cent sustainable transport goal.  He submitted that </w:t>
      </w:r>
      <w:r>
        <w:t xml:space="preserve">in the </w:t>
      </w:r>
      <w:r w:rsidR="00B40278">
        <w:t>short term</w:t>
      </w:r>
      <w:r>
        <w:t xml:space="preserve">, there is discretion to exceed the parking rate if, say, public transport or </w:t>
      </w:r>
      <w:r w:rsidRPr="00EF309B">
        <w:t>other sustainable transport initiatives are still some way off.  In these cases, providing adaptable car park design, in single ownership, to allow future conversion would be appropriate.</w:t>
      </w:r>
    </w:p>
    <w:p w:rsidR="00785416" w:rsidRDefault="000E2B2A" w:rsidP="000E2B2A">
      <w:pPr>
        <w:pStyle w:val="PPVBody"/>
      </w:pPr>
      <w:r>
        <w:t xml:space="preserve">The Minister noted that the draft Amendment does not specifically require or facilitate </w:t>
      </w:r>
      <w:r w:rsidR="00C1231F">
        <w:t>P</w:t>
      </w:r>
      <w:r>
        <w:t>recinct parking stations, but neither does it preclude them.</w:t>
      </w:r>
      <w:r>
        <w:rPr>
          <w:rStyle w:val="FootnoteReference"/>
        </w:rPr>
        <w:footnoteReference w:id="110"/>
      </w:r>
    </w:p>
    <w:p w:rsidR="000E2B2A" w:rsidRDefault="000E2B2A" w:rsidP="000E2B2A">
      <w:pPr>
        <w:pStyle w:val="PPVBody"/>
        <w:rPr>
          <w:rFonts w:asciiTheme="minorHAnsi" w:hAnsiTheme="minorHAnsi"/>
        </w:rPr>
      </w:pPr>
      <w:r>
        <w:rPr>
          <w:rFonts w:asciiTheme="minorHAnsi" w:hAnsiTheme="minorHAnsi"/>
        </w:rPr>
        <w:t>Mr Kiriakidis was generally comfortable with the intent of the parking controls but acknowledged that they needed reworking to improve clarity.  He regarded the proposed maximum parking rate of 0.5 space per dwelling as acceptable, as it is consistent with the sustainability vision and part of a suite of treatments to achieve those objectives.  However, he noted that the parking rates can be reviewed at any time.</w:t>
      </w:r>
    </w:p>
    <w:p w:rsidR="000E2B2A" w:rsidRDefault="000E2B2A" w:rsidP="000E2B2A">
      <w:pPr>
        <w:pStyle w:val="PPVBody"/>
      </w:pPr>
      <w:r>
        <w:rPr>
          <w:rFonts w:asciiTheme="minorHAnsi" w:hAnsiTheme="minorHAnsi"/>
        </w:rPr>
        <w:t>Melbourne supported the proposed maximum rate of 0.5 spaces per dwelling.  It submitted that all parking in Lorimer should be unbundled and publicly accessible and have floor to floor heights and level floors to enable future adaptation.  However</w:t>
      </w:r>
      <w:r w:rsidR="00A90D8B">
        <w:rPr>
          <w:rFonts w:asciiTheme="minorHAnsi" w:hAnsiTheme="minorHAnsi"/>
        </w:rPr>
        <w:t>,</w:t>
      </w:r>
      <w:r>
        <w:rPr>
          <w:rFonts w:asciiTheme="minorHAnsi" w:hAnsiTheme="minorHAnsi"/>
        </w:rPr>
        <w:t xml:space="preserve"> both Melbourne and Port Phillip </w:t>
      </w:r>
      <w:r>
        <w:t xml:space="preserve">suggested a number of significant modifications to the Parking Overlay to improve clarity and reduce </w:t>
      </w:r>
      <w:r w:rsidRPr="00EF309B">
        <w:t xml:space="preserve">potential adverse outcomes </w:t>
      </w:r>
      <w:r>
        <w:t>such as</w:t>
      </w:r>
      <w:r w:rsidRPr="00EF309B">
        <w:t xml:space="preserve"> no bicycle storage being</w:t>
      </w:r>
      <w:r>
        <w:t xml:space="preserve"> provided.</w:t>
      </w:r>
    </w:p>
    <w:p w:rsidR="000E2B2A" w:rsidRDefault="000E2B2A" w:rsidP="000E2B2A">
      <w:pPr>
        <w:pStyle w:val="PPVBody"/>
        <w:rPr>
          <w:rFonts w:asciiTheme="minorHAnsi" w:hAnsiTheme="minorHAnsi"/>
        </w:rPr>
      </w:pPr>
      <w:r>
        <w:rPr>
          <w:rFonts w:asciiTheme="minorHAnsi" w:hAnsiTheme="minorHAnsi"/>
        </w:rPr>
        <w:t>Port Phillip submitted that enhancing the uptake and utilisation of car share arrangements was important.  Based on advice fr</w:t>
      </w:r>
      <w:r w:rsidR="000E1FB1">
        <w:rPr>
          <w:rFonts w:asciiTheme="minorHAnsi" w:hAnsiTheme="minorHAnsi"/>
        </w:rPr>
        <w:t>om Phillip Boyle and Associates</w:t>
      </w:r>
      <w:r>
        <w:rPr>
          <w:rFonts w:asciiTheme="minorHAnsi" w:hAnsiTheme="minorHAnsi"/>
        </w:rPr>
        <w:t xml:space="preserve">, Port Phillip contended that an appropriate car share rate would be </w:t>
      </w:r>
      <w:r>
        <w:t xml:space="preserve">two car share bays within any development providing 50 plus car parking bays and one car share for every 25 spaces thereafter.  It </w:t>
      </w:r>
      <w:r>
        <w:rPr>
          <w:rFonts w:asciiTheme="minorHAnsi" w:hAnsiTheme="minorHAnsi"/>
        </w:rPr>
        <w:t xml:space="preserve">preferred that car share spaces </w:t>
      </w:r>
      <w:r w:rsidR="00C1231F">
        <w:rPr>
          <w:rFonts w:asciiTheme="minorHAnsi" w:hAnsiTheme="minorHAnsi"/>
        </w:rPr>
        <w:t>be</w:t>
      </w:r>
      <w:r>
        <w:rPr>
          <w:rFonts w:asciiTheme="minorHAnsi" w:hAnsiTheme="minorHAnsi"/>
        </w:rPr>
        <w:t xml:space="preserve"> located within developments, and not on-street.</w:t>
      </w:r>
    </w:p>
    <w:p w:rsidR="000E2B2A" w:rsidRDefault="000E2B2A" w:rsidP="000E2B2A">
      <w:pPr>
        <w:pStyle w:val="PPVBody"/>
        <w:rPr>
          <w:rFonts w:asciiTheme="minorHAnsi" w:hAnsiTheme="minorHAnsi"/>
        </w:rPr>
      </w:pPr>
      <w:r>
        <w:rPr>
          <w:rFonts w:asciiTheme="minorHAnsi" w:hAnsiTheme="minorHAnsi"/>
        </w:rPr>
        <w:t xml:space="preserve">The </w:t>
      </w:r>
      <w:r w:rsidRPr="006D5134">
        <w:rPr>
          <w:rFonts w:asciiTheme="minorHAnsi" w:hAnsiTheme="minorHAnsi"/>
          <w:i/>
        </w:rPr>
        <w:t>Integrated Transport Plan</w:t>
      </w:r>
      <w:r>
        <w:rPr>
          <w:rFonts w:asciiTheme="minorHAnsi" w:hAnsiTheme="minorHAnsi"/>
        </w:rPr>
        <w:t xml:space="preserve"> recommended further investigations into parking precinct stations, which was supported by Mr Kiriakidis.</w:t>
      </w:r>
    </w:p>
    <w:p w:rsidR="000E2B2A" w:rsidRDefault="000E2B2A" w:rsidP="000E2B2A">
      <w:pPr>
        <w:pStyle w:val="PPVBody"/>
      </w:pPr>
      <w:r>
        <w:t xml:space="preserve">Several submitters </w:t>
      </w:r>
      <w:r w:rsidRPr="00214748">
        <w:t xml:space="preserve">acknowledged </w:t>
      </w:r>
      <w:r>
        <w:t>the</w:t>
      </w:r>
      <w:r w:rsidRPr="00214748">
        <w:t xml:space="preserve"> need to encourage alternative travel modes to reduce private motor vehicle trips, </w:t>
      </w:r>
      <w:r>
        <w:t>however, many</w:t>
      </w:r>
      <w:r w:rsidRPr="00214748">
        <w:t xml:space="preserve"> requested more car parking be made available, </w:t>
      </w:r>
      <w:r w:rsidRPr="00214748">
        <w:lastRenderedPageBreak/>
        <w:t xml:space="preserve">as there is no direct correlation between car ownership, parking supply and traffic volumes. </w:t>
      </w:r>
      <w:r>
        <w:t xml:space="preserve"> Several s</w:t>
      </w:r>
      <w:r w:rsidRPr="00214748">
        <w:t xml:space="preserve">ubmitters suggested that the carparking rates </w:t>
      </w:r>
      <w:r>
        <w:t xml:space="preserve">need to </w:t>
      </w:r>
      <w:r w:rsidRPr="00214748">
        <w:t>be reconsidered.</w:t>
      </w:r>
    </w:p>
    <w:p w:rsidR="000E2B2A" w:rsidRDefault="000E2B2A" w:rsidP="000E2B2A">
      <w:pPr>
        <w:pStyle w:val="PPVBody"/>
        <w:rPr>
          <w:rFonts w:asciiTheme="minorHAnsi" w:hAnsiTheme="minorHAnsi"/>
        </w:rPr>
      </w:pPr>
      <w:r>
        <w:rPr>
          <w:rFonts w:asciiTheme="minorHAnsi" w:hAnsiTheme="minorHAnsi"/>
        </w:rPr>
        <w:t>Various landowners called Ms Dunstan to provide evidence regarding parking issues</w:t>
      </w:r>
      <w:r w:rsidRPr="00A5678C">
        <w:rPr>
          <w:rFonts w:asciiTheme="minorHAnsi" w:hAnsiTheme="minorHAnsi"/>
        </w:rPr>
        <w:t>.  Her opinions were generally consis</w:t>
      </w:r>
      <w:r>
        <w:rPr>
          <w:rFonts w:asciiTheme="minorHAnsi" w:hAnsiTheme="minorHAnsi"/>
        </w:rPr>
        <w:t>tent with Mr Walsh’s assessment.  Generally, they supported reduced parking rates in inner areas and activity centres, but felt the proposed maximum parking rate of 0.5 spaces per dwelling was too low in Fishermans Bend at this time, because:</w:t>
      </w:r>
    </w:p>
    <w:p w:rsidR="000E2B2A" w:rsidRDefault="000E2B2A" w:rsidP="000E2B2A">
      <w:pPr>
        <w:pStyle w:val="PPVBullet1"/>
      </w:pPr>
      <w:r>
        <w:t>it would not be consistent with other parking overlays that apply in and around Melbourne CBD</w:t>
      </w:r>
    </w:p>
    <w:p w:rsidR="000E2B2A" w:rsidRDefault="000E2B2A" w:rsidP="000E2B2A">
      <w:pPr>
        <w:pStyle w:val="PPVBullet1"/>
      </w:pPr>
      <w:r>
        <w:t>Fishermans Bend is not yet well served with public transport and there is uncertainty as to where and when services will be delivered</w:t>
      </w:r>
    </w:p>
    <w:p w:rsidR="000E2B2A" w:rsidRDefault="000E2B2A" w:rsidP="000E2B2A">
      <w:pPr>
        <w:pStyle w:val="PPVBullet1"/>
      </w:pPr>
      <w:r>
        <w:t>even with full public transport delivery, Fishermans Bend will still not match the CBD in terms of public transport accessibility</w:t>
      </w:r>
    </w:p>
    <w:p w:rsidR="000E2B2A" w:rsidRDefault="000E2B2A" w:rsidP="000E2B2A">
      <w:pPr>
        <w:pStyle w:val="PPVBullet1"/>
      </w:pPr>
      <w:r>
        <w:t xml:space="preserve">while 2016 ABS Census car ownership statistics for apartments for nearby areas show car ownership is generally significantly lower than 1.0 space per dwelling, this is not the case for larger three bedroom households (see </w:t>
      </w:r>
      <w:r w:rsidRPr="000C60A8">
        <w:fldChar w:fldCharType="begin"/>
      </w:r>
      <w:r w:rsidRPr="000C60A8">
        <w:instrText xml:space="preserve"> REF _Ref519421163 \h  \* MERGEFORMAT </w:instrText>
      </w:r>
      <w:r w:rsidRPr="000C60A8">
        <w:fldChar w:fldCharType="separate"/>
      </w:r>
      <w:r w:rsidR="00A307EC">
        <w:t xml:space="preserve">Table </w:t>
      </w:r>
      <w:r w:rsidR="00A307EC">
        <w:rPr>
          <w:noProof/>
        </w:rPr>
        <w:t>21</w:t>
      </w:r>
      <w:r w:rsidRPr="000C60A8">
        <w:fldChar w:fldCharType="end"/>
      </w:r>
      <w:r>
        <w:t>)</w:t>
      </w:r>
    </w:p>
    <w:p w:rsidR="000E2B2A" w:rsidRDefault="000E2B2A" w:rsidP="000E2B2A">
      <w:pPr>
        <w:pStyle w:val="PPVBullet1"/>
      </w:pPr>
      <w:r>
        <w:t>the 80/20 mode split is possible with 1 space per dwelling (as inner areas of Melbourne already achieve)</w:t>
      </w:r>
    </w:p>
    <w:p w:rsidR="000E2B2A" w:rsidRDefault="000E2B2A" w:rsidP="000E2B2A">
      <w:pPr>
        <w:pStyle w:val="PPVBullet1"/>
      </w:pPr>
      <w:r>
        <w:t>the controls encourage 20 to 30 per cent of housing stock for families, who generally require at least one car.</w:t>
      </w:r>
    </w:p>
    <w:p w:rsidR="000E2B2A" w:rsidRDefault="000E2B2A" w:rsidP="000E2B2A">
      <w:pPr>
        <w:pStyle w:val="Caption"/>
        <w:rPr>
          <w:noProof/>
        </w:rPr>
      </w:pPr>
      <w:bookmarkStart w:id="434" w:name="_Ref519421163"/>
      <w:bookmarkStart w:id="435" w:name="_Toc519271080"/>
      <w:bookmarkStart w:id="436" w:name="_Toc519719146"/>
      <w:bookmarkStart w:id="437" w:name="_Toc519710369"/>
      <w:r>
        <w:t xml:space="preserve">Table </w:t>
      </w:r>
      <w:r>
        <w:rPr>
          <w:noProof/>
        </w:rPr>
        <w:fldChar w:fldCharType="begin"/>
      </w:r>
      <w:r>
        <w:rPr>
          <w:noProof/>
        </w:rPr>
        <w:instrText xml:space="preserve"> SEQ Table \* ARABIC </w:instrText>
      </w:r>
      <w:r>
        <w:rPr>
          <w:noProof/>
        </w:rPr>
        <w:fldChar w:fldCharType="separate"/>
      </w:r>
      <w:r w:rsidR="00A307EC">
        <w:rPr>
          <w:noProof/>
        </w:rPr>
        <w:t>21</w:t>
      </w:r>
      <w:r>
        <w:rPr>
          <w:noProof/>
        </w:rPr>
        <w:fldChar w:fldCharType="end"/>
      </w:r>
      <w:bookmarkEnd w:id="434"/>
      <w:r>
        <w:rPr>
          <w:noProof/>
        </w:rPr>
        <w:t>:</w:t>
      </w:r>
      <w:r>
        <w:rPr>
          <w:noProof/>
        </w:rPr>
        <w:tab/>
        <w:t>Review of Car Ownership Data (Ave</w:t>
      </w:r>
      <w:r w:rsidR="00C1231F">
        <w:rPr>
          <w:noProof/>
        </w:rPr>
        <w:t xml:space="preserve">rage number of cars per </w:t>
      </w:r>
      <w:r>
        <w:rPr>
          <w:noProof/>
        </w:rPr>
        <w:t>dwelling)</w:t>
      </w:r>
      <w:bookmarkEnd w:id="435"/>
      <w:bookmarkEnd w:id="436"/>
      <w:bookmarkEnd w:id="437"/>
    </w:p>
    <w:tbl>
      <w:tblPr>
        <w:tblW w:w="5000" w:type="pct"/>
        <w:tblBorders>
          <w:bottom w:val="single" w:sz="12" w:space="0" w:color="215868"/>
          <w:insideH w:val="dotted" w:sz="4" w:space="0" w:color="auto"/>
        </w:tblBorders>
        <w:tblLayout w:type="fixed"/>
        <w:tblLook w:val="0660" w:firstRow="1" w:lastRow="1" w:firstColumn="0" w:lastColumn="0" w:noHBand="1" w:noVBand="1"/>
      </w:tblPr>
      <w:tblGrid>
        <w:gridCol w:w="1243"/>
        <w:gridCol w:w="1684"/>
        <w:gridCol w:w="1790"/>
        <w:gridCol w:w="1350"/>
        <w:gridCol w:w="1696"/>
        <w:gridCol w:w="1523"/>
      </w:tblGrid>
      <w:tr w:rsidR="000E2B2A" w:rsidRPr="00822760" w:rsidTr="000E2B2A">
        <w:trPr>
          <w:cantSplit/>
          <w:trHeight w:val="384"/>
          <w:tblHeader/>
        </w:trPr>
        <w:tc>
          <w:tcPr>
            <w:tcW w:w="669" w:type="pct"/>
            <w:tcBorders>
              <w:top w:val="nil"/>
              <w:bottom w:val="dotted" w:sz="4" w:space="0" w:color="auto"/>
            </w:tcBorders>
            <w:shd w:val="clear" w:color="auto" w:fill="215868"/>
            <w:noWrap/>
            <w:vAlign w:val="bottom"/>
          </w:tcPr>
          <w:p w:rsidR="000E2B2A" w:rsidRPr="004C08FB" w:rsidRDefault="000E2B2A" w:rsidP="000E2B2A">
            <w:pPr>
              <w:pStyle w:val="PPVTableHeader"/>
              <w:keepNext/>
            </w:pPr>
            <w:r>
              <w:t>Housing type</w:t>
            </w:r>
          </w:p>
        </w:tc>
        <w:tc>
          <w:tcPr>
            <w:tcW w:w="907" w:type="pct"/>
            <w:tcBorders>
              <w:top w:val="nil"/>
              <w:bottom w:val="dotted" w:sz="4" w:space="0" w:color="auto"/>
            </w:tcBorders>
            <w:shd w:val="clear" w:color="auto" w:fill="215868"/>
            <w:vAlign w:val="bottom"/>
          </w:tcPr>
          <w:p w:rsidR="000E2B2A" w:rsidRPr="004C08FB" w:rsidRDefault="000E2B2A" w:rsidP="000E2B2A">
            <w:pPr>
              <w:pStyle w:val="PPVTableHeader"/>
              <w:keepNext/>
            </w:pPr>
            <w:r>
              <w:t>Melbourne suburb</w:t>
            </w:r>
          </w:p>
        </w:tc>
        <w:tc>
          <w:tcPr>
            <w:tcW w:w="964" w:type="pct"/>
            <w:tcBorders>
              <w:top w:val="nil"/>
              <w:bottom w:val="dotted" w:sz="4" w:space="0" w:color="auto"/>
            </w:tcBorders>
            <w:shd w:val="clear" w:color="auto" w:fill="215868"/>
            <w:vAlign w:val="bottom"/>
          </w:tcPr>
          <w:p w:rsidR="000E2B2A" w:rsidRDefault="000E2B2A" w:rsidP="000E2B2A">
            <w:pPr>
              <w:pStyle w:val="PPVTableHeader"/>
              <w:keepNext/>
            </w:pPr>
            <w:r>
              <w:t>Docklands</w:t>
            </w:r>
          </w:p>
        </w:tc>
        <w:tc>
          <w:tcPr>
            <w:tcW w:w="727" w:type="pct"/>
            <w:tcBorders>
              <w:top w:val="nil"/>
              <w:bottom w:val="dotted" w:sz="4" w:space="0" w:color="auto"/>
            </w:tcBorders>
            <w:shd w:val="clear" w:color="auto" w:fill="215868"/>
            <w:vAlign w:val="bottom"/>
          </w:tcPr>
          <w:p w:rsidR="000E2B2A" w:rsidRDefault="000E2B2A" w:rsidP="000E2B2A">
            <w:pPr>
              <w:pStyle w:val="PPVTableHeader"/>
              <w:keepNext/>
            </w:pPr>
            <w:r>
              <w:t>Southbank</w:t>
            </w:r>
          </w:p>
        </w:tc>
        <w:tc>
          <w:tcPr>
            <w:tcW w:w="913" w:type="pct"/>
            <w:tcBorders>
              <w:top w:val="nil"/>
              <w:bottom w:val="dotted" w:sz="4" w:space="0" w:color="auto"/>
            </w:tcBorders>
            <w:shd w:val="clear" w:color="auto" w:fill="215868"/>
            <w:vAlign w:val="bottom"/>
          </w:tcPr>
          <w:p w:rsidR="000E2B2A" w:rsidRDefault="000E2B2A" w:rsidP="000E2B2A">
            <w:pPr>
              <w:pStyle w:val="PPVTableHeader"/>
              <w:keepNext/>
            </w:pPr>
            <w:r>
              <w:t>Carlton</w:t>
            </w:r>
          </w:p>
        </w:tc>
        <w:tc>
          <w:tcPr>
            <w:tcW w:w="820" w:type="pct"/>
            <w:tcBorders>
              <w:top w:val="nil"/>
              <w:bottom w:val="dotted" w:sz="4" w:space="0" w:color="auto"/>
            </w:tcBorders>
            <w:shd w:val="clear" w:color="auto" w:fill="215868"/>
            <w:vAlign w:val="bottom"/>
          </w:tcPr>
          <w:p w:rsidR="000E2B2A" w:rsidRDefault="000E2B2A" w:rsidP="000E2B2A">
            <w:pPr>
              <w:pStyle w:val="PPVTableHeader"/>
              <w:keepNext/>
            </w:pPr>
            <w:r>
              <w:t>West Melbourne</w:t>
            </w:r>
          </w:p>
        </w:tc>
      </w:tr>
      <w:tr w:rsidR="000E2B2A" w:rsidRPr="00822760" w:rsidTr="000E2B2A">
        <w:trPr>
          <w:cantSplit/>
          <w:trHeight w:val="384"/>
        </w:trPr>
        <w:tc>
          <w:tcPr>
            <w:tcW w:w="669" w:type="pct"/>
            <w:tcBorders>
              <w:top w:val="dotted" w:sz="4" w:space="0" w:color="auto"/>
            </w:tcBorders>
            <w:shd w:val="clear" w:color="auto" w:fill="215868" w:themeFill="accent5" w:themeFillShade="80"/>
            <w:noWrap/>
          </w:tcPr>
          <w:p w:rsidR="000E2B2A" w:rsidRDefault="000E2B2A" w:rsidP="000E2B2A">
            <w:pPr>
              <w:pStyle w:val="PPVTableHeader"/>
              <w:keepNext/>
            </w:pPr>
            <w:r>
              <w:t>Stat. rate</w:t>
            </w:r>
          </w:p>
        </w:tc>
        <w:tc>
          <w:tcPr>
            <w:tcW w:w="907" w:type="pct"/>
            <w:tcBorders>
              <w:top w:val="dotted" w:sz="4" w:space="0" w:color="auto"/>
            </w:tcBorders>
            <w:shd w:val="clear" w:color="auto" w:fill="215868" w:themeFill="accent5" w:themeFillShade="80"/>
          </w:tcPr>
          <w:p w:rsidR="000E2B2A" w:rsidRDefault="000E2B2A" w:rsidP="000E2B2A">
            <w:pPr>
              <w:pStyle w:val="PPVTableHeader"/>
              <w:keepNext/>
            </w:pPr>
            <w:r>
              <w:t>1/dwelling</w:t>
            </w:r>
          </w:p>
        </w:tc>
        <w:tc>
          <w:tcPr>
            <w:tcW w:w="964" w:type="pct"/>
            <w:tcBorders>
              <w:top w:val="dotted" w:sz="4" w:space="0" w:color="auto"/>
            </w:tcBorders>
            <w:shd w:val="clear" w:color="auto" w:fill="215868" w:themeFill="accent5" w:themeFillShade="80"/>
          </w:tcPr>
          <w:p w:rsidR="000E2B2A" w:rsidRDefault="000E2B2A" w:rsidP="000E2B2A">
            <w:pPr>
              <w:pStyle w:val="PPVTableHeader"/>
              <w:keepNext/>
            </w:pPr>
            <w:r>
              <w:t>1.5 – 2.0/dwelling</w:t>
            </w:r>
          </w:p>
        </w:tc>
        <w:tc>
          <w:tcPr>
            <w:tcW w:w="727" w:type="pct"/>
            <w:tcBorders>
              <w:top w:val="dotted" w:sz="4" w:space="0" w:color="auto"/>
            </w:tcBorders>
            <w:shd w:val="clear" w:color="auto" w:fill="215868" w:themeFill="accent5" w:themeFillShade="80"/>
          </w:tcPr>
          <w:p w:rsidR="000E2B2A" w:rsidRDefault="000E2B2A" w:rsidP="000E2B2A">
            <w:pPr>
              <w:pStyle w:val="PPVTableHeader"/>
              <w:keepNext/>
            </w:pPr>
            <w:r>
              <w:t>1/dwelling</w:t>
            </w:r>
          </w:p>
        </w:tc>
        <w:tc>
          <w:tcPr>
            <w:tcW w:w="913" w:type="pct"/>
            <w:tcBorders>
              <w:top w:val="dotted" w:sz="4" w:space="0" w:color="auto"/>
            </w:tcBorders>
            <w:shd w:val="clear" w:color="auto" w:fill="215868" w:themeFill="accent5" w:themeFillShade="80"/>
          </w:tcPr>
          <w:p w:rsidR="000E2B2A" w:rsidRDefault="000E2B2A" w:rsidP="000E2B2A">
            <w:pPr>
              <w:pStyle w:val="PPVTableHeader"/>
              <w:keepNext/>
            </w:pPr>
            <w:r>
              <w:t>1/dwelling</w:t>
            </w:r>
          </w:p>
        </w:tc>
        <w:tc>
          <w:tcPr>
            <w:tcW w:w="820" w:type="pct"/>
            <w:tcBorders>
              <w:top w:val="dotted" w:sz="4" w:space="0" w:color="auto"/>
            </w:tcBorders>
            <w:shd w:val="clear" w:color="auto" w:fill="215868" w:themeFill="accent5" w:themeFillShade="80"/>
          </w:tcPr>
          <w:p w:rsidR="000E2B2A" w:rsidRDefault="000E2B2A" w:rsidP="000E2B2A">
            <w:pPr>
              <w:pStyle w:val="PPVTableHeader"/>
              <w:keepNext/>
            </w:pPr>
            <w:r>
              <w:t>1/dwelling</w:t>
            </w:r>
          </w:p>
        </w:tc>
      </w:tr>
      <w:tr w:rsidR="000E2B2A" w:rsidRPr="008C245F" w:rsidTr="000E2B2A">
        <w:trPr>
          <w:cantSplit/>
        </w:trPr>
        <w:tc>
          <w:tcPr>
            <w:tcW w:w="669" w:type="pct"/>
            <w:noWrap/>
          </w:tcPr>
          <w:p w:rsidR="000E2B2A" w:rsidRPr="004C08FB" w:rsidRDefault="000E2B2A" w:rsidP="000E2B2A">
            <w:pPr>
              <w:pStyle w:val="PPVTableText"/>
            </w:pPr>
            <w:r>
              <w:t>1 Bedroom</w:t>
            </w:r>
          </w:p>
        </w:tc>
        <w:tc>
          <w:tcPr>
            <w:tcW w:w="907" w:type="pct"/>
            <w:shd w:val="clear" w:color="auto" w:fill="FFFFFF" w:themeFill="background1"/>
          </w:tcPr>
          <w:p w:rsidR="000E2B2A" w:rsidRPr="00A56168" w:rsidRDefault="000E2B2A" w:rsidP="000E2B2A">
            <w:pPr>
              <w:pStyle w:val="PPVTableText"/>
            </w:pPr>
            <w:r w:rsidRPr="00A56168">
              <w:t>0.3*</w:t>
            </w:r>
          </w:p>
        </w:tc>
        <w:tc>
          <w:tcPr>
            <w:tcW w:w="964" w:type="pct"/>
          </w:tcPr>
          <w:p w:rsidR="000E2B2A" w:rsidRPr="00A56168" w:rsidRDefault="000E2B2A" w:rsidP="000E2B2A">
            <w:pPr>
              <w:pStyle w:val="PPVTableText"/>
            </w:pPr>
            <w:r w:rsidRPr="00A56168">
              <w:t>0.4*</w:t>
            </w:r>
          </w:p>
        </w:tc>
        <w:tc>
          <w:tcPr>
            <w:tcW w:w="727" w:type="pct"/>
          </w:tcPr>
          <w:p w:rsidR="000E2B2A" w:rsidRPr="00A56168" w:rsidRDefault="000E2B2A" w:rsidP="000E2B2A">
            <w:pPr>
              <w:pStyle w:val="PPVTableText"/>
            </w:pPr>
            <w:r w:rsidRPr="00A56168">
              <w:t>0.5*</w:t>
            </w:r>
          </w:p>
        </w:tc>
        <w:tc>
          <w:tcPr>
            <w:tcW w:w="913" w:type="pct"/>
          </w:tcPr>
          <w:p w:rsidR="000E2B2A" w:rsidRPr="00A56168" w:rsidRDefault="000E2B2A" w:rsidP="000E2B2A">
            <w:pPr>
              <w:pStyle w:val="PPVTableText"/>
            </w:pPr>
            <w:r w:rsidRPr="00A56168">
              <w:t>0.2*</w:t>
            </w:r>
          </w:p>
        </w:tc>
        <w:tc>
          <w:tcPr>
            <w:tcW w:w="820" w:type="pct"/>
          </w:tcPr>
          <w:p w:rsidR="000E2B2A" w:rsidRPr="00A56168" w:rsidRDefault="000E2B2A" w:rsidP="000E2B2A">
            <w:pPr>
              <w:pStyle w:val="PPVTableText"/>
            </w:pPr>
            <w:r w:rsidRPr="00A56168">
              <w:t>0.5*</w:t>
            </w:r>
          </w:p>
        </w:tc>
      </w:tr>
      <w:tr w:rsidR="000E2B2A" w:rsidRPr="008C245F" w:rsidTr="000E2B2A">
        <w:trPr>
          <w:cantSplit/>
        </w:trPr>
        <w:tc>
          <w:tcPr>
            <w:tcW w:w="669" w:type="pct"/>
            <w:noWrap/>
          </w:tcPr>
          <w:p w:rsidR="000E2B2A" w:rsidRPr="004C08FB" w:rsidRDefault="000E2B2A" w:rsidP="000E2B2A">
            <w:pPr>
              <w:pStyle w:val="PPVTableText"/>
            </w:pPr>
            <w:r>
              <w:t>2 Bedroom</w:t>
            </w:r>
          </w:p>
        </w:tc>
        <w:tc>
          <w:tcPr>
            <w:tcW w:w="907" w:type="pct"/>
          </w:tcPr>
          <w:p w:rsidR="000E2B2A" w:rsidRPr="00A56168" w:rsidRDefault="000E2B2A" w:rsidP="000E2B2A">
            <w:pPr>
              <w:pStyle w:val="PPVTableText"/>
            </w:pPr>
            <w:r w:rsidRPr="00A56168">
              <w:t>0.5*</w:t>
            </w:r>
          </w:p>
        </w:tc>
        <w:tc>
          <w:tcPr>
            <w:tcW w:w="964" w:type="pct"/>
          </w:tcPr>
          <w:p w:rsidR="000E2B2A" w:rsidRPr="00A56168" w:rsidRDefault="000E2B2A" w:rsidP="000E2B2A">
            <w:pPr>
              <w:pStyle w:val="PPVTableText"/>
            </w:pPr>
            <w:r w:rsidRPr="00A56168">
              <w:t>0.8</w:t>
            </w:r>
          </w:p>
        </w:tc>
        <w:tc>
          <w:tcPr>
            <w:tcW w:w="727" w:type="pct"/>
          </w:tcPr>
          <w:p w:rsidR="000E2B2A" w:rsidRPr="00A56168" w:rsidRDefault="000E2B2A" w:rsidP="000E2B2A">
            <w:pPr>
              <w:pStyle w:val="PPVTableText"/>
            </w:pPr>
            <w:r w:rsidRPr="00A56168">
              <w:t>0.8</w:t>
            </w:r>
          </w:p>
        </w:tc>
        <w:tc>
          <w:tcPr>
            <w:tcW w:w="913" w:type="pct"/>
          </w:tcPr>
          <w:p w:rsidR="000E2B2A" w:rsidRPr="00A56168" w:rsidRDefault="000E2B2A" w:rsidP="000E2B2A">
            <w:pPr>
              <w:pStyle w:val="PPVTableText"/>
            </w:pPr>
            <w:r w:rsidRPr="00A56168">
              <w:t>0.4*</w:t>
            </w:r>
          </w:p>
        </w:tc>
        <w:tc>
          <w:tcPr>
            <w:tcW w:w="820" w:type="pct"/>
          </w:tcPr>
          <w:p w:rsidR="000E2B2A" w:rsidRPr="00A56168" w:rsidRDefault="000E2B2A" w:rsidP="000E2B2A">
            <w:pPr>
              <w:pStyle w:val="PPVTableText"/>
            </w:pPr>
            <w:r w:rsidRPr="00A56168">
              <w:t>0.7</w:t>
            </w:r>
          </w:p>
        </w:tc>
      </w:tr>
      <w:tr w:rsidR="000E2B2A" w:rsidRPr="008C245F" w:rsidTr="000E2B2A">
        <w:trPr>
          <w:cantSplit/>
        </w:trPr>
        <w:tc>
          <w:tcPr>
            <w:tcW w:w="669" w:type="pct"/>
            <w:noWrap/>
          </w:tcPr>
          <w:p w:rsidR="000E2B2A" w:rsidRPr="004C08FB" w:rsidRDefault="000E2B2A" w:rsidP="000E2B2A">
            <w:pPr>
              <w:pStyle w:val="PPVTableText"/>
            </w:pPr>
            <w:r>
              <w:t>3 Bedroom</w:t>
            </w:r>
          </w:p>
        </w:tc>
        <w:tc>
          <w:tcPr>
            <w:tcW w:w="907" w:type="pct"/>
          </w:tcPr>
          <w:p w:rsidR="000E2B2A" w:rsidRPr="00BB72A3" w:rsidRDefault="000E2B2A" w:rsidP="000E2B2A">
            <w:pPr>
              <w:pStyle w:val="PPVTableText"/>
            </w:pPr>
            <w:r w:rsidRPr="00BB72A3">
              <w:t>0.9</w:t>
            </w:r>
          </w:p>
        </w:tc>
        <w:tc>
          <w:tcPr>
            <w:tcW w:w="964" w:type="pct"/>
          </w:tcPr>
          <w:p w:rsidR="000E2B2A" w:rsidRPr="00BB72A3" w:rsidRDefault="000E2B2A" w:rsidP="000E2B2A">
            <w:pPr>
              <w:pStyle w:val="PPVTableText"/>
            </w:pPr>
            <w:r w:rsidRPr="00BB72A3">
              <w:t>1.3</w:t>
            </w:r>
          </w:p>
        </w:tc>
        <w:tc>
          <w:tcPr>
            <w:tcW w:w="727" w:type="pct"/>
          </w:tcPr>
          <w:p w:rsidR="000E2B2A" w:rsidRPr="00BB72A3" w:rsidRDefault="000E2B2A" w:rsidP="000E2B2A">
            <w:pPr>
              <w:pStyle w:val="PPVTableText"/>
            </w:pPr>
            <w:r w:rsidRPr="00BB72A3">
              <w:t>1.1</w:t>
            </w:r>
          </w:p>
        </w:tc>
        <w:tc>
          <w:tcPr>
            <w:tcW w:w="913" w:type="pct"/>
          </w:tcPr>
          <w:p w:rsidR="000E2B2A" w:rsidRPr="00BB72A3" w:rsidRDefault="000E2B2A" w:rsidP="000E2B2A">
            <w:pPr>
              <w:pStyle w:val="PPVTableText"/>
            </w:pPr>
            <w:r w:rsidRPr="00BB72A3">
              <w:t>0.9</w:t>
            </w:r>
          </w:p>
        </w:tc>
        <w:tc>
          <w:tcPr>
            <w:tcW w:w="820" w:type="pct"/>
          </w:tcPr>
          <w:p w:rsidR="000E2B2A" w:rsidRPr="00BB72A3" w:rsidRDefault="000E2B2A" w:rsidP="000E2B2A">
            <w:pPr>
              <w:pStyle w:val="PPVTableText"/>
            </w:pPr>
            <w:r w:rsidRPr="00BB72A3">
              <w:t>0.9</w:t>
            </w:r>
          </w:p>
        </w:tc>
      </w:tr>
    </w:tbl>
    <w:p w:rsidR="00785416" w:rsidRPr="002337D8" w:rsidRDefault="000E2B2A" w:rsidP="000E2B2A">
      <w:pPr>
        <w:pStyle w:val="PPVBody"/>
        <w:rPr>
          <w:rFonts w:asciiTheme="minorHAnsi" w:hAnsiTheme="minorHAnsi"/>
          <w:sz w:val="20"/>
          <w:szCs w:val="20"/>
        </w:rPr>
      </w:pPr>
      <w:r w:rsidRPr="001F37AE">
        <w:rPr>
          <w:rFonts w:asciiTheme="minorHAnsi" w:hAnsiTheme="minorHAnsi"/>
          <w:sz w:val="20"/>
          <w:szCs w:val="20"/>
        </w:rPr>
        <w:t>Source:</w:t>
      </w:r>
      <w:r w:rsidR="001F37AE" w:rsidRPr="002337D8">
        <w:rPr>
          <w:rFonts w:asciiTheme="minorHAnsi" w:hAnsiTheme="minorHAnsi"/>
          <w:sz w:val="20"/>
          <w:szCs w:val="20"/>
        </w:rPr>
        <w:tab/>
      </w:r>
      <w:r w:rsidR="001F37AE" w:rsidRPr="002337D8">
        <w:rPr>
          <w:sz w:val="20"/>
          <w:szCs w:val="20"/>
          <w:lang w:eastAsia="en-US"/>
        </w:rPr>
        <w:t>Ms Dunstan</w:t>
      </w:r>
      <w:r w:rsidR="00A448F3">
        <w:rPr>
          <w:sz w:val="20"/>
          <w:szCs w:val="20"/>
          <w:lang w:eastAsia="en-US"/>
        </w:rPr>
        <w:t>’s</w:t>
      </w:r>
      <w:r w:rsidR="001F37AE" w:rsidRPr="002337D8">
        <w:rPr>
          <w:sz w:val="20"/>
          <w:szCs w:val="20"/>
          <w:lang w:eastAsia="en-US"/>
        </w:rPr>
        <w:t xml:space="preserve"> e</w:t>
      </w:r>
      <w:r w:rsidR="001F37AE" w:rsidRPr="008C3707">
        <w:rPr>
          <w:sz w:val="20"/>
          <w:szCs w:val="20"/>
          <w:lang w:eastAsia="en-US"/>
        </w:rPr>
        <w:t>vidence prepared for various parties on instruction by Norton Rose Fulbright</w:t>
      </w:r>
    </w:p>
    <w:p w:rsidR="000E2B2A" w:rsidRPr="0078675A" w:rsidRDefault="000E2B2A" w:rsidP="000E2B2A">
      <w:pPr>
        <w:pStyle w:val="PPVBody"/>
        <w:rPr>
          <w:rFonts w:asciiTheme="minorHAnsi" w:hAnsiTheme="minorHAnsi"/>
          <w:sz w:val="20"/>
          <w:szCs w:val="20"/>
        </w:rPr>
      </w:pPr>
      <w:r w:rsidRPr="0078675A">
        <w:rPr>
          <w:rFonts w:asciiTheme="minorHAnsi" w:hAnsiTheme="minorHAnsi"/>
          <w:sz w:val="20"/>
          <w:szCs w:val="20"/>
        </w:rPr>
        <w:t>*The Review Panel has highlighted where 0.5 spaces/dwelling or less is achieved</w:t>
      </w:r>
    </w:p>
    <w:p w:rsidR="000E2B2A" w:rsidRDefault="000E2B2A" w:rsidP="000E2B2A">
      <w:pPr>
        <w:pStyle w:val="PPVBody"/>
        <w:rPr>
          <w:rFonts w:asciiTheme="minorHAnsi" w:hAnsiTheme="minorHAnsi"/>
        </w:rPr>
      </w:pPr>
      <w:r>
        <w:rPr>
          <w:rFonts w:asciiTheme="minorHAnsi" w:hAnsiTheme="minorHAnsi"/>
        </w:rPr>
        <w:t xml:space="preserve">Ms Dunstan did not provide written evidence relating to car share facilities, but responded to questions in relation to a Phillip Boyle </w:t>
      </w:r>
      <w:r w:rsidR="000E1FB1">
        <w:rPr>
          <w:rFonts w:asciiTheme="minorHAnsi" w:hAnsiTheme="minorHAnsi"/>
        </w:rPr>
        <w:t>and</w:t>
      </w:r>
      <w:r>
        <w:rPr>
          <w:rFonts w:asciiTheme="minorHAnsi" w:hAnsiTheme="minorHAnsi"/>
        </w:rPr>
        <w:t xml:space="preserve"> Associates memo regarding car share arrangements tabled by Port Phillip (D145).  Ms Dunstan believed that</w:t>
      </w:r>
      <w:r w:rsidRPr="001C3D75">
        <w:rPr>
          <w:rFonts w:asciiTheme="minorHAnsi" w:hAnsiTheme="minorHAnsi"/>
        </w:rPr>
        <w:t xml:space="preserve"> </w:t>
      </w:r>
      <w:r>
        <w:rPr>
          <w:rFonts w:asciiTheme="minorHAnsi" w:hAnsiTheme="minorHAnsi"/>
        </w:rPr>
        <w:t>to enhance uptake, these facilities should be located in highly visible and publicly accessible areas.  Car share is a commercial arrangement and must be viable.  If it was to be installed in sub</w:t>
      </w:r>
      <w:r w:rsidR="00346B0A">
        <w:rPr>
          <w:rFonts w:asciiTheme="minorHAnsi" w:hAnsiTheme="minorHAnsi"/>
        </w:rPr>
        <w:t>optimal</w:t>
      </w:r>
      <w:r>
        <w:rPr>
          <w:rFonts w:asciiTheme="minorHAnsi" w:hAnsiTheme="minorHAnsi"/>
        </w:rPr>
        <w:t xml:space="preserve"> locations, it may need to be subsidised.  Further, it unclear what transport options may be available in the future, when services such as Uber Share and autonomous vehicles may become prevalent.</w:t>
      </w:r>
    </w:p>
    <w:p w:rsidR="000E2B2A" w:rsidRDefault="000E2B2A" w:rsidP="000E2B2A">
      <w:pPr>
        <w:pStyle w:val="PPVBody"/>
        <w:rPr>
          <w:rFonts w:asciiTheme="minorHAnsi" w:hAnsiTheme="minorHAnsi"/>
        </w:rPr>
      </w:pPr>
      <w:r>
        <w:rPr>
          <w:rFonts w:asciiTheme="minorHAnsi" w:hAnsiTheme="minorHAnsi"/>
        </w:rPr>
        <w:t>In principle, Ms Dunstan supported adaptable parking areas but noted several issues:</w:t>
      </w:r>
    </w:p>
    <w:p w:rsidR="00785416" w:rsidRDefault="000E2B2A" w:rsidP="000E2B2A">
      <w:pPr>
        <w:pStyle w:val="PPVBullet1"/>
      </w:pPr>
      <w:r>
        <w:t>they are generally more expensive and less efficient delivery of car parking</w:t>
      </w:r>
    </w:p>
    <w:p w:rsidR="00785416" w:rsidRDefault="000E2B2A" w:rsidP="000E2B2A">
      <w:pPr>
        <w:pStyle w:val="PPVBullet1"/>
      </w:pPr>
      <w:r>
        <w:t>car parks with sloping floors would be difficult to retrofit</w:t>
      </w:r>
    </w:p>
    <w:p w:rsidR="000E2B2A" w:rsidRDefault="000E2B2A" w:rsidP="000E2B2A">
      <w:pPr>
        <w:pStyle w:val="PPVBullet1"/>
      </w:pPr>
      <w:r>
        <w:t>loss of efficiency – the additional vertical space required for adaptable car parking (3.8 metres) compared with traditional parking facilities (2.8 metres) would only yield three car parking levels for every four of traditional parking</w:t>
      </w:r>
    </w:p>
    <w:p w:rsidR="000E2B2A" w:rsidRDefault="000E2B2A" w:rsidP="000E2B2A">
      <w:pPr>
        <w:pStyle w:val="PPVBullet1"/>
      </w:pPr>
      <w:r>
        <w:lastRenderedPageBreak/>
        <w:t>ramps between parking levels need to be four metres longer (due to the additional floor to floor height difference) which creates difficulties, particularly on smaller sites.</w:t>
      </w:r>
    </w:p>
    <w:p w:rsidR="000E2B2A" w:rsidRDefault="000E2B2A" w:rsidP="000E2B2A">
      <w:pPr>
        <w:pStyle w:val="PPVBody"/>
      </w:pPr>
      <w:r>
        <w:rPr>
          <w:rFonts w:asciiTheme="minorHAnsi" w:hAnsiTheme="minorHAnsi"/>
        </w:rPr>
        <w:t xml:space="preserve">Ms Dunstan had reservations regarding parking precinct stations, particularly for residential use.  She queried </w:t>
      </w:r>
      <w:r>
        <w:t xml:space="preserve">the market acceptability of </w:t>
      </w:r>
      <w:r w:rsidR="00C1231F">
        <w:rPr>
          <w:rFonts w:asciiTheme="minorHAnsi" w:hAnsiTheme="minorHAnsi"/>
        </w:rPr>
        <w:t>P</w:t>
      </w:r>
      <w:r>
        <w:rPr>
          <w:rFonts w:asciiTheme="minorHAnsi" w:hAnsiTheme="minorHAnsi"/>
        </w:rPr>
        <w:t xml:space="preserve">recinct </w:t>
      </w:r>
      <w:r w:rsidR="00C1231F">
        <w:rPr>
          <w:rFonts w:asciiTheme="minorHAnsi" w:hAnsiTheme="minorHAnsi"/>
        </w:rPr>
        <w:t xml:space="preserve">parking </w:t>
      </w:r>
      <w:r>
        <w:rPr>
          <w:rFonts w:asciiTheme="minorHAnsi" w:hAnsiTheme="minorHAnsi"/>
        </w:rPr>
        <w:t xml:space="preserve">stations, and the </w:t>
      </w:r>
      <w:r>
        <w:t>practicality of expecting residents to walk 200 – 250 metres, particularly for families with young children, tr</w:t>
      </w:r>
      <w:r w:rsidR="000E1FB1">
        <w:t xml:space="preserve">ansporting groceries.  </w:t>
      </w:r>
      <w:r>
        <w:t xml:space="preserve">She noted that substantial public sector investment could be required to realise </w:t>
      </w:r>
      <w:r w:rsidR="00C1231F">
        <w:t>this</w:t>
      </w:r>
      <w:r>
        <w:rPr>
          <w:rFonts w:asciiTheme="minorHAnsi" w:hAnsiTheme="minorHAnsi"/>
        </w:rPr>
        <w:t xml:space="preserve"> </w:t>
      </w:r>
      <w:r>
        <w:t>model, and queried whether Fishermans Bend is an appropriate place to test what appears to be an untried theory.</w:t>
      </w:r>
    </w:p>
    <w:p w:rsidR="000E2B2A" w:rsidRDefault="000E2B2A" w:rsidP="000E2B2A">
      <w:pPr>
        <w:pStyle w:val="PPVBody"/>
        <w:rPr>
          <w:rFonts w:asciiTheme="minorHAnsi" w:hAnsiTheme="minorHAnsi"/>
        </w:rPr>
      </w:pPr>
      <w:r>
        <w:rPr>
          <w:rFonts w:asciiTheme="minorHAnsi" w:hAnsiTheme="minorHAnsi"/>
        </w:rPr>
        <w:t>Ms Dunstan considered that the controls as exhibited were unclear, poorly worded and structured, and highly confusing.  The controls required substantial reworking to allow for consistent and unambiguous interpretation.</w:t>
      </w:r>
    </w:p>
    <w:p w:rsidR="000E2B2A" w:rsidRPr="00A90F8A" w:rsidRDefault="000E2B2A" w:rsidP="000E2B2A">
      <w:pPr>
        <w:pStyle w:val="Heading4"/>
        <w:rPr>
          <w:rFonts w:asciiTheme="minorHAnsi" w:hAnsiTheme="minorHAnsi"/>
        </w:rPr>
      </w:pPr>
      <w:r w:rsidRPr="00A90F8A">
        <w:rPr>
          <w:rFonts w:asciiTheme="minorHAnsi" w:hAnsiTheme="minorHAnsi"/>
        </w:rPr>
        <w:t>Discussion</w:t>
      </w:r>
    </w:p>
    <w:p w:rsidR="000E2B2A" w:rsidRDefault="000E2B2A" w:rsidP="000E2B2A">
      <w:pPr>
        <w:pStyle w:val="PPVBody"/>
        <w:rPr>
          <w:rFonts w:asciiTheme="minorHAnsi" w:hAnsiTheme="minorHAnsi"/>
        </w:rPr>
      </w:pPr>
      <w:r>
        <w:rPr>
          <w:rFonts w:asciiTheme="minorHAnsi" w:hAnsiTheme="minorHAnsi"/>
        </w:rPr>
        <w:t>To achieve sustainable transport goals, a number of strategies will need to work collaboratively.  In isolation, improving public transport, walkability or reducing parking rates are unlikely to be as effective.</w:t>
      </w:r>
      <w:r w:rsidRPr="00356087">
        <w:rPr>
          <w:rFonts w:asciiTheme="minorHAnsi" w:hAnsiTheme="minorHAnsi"/>
        </w:rPr>
        <w:t xml:space="preserve"> </w:t>
      </w:r>
      <w:r>
        <w:rPr>
          <w:rFonts w:asciiTheme="minorHAnsi" w:hAnsiTheme="minorHAnsi"/>
        </w:rPr>
        <w:t xml:space="preserve"> The Review Panel accepts that the broader policy to achieve enhanced sustainability involves a more restrictive car parking ratio and a fundamental shift away from private car ownership and privately owned car parking spaces attached to individual dwellings.</w:t>
      </w:r>
    </w:p>
    <w:p w:rsidR="00785416" w:rsidRDefault="000E2B2A" w:rsidP="000E2B2A">
      <w:pPr>
        <w:pStyle w:val="PPVBody"/>
        <w:rPr>
          <w:rFonts w:asciiTheme="minorHAnsi" w:hAnsiTheme="minorHAnsi"/>
        </w:rPr>
      </w:pPr>
      <w:r>
        <w:rPr>
          <w:rFonts w:asciiTheme="minorHAnsi" w:hAnsiTheme="minorHAnsi"/>
        </w:rPr>
        <w:t>Adaptable car parking areas appear to have broad support and may be suitable in Fishermans Bend, although the Review Panel notes the practical issues rais</w:t>
      </w:r>
      <w:r w:rsidR="00C1231F">
        <w:rPr>
          <w:rFonts w:asciiTheme="minorHAnsi" w:hAnsiTheme="minorHAnsi"/>
        </w:rPr>
        <w:t>ed by Ms Dunstan.  Support for P</w:t>
      </w:r>
      <w:r>
        <w:rPr>
          <w:rFonts w:asciiTheme="minorHAnsi" w:hAnsiTheme="minorHAnsi"/>
        </w:rPr>
        <w:t>recinct parking stations was more tentative.  Further work is required to provide additional detail and likely funding arrangements.</w:t>
      </w:r>
    </w:p>
    <w:p w:rsidR="00785416" w:rsidRDefault="000E2B2A" w:rsidP="000E2B2A">
      <w:pPr>
        <w:pStyle w:val="PPVBody"/>
        <w:rPr>
          <w:rFonts w:asciiTheme="minorHAnsi" w:hAnsiTheme="minorHAnsi"/>
        </w:rPr>
      </w:pPr>
      <w:r>
        <w:rPr>
          <w:rFonts w:asciiTheme="minorHAnsi" w:hAnsiTheme="minorHAnsi"/>
        </w:rPr>
        <w:t>A maximum car parking rate of 0.5 spaces dwelling is a significant reduction compared to current standards.  The Review Panel notes that the Minister and Councils support the proposed rate as an appropriate tool to achieve sustainability goals in Fishermans Bend.  However</w:t>
      </w:r>
      <w:r w:rsidR="00A90D8B">
        <w:rPr>
          <w:rFonts w:asciiTheme="minorHAnsi" w:hAnsiTheme="minorHAnsi"/>
        </w:rPr>
        <w:t>,</w:t>
      </w:r>
      <w:r>
        <w:rPr>
          <w:rFonts w:asciiTheme="minorHAnsi" w:hAnsiTheme="minorHAnsi"/>
        </w:rPr>
        <w:t xml:space="preserve"> it is unclear why a maximum rate of 0.5 space per dwelling was chosen, and not say 0.4 or 0.6 or some other figure.  </w:t>
      </w:r>
      <w:r w:rsidRPr="009B5EDC">
        <w:rPr>
          <w:rFonts w:asciiTheme="minorHAnsi" w:hAnsiTheme="minorHAnsi"/>
        </w:rPr>
        <w:t>The Review Panel notes that</w:t>
      </w:r>
      <w:r>
        <w:rPr>
          <w:rFonts w:asciiTheme="minorHAnsi" w:hAnsiTheme="minorHAnsi"/>
        </w:rPr>
        <w:t xml:space="preserve"> the</w:t>
      </w:r>
      <w:r w:rsidRPr="009B5EDC">
        <w:rPr>
          <w:rFonts w:asciiTheme="minorHAnsi" w:hAnsiTheme="minorHAnsi"/>
        </w:rPr>
        <w:t xml:space="preserve"> </w:t>
      </w:r>
      <w:r w:rsidRPr="006D5134">
        <w:rPr>
          <w:rFonts w:asciiTheme="minorHAnsi" w:hAnsiTheme="minorHAnsi"/>
          <w:i/>
        </w:rPr>
        <w:t>Integrated Transport Plan</w:t>
      </w:r>
      <w:r w:rsidRPr="009B5EDC">
        <w:rPr>
          <w:rFonts w:asciiTheme="minorHAnsi" w:hAnsiTheme="minorHAnsi"/>
        </w:rPr>
        <w:t xml:space="preserve"> identifies that </w:t>
      </w:r>
      <w:r>
        <w:rPr>
          <w:rFonts w:asciiTheme="minorHAnsi" w:hAnsiTheme="minorHAnsi"/>
        </w:rPr>
        <w:t>“</w:t>
      </w:r>
      <w:r w:rsidRPr="009B5EDC">
        <w:rPr>
          <w:rStyle w:val="PPVQuoteChar"/>
        </w:rPr>
        <w:t>in Fishermans Bend, developers are providing parking at a rate of 0.6 spaces per apartment</w:t>
      </w:r>
      <w:r>
        <w:rPr>
          <w:rStyle w:val="PPVQuoteChar"/>
        </w:rPr>
        <w:t>”</w:t>
      </w:r>
      <w:r w:rsidRPr="009B5EDC">
        <w:rPr>
          <w:rFonts w:asciiTheme="minorHAnsi" w:hAnsiTheme="minorHAnsi"/>
        </w:rPr>
        <w:t>.</w:t>
      </w:r>
      <w:r>
        <w:rPr>
          <w:rStyle w:val="FootnoteReference"/>
          <w:rFonts w:asciiTheme="minorHAnsi" w:hAnsiTheme="minorHAnsi"/>
        </w:rPr>
        <w:footnoteReference w:id="111"/>
      </w:r>
    </w:p>
    <w:p w:rsidR="000E2B2A" w:rsidRDefault="000E2B2A" w:rsidP="000E2B2A">
      <w:pPr>
        <w:pStyle w:val="PPVBody"/>
        <w:rPr>
          <w:rFonts w:asciiTheme="minorHAnsi" w:hAnsiTheme="minorHAnsi"/>
        </w:rPr>
      </w:pPr>
      <w:r>
        <w:rPr>
          <w:rFonts w:asciiTheme="minorHAnsi" w:hAnsiTheme="minorHAnsi"/>
        </w:rPr>
        <w:t xml:space="preserve">The Review Panel agrees with Ms Dunstan that for the three bedroom dwellings (proposed to be 20 to 30 per cent of housing stock), a maximum parking rate of one space per dwelling should be allowed.  On review of the ABS data (see </w:t>
      </w:r>
      <w:r w:rsidRPr="000C60A8">
        <w:rPr>
          <w:rFonts w:asciiTheme="minorHAnsi" w:hAnsiTheme="minorHAnsi"/>
        </w:rPr>
        <w:fldChar w:fldCharType="begin"/>
      </w:r>
      <w:r w:rsidRPr="000C60A8">
        <w:rPr>
          <w:rFonts w:asciiTheme="minorHAnsi" w:hAnsiTheme="minorHAnsi"/>
        </w:rPr>
        <w:instrText xml:space="preserve"> REF _Ref519421163 \h  \* MERGEFORMAT </w:instrText>
      </w:r>
      <w:r w:rsidRPr="000C60A8">
        <w:rPr>
          <w:rFonts w:asciiTheme="minorHAnsi" w:hAnsiTheme="minorHAnsi"/>
        </w:rPr>
      </w:r>
      <w:r w:rsidRPr="000C60A8">
        <w:rPr>
          <w:rFonts w:asciiTheme="minorHAnsi" w:hAnsiTheme="minorHAnsi"/>
        </w:rPr>
        <w:fldChar w:fldCharType="separate"/>
      </w:r>
      <w:r w:rsidR="00A307EC">
        <w:t xml:space="preserve">Table </w:t>
      </w:r>
      <w:r w:rsidR="00A307EC">
        <w:rPr>
          <w:noProof/>
        </w:rPr>
        <w:t>21</w:t>
      </w:r>
      <w:r w:rsidRPr="000C60A8">
        <w:rPr>
          <w:rFonts w:asciiTheme="minorHAnsi" w:hAnsiTheme="minorHAnsi"/>
        </w:rPr>
        <w:fldChar w:fldCharType="end"/>
      </w:r>
      <w:r>
        <w:rPr>
          <w:rFonts w:asciiTheme="minorHAnsi" w:hAnsiTheme="minorHAnsi"/>
        </w:rPr>
        <w:t>), and assuming a similar distribution of car ownership, it does not appear equitable to expect larger dwellings (that are more likely to be occupied by families) to reduce their car ownership by 50 per cent, while expecting no change for those in one bedroom dwellings (which are already at or below 0.5 spaces per dwelling).</w:t>
      </w:r>
    </w:p>
    <w:p w:rsidR="000E2B2A" w:rsidRDefault="000E2B2A" w:rsidP="000E2B2A">
      <w:pPr>
        <w:pStyle w:val="PPVBody"/>
        <w:rPr>
          <w:rFonts w:asciiTheme="minorHAnsi" w:hAnsiTheme="minorHAnsi"/>
        </w:rPr>
      </w:pPr>
      <w:r>
        <w:rPr>
          <w:rFonts w:asciiTheme="minorHAnsi" w:hAnsiTheme="minorHAnsi"/>
        </w:rPr>
        <w:t>The Review Panel notes that the</w:t>
      </w:r>
      <w:r w:rsidRPr="0078675A">
        <w:rPr>
          <w:rFonts w:asciiTheme="minorHAnsi" w:hAnsiTheme="minorHAnsi"/>
        </w:rPr>
        <w:t xml:space="preserve"> net parking rate </w:t>
      </w:r>
      <w:r>
        <w:rPr>
          <w:rFonts w:asciiTheme="minorHAnsi" w:hAnsiTheme="minorHAnsi"/>
        </w:rPr>
        <w:t xml:space="preserve">would be between 0.60 and 0.65 spaces per dwelling assuming 20 to 30 per cent of housing stock are </w:t>
      </w:r>
      <w:r w:rsidR="00A90D8B">
        <w:rPr>
          <w:rFonts w:asciiTheme="minorHAnsi" w:hAnsiTheme="minorHAnsi"/>
        </w:rPr>
        <w:t>three</w:t>
      </w:r>
      <w:r>
        <w:rPr>
          <w:rFonts w:asciiTheme="minorHAnsi" w:hAnsiTheme="minorHAnsi"/>
        </w:rPr>
        <w:t xml:space="preserve"> bedroom dwellings (that is, 0.5 car space/dwelling x (80 per</w:t>
      </w:r>
      <w:r w:rsidR="00A90D8B">
        <w:rPr>
          <w:rFonts w:asciiTheme="minorHAnsi" w:hAnsiTheme="minorHAnsi"/>
        </w:rPr>
        <w:t xml:space="preserve"> cent</w:t>
      </w:r>
      <w:r>
        <w:rPr>
          <w:rFonts w:asciiTheme="minorHAnsi" w:hAnsiTheme="minorHAnsi"/>
        </w:rPr>
        <w:t xml:space="preserve"> of one and two bedroom dwellings) + one car space/dwelling x (20 per</w:t>
      </w:r>
      <w:r w:rsidR="00A90D8B">
        <w:rPr>
          <w:rFonts w:asciiTheme="minorHAnsi" w:hAnsiTheme="minorHAnsi"/>
        </w:rPr>
        <w:t xml:space="preserve"> cent</w:t>
      </w:r>
      <w:r>
        <w:rPr>
          <w:rFonts w:asciiTheme="minorHAnsi" w:hAnsiTheme="minorHAnsi"/>
        </w:rPr>
        <w:t xml:space="preserve"> of three bedroom dwellings)).  The </w:t>
      </w:r>
      <w:r w:rsidR="00827876">
        <w:rPr>
          <w:rFonts w:asciiTheme="minorHAnsi" w:hAnsiTheme="minorHAnsi"/>
        </w:rPr>
        <w:t>R</w:t>
      </w:r>
      <w:r>
        <w:rPr>
          <w:rFonts w:asciiTheme="minorHAnsi" w:hAnsiTheme="minorHAnsi"/>
        </w:rPr>
        <w:t xml:space="preserve">eview Panel does not </w:t>
      </w:r>
      <w:r>
        <w:rPr>
          <w:rFonts w:asciiTheme="minorHAnsi" w:hAnsiTheme="minorHAnsi"/>
        </w:rPr>
        <w:lastRenderedPageBreak/>
        <w:t>consider that an overall parking rate of 0.65 spaces per dwelling will compromise the achievement of sustainability goals, including an 80/20 mode share split for transport trips.</w:t>
      </w:r>
    </w:p>
    <w:p w:rsidR="000E2B2A" w:rsidRDefault="00F97818" w:rsidP="000E2B2A">
      <w:pPr>
        <w:pStyle w:val="PPVBody"/>
        <w:rPr>
          <w:rFonts w:asciiTheme="minorHAnsi" w:hAnsiTheme="minorHAnsi"/>
        </w:rPr>
      </w:pPr>
      <w:r>
        <w:rPr>
          <w:rFonts w:asciiTheme="minorHAnsi" w:hAnsiTheme="minorHAnsi"/>
        </w:rPr>
        <w:t>As</w:t>
      </w:r>
      <w:r w:rsidR="000E2B2A">
        <w:rPr>
          <w:rFonts w:asciiTheme="minorHAnsi" w:hAnsiTheme="minorHAnsi"/>
        </w:rPr>
        <w:t xml:space="preserve"> noted by Mr Kiriakidis, it is appropriate that </w:t>
      </w:r>
      <w:r w:rsidR="00C1231F">
        <w:rPr>
          <w:rFonts w:asciiTheme="minorHAnsi" w:hAnsiTheme="minorHAnsi"/>
        </w:rPr>
        <w:t xml:space="preserve">a review of </w:t>
      </w:r>
      <w:r w:rsidR="000E2B2A">
        <w:rPr>
          <w:rFonts w:asciiTheme="minorHAnsi" w:hAnsiTheme="minorHAnsi"/>
        </w:rPr>
        <w:t>future parking rates occur to ensure sustainability goals are being realised.</w:t>
      </w:r>
    </w:p>
    <w:p w:rsidR="000E2B2A" w:rsidRDefault="000E2B2A" w:rsidP="000E2B2A">
      <w:pPr>
        <w:pStyle w:val="PPVBody"/>
        <w:rPr>
          <w:rFonts w:asciiTheme="minorHAnsi" w:hAnsiTheme="minorHAnsi"/>
        </w:rPr>
      </w:pPr>
      <w:r>
        <w:rPr>
          <w:rFonts w:asciiTheme="minorHAnsi" w:hAnsiTheme="minorHAnsi"/>
        </w:rPr>
        <w:t>In relation to car share arrangements, the Review Panel supports Port Phillip’s submission for a greater supply of car share spaces, however, to achieve greater uptake, these spaces should be publicly accessible, and where practical, not be located in private dwelling complexes.</w:t>
      </w:r>
    </w:p>
    <w:p w:rsidR="000E2B2A" w:rsidRDefault="000E2B2A" w:rsidP="000E2B2A">
      <w:pPr>
        <w:pStyle w:val="PPVBody"/>
        <w:rPr>
          <w:rFonts w:asciiTheme="minorHAnsi" w:hAnsiTheme="minorHAnsi"/>
        </w:rPr>
      </w:pPr>
      <w:r>
        <w:rPr>
          <w:rFonts w:asciiTheme="minorHAnsi" w:hAnsiTheme="minorHAnsi"/>
        </w:rPr>
        <w:t>Throughout the Hearing, the parking controls have evolved and been significantly reworked to enhance clarity and consistency.</w:t>
      </w:r>
    </w:p>
    <w:p w:rsidR="00785416" w:rsidRDefault="000E2B2A" w:rsidP="000E2B2A">
      <w:pPr>
        <w:pStyle w:val="Heading4"/>
        <w:rPr>
          <w:rFonts w:asciiTheme="minorHAnsi" w:hAnsiTheme="minorHAnsi"/>
        </w:rPr>
      </w:pPr>
      <w:r w:rsidRPr="00A90F8A">
        <w:rPr>
          <w:rFonts w:asciiTheme="minorHAnsi" w:hAnsiTheme="minorHAnsi"/>
        </w:rPr>
        <w:t>Findings</w:t>
      </w:r>
      <w:r>
        <w:rPr>
          <w:rFonts w:asciiTheme="minorHAnsi" w:hAnsiTheme="minorHAnsi"/>
        </w:rPr>
        <w:t xml:space="preserve"> and recommendations</w:t>
      </w:r>
    </w:p>
    <w:p w:rsidR="000E2B2A" w:rsidRDefault="000E2B2A" w:rsidP="000E2B2A">
      <w:pPr>
        <w:pStyle w:val="PPVBody"/>
        <w:rPr>
          <w:rFonts w:asciiTheme="minorHAnsi" w:hAnsiTheme="minorHAnsi"/>
        </w:rPr>
      </w:pPr>
      <w:r>
        <w:rPr>
          <w:rFonts w:asciiTheme="minorHAnsi" w:hAnsiTheme="minorHAnsi"/>
        </w:rPr>
        <w:t>The Review Panel finds:</w:t>
      </w:r>
    </w:p>
    <w:p w:rsidR="000E2B2A" w:rsidRDefault="000E2B2A" w:rsidP="000E2B2A">
      <w:pPr>
        <w:pStyle w:val="PPVBullet1"/>
      </w:pPr>
      <w:r>
        <w:t xml:space="preserve">maximum parking rates of 0.5 spaces per dwelling for one and two bedroom dwellings, and </w:t>
      </w:r>
      <w:r w:rsidR="00A90D8B">
        <w:t>one</w:t>
      </w:r>
      <w:r>
        <w:t xml:space="preserve"> space per dwelling for three </w:t>
      </w:r>
      <w:r w:rsidR="00C1231F">
        <w:t>or more</w:t>
      </w:r>
      <w:r>
        <w:t xml:space="preserve"> bedroom dwellings, is appropriate</w:t>
      </w:r>
    </w:p>
    <w:p w:rsidR="000E2B2A" w:rsidRPr="008D421B" w:rsidRDefault="000E2B2A" w:rsidP="000E2B2A">
      <w:pPr>
        <w:pStyle w:val="PPVBullet1"/>
      </w:pPr>
      <w:r w:rsidRPr="008D421B">
        <w:t>parking rates should be reviewed in the future to ensure policy objectives are being realised</w:t>
      </w:r>
    </w:p>
    <w:p w:rsidR="00785416" w:rsidRDefault="000E2B2A" w:rsidP="000E2B2A">
      <w:pPr>
        <w:pStyle w:val="PPVBullet1"/>
        <w:rPr>
          <w:rFonts w:asciiTheme="minorHAnsi" w:hAnsiTheme="minorHAnsi"/>
        </w:rPr>
      </w:pPr>
      <w:r w:rsidRPr="008D421B">
        <w:rPr>
          <w:rFonts w:asciiTheme="minorHAnsi" w:hAnsiTheme="minorHAnsi"/>
        </w:rPr>
        <w:t>adaptable car parking areas have some practi</w:t>
      </w:r>
      <w:r w:rsidR="008B3FF6" w:rsidRPr="008D421B">
        <w:rPr>
          <w:rFonts w:asciiTheme="minorHAnsi" w:hAnsiTheme="minorHAnsi"/>
        </w:rPr>
        <w:t>cal issues, but on balance the R</w:t>
      </w:r>
      <w:r w:rsidRPr="008D421B">
        <w:rPr>
          <w:rFonts w:asciiTheme="minorHAnsi" w:hAnsiTheme="minorHAnsi"/>
        </w:rPr>
        <w:t>eview Panel considers that the controls should include requirements for adaptable car parking areas</w:t>
      </w:r>
    </w:p>
    <w:p w:rsidR="00785416" w:rsidRDefault="00C1231F" w:rsidP="000E2B2A">
      <w:pPr>
        <w:pStyle w:val="PPVBullet1"/>
        <w:rPr>
          <w:rFonts w:asciiTheme="minorHAnsi" w:hAnsiTheme="minorHAnsi"/>
        </w:rPr>
      </w:pPr>
      <w:r w:rsidRPr="008D421B">
        <w:rPr>
          <w:rFonts w:asciiTheme="minorHAnsi" w:hAnsiTheme="minorHAnsi"/>
        </w:rPr>
        <w:t>P</w:t>
      </w:r>
      <w:r w:rsidR="000E2B2A" w:rsidRPr="008D421B">
        <w:rPr>
          <w:rFonts w:asciiTheme="minorHAnsi" w:hAnsiTheme="minorHAnsi"/>
        </w:rPr>
        <w:t xml:space="preserve">recinct parking stations </w:t>
      </w:r>
      <w:r w:rsidRPr="008D421B">
        <w:rPr>
          <w:rFonts w:asciiTheme="minorHAnsi" w:hAnsiTheme="minorHAnsi"/>
        </w:rPr>
        <w:t xml:space="preserve">are supported, but </w:t>
      </w:r>
      <w:r w:rsidR="000E2B2A" w:rsidRPr="008D421B">
        <w:rPr>
          <w:rFonts w:asciiTheme="minorHAnsi" w:hAnsiTheme="minorHAnsi"/>
        </w:rPr>
        <w:t>require further investigation</w:t>
      </w:r>
    </w:p>
    <w:p w:rsidR="000E2B2A" w:rsidRDefault="000E2B2A" w:rsidP="000E2B2A">
      <w:pPr>
        <w:pStyle w:val="PPVBullet1"/>
      </w:pPr>
      <w:r>
        <w:t>parking for car share arrangements should generally be in accordance with Port Phillip’s submission but be publicly accessible where practical.</w:t>
      </w:r>
    </w:p>
    <w:p w:rsidR="000E2B2A" w:rsidRPr="001C078B" w:rsidRDefault="000E2B2A" w:rsidP="000E2B2A">
      <w:pPr>
        <w:pStyle w:val="PPVBody"/>
        <w:rPr>
          <w:b/>
        </w:rPr>
      </w:pPr>
      <w:r>
        <w:rPr>
          <w:b/>
        </w:rPr>
        <w:t>In accordance with the primary recommendation of the Review Panel to progress Amendment GC81</w:t>
      </w:r>
      <w:r w:rsidRPr="001C078B">
        <w:rPr>
          <w:b/>
        </w:rPr>
        <w:t xml:space="preserve">, the following key changes have been included in the amended </w:t>
      </w:r>
      <w:r>
        <w:rPr>
          <w:b/>
        </w:rPr>
        <w:t>Parking Overlay</w:t>
      </w:r>
      <w:r w:rsidRPr="001C078B">
        <w:rPr>
          <w:b/>
        </w:rPr>
        <w:t>:</w:t>
      </w:r>
    </w:p>
    <w:p w:rsidR="000E2B2A" w:rsidRPr="002057A3" w:rsidRDefault="000E2B2A" w:rsidP="000E2B2A">
      <w:pPr>
        <w:pStyle w:val="PPVRecommendationDrafting"/>
      </w:pPr>
      <w:r w:rsidRPr="002057A3">
        <w:t>Adopt the maximum parking rate of 0.5 spaces</w:t>
      </w:r>
      <w:r>
        <w:t xml:space="preserve"> per </w:t>
      </w:r>
      <w:r w:rsidRPr="002057A3">
        <w:t>dwelling for one and two bedroom dwellings and one space</w:t>
      </w:r>
      <w:r>
        <w:t xml:space="preserve"> per </w:t>
      </w:r>
      <w:r w:rsidRPr="002057A3">
        <w:t>dwelling for three</w:t>
      </w:r>
      <w:r>
        <w:t xml:space="preserve"> or more</w:t>
      </w:r>
      <w:r w:rsidRPr="002057A3">
        <w:t xml:space="preserve"> bedroom dwellings.</w:t>
      </w:r>
    </w:p>
    <w:p w:rsidR="000E2B2A" w:rsidRDefault="000E2B2A" w:rsidP="000E2B2A">
      <w:pPr>
        <w:pStyle w:val="Heading2"/>
      </w:pPr>
      <w:bookmarkStart w:id="438" w:name="_Toc519271014"/>
      <w:bookmarkStart w:id="439" w:name="_Toc519710298"/>
      <w:bookmarkStart w:id="440" w:name="_Toc519766858"/>
      <w:r>
        <w:t>Port of Melbourne</w:t>
      </w:r>
      <w:bookmarkEnd w:id="438"/>
      <w:bookmarkEnd w:id="439"/>
      <w:bookmarkEnd w:id="440"/>
    </w:p>
    <w:p w:rsidR="000E2B2A" w:rsidRDefault="000E2B2A" w:rsidP="000E2B2A">
      <w:pPr>
        <w:pStyle w:val="Heading4"/>
      </w:pPr>
      <w:r>
        <w:t>Context</w:t>
      </w:r>
    </w:p>
    <w:p w:rsidR="000E2B2A" w:rsidRDefault="000E2B2A" w:rsidP="000E2B2A">
      <w:pPr>
        <w:pStyle w:val="PPVBody"/>
      </w:pPr>
      <w:r>
        <w:t>The Port of Melbourne is the largest and busiest container port in Australia, operating 24 hours a day</w:t>
      </w:r>
      <w:r w:rsidR="007737CD">
        <w:t>,</w:t>
      </w:r>
      <w:r>
        <w:t xml:space="preserve"> seven days a week.  It currently handles approximately 2.7 million Twenty foot Equivalent Units (TEU) (that is, steel shipping containers) per annum, which is expected to grow to around 8 milli</w:t>
      </w:r>
      <w:r w:rsidR="008B3FF6">
        <w:t>on TEU per annum by 2050.  The P</w:t>
      </w:r>
      <w:r>
        <w:t>ort is of strategic and economic importance to Victoria and Australia.</w:t>
      </w:r>
    </w:p>
    <w:p w:rsidR="000E2B2A" w:rsidRDefault="000E2B2A" w:rsidP="000E2B2A">
      <w:pPr>
        <w:pStyle w:val="PPVBody"/>
      </w:pPr>
      <w:r>
        <w:t>Port operations by their very nature are industrial, with potential for a number of off-site impacts including traffic, noise, light and odour emissions.  There is the potential for land use conflicts to increasingly arise as Fishermans Bend transitions to a high density residential and mixed use precinct.  A balance needs to be struck between facilitating the urban renewal of Fishermans Bend, and protectin</w:t>
      </w:r>
      <w:r w:rsidR="008B3FF6">
        <w:t>g the ongoing operation of the P</w:t>
      </w:r>
      <w:r>
        <w:t>ort.</w:t>
      </w:r>
    </w:p>
    <w:p w:rsidR="000E2B2A" w:rsidRDefault="000E2B2A" w:rsidP="000E2B2A">
      <w:pPr>
        <w:pStyle w:val="Heading4"/>
      </w:pPr>
      <w:r>
        <w:lastRenderedPageBreak/>
        <w:t>Submissions and evidence</w:t>
      </w:r>
    </w:p>
    <w:p w:rsidR="000E2B2A" w:rsidRDefault="000E2B2A" w:rsidP="000E2B2A">
      <w:pPr>
        <w:pStyle w:val="PPVBody"/>
      </w:pPr>
      <w:r>
        <w:t xml:space="preserve">Port of Melbourne Corporation raised a number of concerns about urban renewal in Fishermans Bend impacting on, and potentially limiting, future operation and expansion of the port.  It submitted that </w:t>
      </w:r>
      <w:r w:rsidRPr="008D421B">
        <w:t xml:space="preserve">to avoid future land use conflicts, sensitive uses should be limited within the port environs and the extent of the Environmental Significance Overlay (Schedule </w:t>
      </w:r>
      <w:r w:rsidR="008D421B" w:rsidRPr="008D421B">
        <w:t>4</w:t>
      </w:r>
      <w:r w:rsidRPr="008D421B">
        <w:t xml:space="preserve"> Port Environs) should be extended</w:t>
      </w:r>
      <w:r>
        <w:t xml:space="preserve"> at th</w:t>
      </w:r>
      <w:r w:rsidR="008B3FF6">
        <w:t>e western edge of the Wirraway P</w:t>
      </w:r>
      <w:r>
        <w:t>recinct)</w:t>
      </w:r>
    </w:p>
    <w:p w:rsidR="000E2B2A" w:rsidRDefault="000E2B2A" w:rsidP="000E2B2A">
      <w:pPr>
        <w:pStyle w:val="PPVBody"/>
      </w:pPr>
      <w:r>
        <w:t>Port of Melbourne Corporation submitted that key freight road corridors along Lorimer, Prohasky, Plummer and Graham Streets must be protected.  It submitted that the potential Metro Rail alignment should avoid Webb Dock, as the foundations of its large infrastructure can reach up to 40 metres below ground.  It also sought recognition and protection of the existing rail reserve along the north side of Lorimer Street, west of the Bolte Bridge) which it is currently investigating as a future freight link as part of its lease agreement with the State Government.</w:t>
      </w:r>
    </w:p>
    <w:p w:rsidR="000E2B2A" w:rsidRDefault="000E2B2A" w:rsidP="000E2B2A">
      <w:pPr>
        <w:pStyle w:val="PPVBody"/>
      </w:pPr>
      <w:r>
        <w:t xml:space="preserve">The Minister acknowledged the importance of the Port as a significant State and national asset, but noted that the urban renewal of Fishermans Bend is also of State significance.  He acknowledged the importance of finding ways to address port access and freight transport issues which do not compromise the delivery of the Fishermans Bend urban renewal project.  He submitted that Plummer Street should remain as a civic boulevard, noting it formed part of the </w:t>
      </w:r>
      <w:r w:rsidRPr="007C0D11">
        <w:rPr>
          <w:i/>
        </w:rPr>
        <w:t>Integrated Transport Plan</w:t>
      </w:r>
      <w:r>
        <w:t xml:space="preserve"> which was prepared by TfV having regard to port needs.  He recognised the need to separate bicycle and truck traffic, particularly along Lorimer Street, and submitted that this could be resolved in the Precinct planning phase.</w:t>
      </w:r>
    </w:p>
    <w:p w:rsidR="000E2B2A" w:rsidRDefault="000E2B2A" w:rsidP="000E2B2A">
      <w:pPr>
        <w:pStyle w:val="PPVBody"/>
      </w:pPr>
      <w:r>
        <w:t>The Minister’s Part C controls included various changes to address land use conflict issues, including making the ‘as of right’ use of land for sensitive uses conditional on compliance with any relevant threshold distance contained in Clause 52.10, and requiring sensitive uses to be accompanied by an Amenity Impact Plan addr</w:t>
      </w:r>
      <w:r w:rsidR="008B3FF6">
        <w:t>essing impacts of (and on) the P</w:t>
      </w:r>
      <w:r>
        <w:t>ort.</w:t>
      </w:r>
    </w:p>
    <w:p w:rsidR="000E2B2A" w:rsidRDefault="000E2B2A" w:rsidP="000E2B2A">
      <w:pPr>
        <w:pStyle w:val="PPVBody"/>
      </w:pPr>
      <w:r>
        <w:t>Melbourne expressed concerns about access and amenity impacts of increased heavy vehicle movements along Lori</w:t>
      </w:r>
      <w:r w:rsidR="008B3FF6">
        <w:t>mer Street associated with the P</w:t>
      </w:r>
      <w:r>
        <w:t>ort, as well as safety issue</w:t>
      </w:r>
      <w:r w:rsidR="008B3FF6">
        <w:t>s</w:t>
      </w:r>
      <w:r>
        <w:t xml:space="preserve"> associated with the proposed bicycle path along Lorimer Street.</w:t>
      </w:r>
    </w:p>
    <w:p w:rsidR="000E2B2A" w:rsidRDefault="000E2B2A" w:rsidP="000E2B2A">
      <w:pPr>
        <w:pStyle w:val="PPVBody"/>
      </w:pPr>
      <w:r>
        <w:t xml:space="preserve">Neither Council supported the proposed elevated freight route.  Rather, they adopted the Infrastructure Victoria 2016 report </w:t>
      </w:r>
      <w:r w:rsidRPr="007C0D11">
        <w:rPr>
          <w:i/>
        </w:rPr>
        <w:t>Advice on Securing Victoria’s Ports Capacity</w:t>
      </w:r>
      <w:r>
        <w:t xml:space="preserve"> which recommended that a better long</w:t>
      </w:r>
      <w:r w:rsidR="00165DB1">
        <w:t>-</w:t>
      </w:r>
      <w:r>
        <w:t>term solution was to build a second container port at Bay West (south of Werribee) and in the shorter term, the existing Port of Melbourne expand to its capacity based on existing transport infrastructure (that is, no future freight link).</w:t>
      </w:r>
    </w:p>
    <w:p w:rsidR="000E2B2A" w:rsidRDefault="000E2B2A" w:rsidP="000E2B2A">
      <w:pPr>
        <w:pStyle w:val="PPVBody"/>
      </w:pPr>
      <w:r>
        <w:t>Jacobs undertook a high level assessment of three potential freight corridors through Fishermans Bend in September 2017 (D153), to identify the preferred long</w:t>
      </w:r>
      <w:r w:rsidR="00165DB1">
        <w:t>-</w:t>
      </w:r>
      <w:r>
        <w:t xml:space="preserve">term corridor for road and rail access to Webb Dock.  This study concluded that the existing Lorimer </w:t>
      </w:r>
      <w:r w:rsidRPr="00032967">
        <w:t>Street/Wurundjeri Way freight route provides an adequate connection at current levels</w:t>
      </w:r>
      <w:r>
        <w:t>,</w:t>
      </w:r>
      <w:r w:rsidRPr="00032967">
        <w:t xml:space="preserve"> however</w:t>
      </w:r>
      <w:r>
        <w:t>,</w:t>
      </w:r>
      <w:r w:rsidRPr="00032967">
        <w:t xml:space="preserve"> </w:t>
      </w:r>
      <w:r w:rsidRPr="00032967">
        <w:rPr>
          <w:rFonts w:eastAsia="Times"/>
        </w:rPr>
        <w:t>in the longer term it is a real possibility that additional road and rail connections will be needed that are properly separated from urban areas.</w:t>
      </w:r>
      <w:r w:rsidRPr="002C09D9">
        <w:t xml:space="preserve"> </w:t>
      </w:r>
      <w:r>
        <w:t xml:space="preserve"> This could include a rail and road freight link within the Lorimer Street corridor and a low bridge across the Yarra River adjacent to the Bolte Bridge.  This potential future freight route is identified in the draft Framework.</w:t>
      </w:r>
    </w:p>
    <w:p w:rsidR="00180DA1" w:rsidRDefault="00180DA1">
      <w:pPr>
        <w:spacing w:before="0"/>
        <w:jc w:val="left"/>
      </w:pPr>
      <w:r>
        <w:br w:type="page"/>
      </w:r>
    </w:p>
    <w:p w:rsidR="000E2B2A" w:rsidRDefault="000E2B2A" w:rsidP="000E2B2A">
      <w:pPr>
        <w:pStyle w:val="PPVBody"/>
      </w:pPr>
      <w:r>
        <w:lastRenderedPageBreak/>
        <w:t>The MAC supported the preferred long</w:t>
      </w:r>
      <w:r w:rsidR="00165DB1">
        <w:t>-</w:t>
      </w:r>
      <w:r>
        <w:t>term option as shown in the draft Framework as it would:</w:t>
      </w:r>
    </w:p>
    <w:p w:rsidR="000E2B2A" w:rsidRDefault="000E2B2A" w:rsidP="000E2B2A">
      <w:pPr>
        <w:pStyle w:val="PPVBullet1"/>
      </w:pPr>
      <w:r>
        <w:t>generally have less impact on urban realm and development potential</w:t>
      </w:r>
    </w:p>
    <w:p w:rsidR="000E2B2A" w:rsidRDefault="000E2B2A" w:rsidP="000E2B2A">
      <w:pPr>
        <w:pStyle w:val="PPVBullet1"/>
      </w:pPr>
      <w:r>
        <w:t>have no impact on Westgate Park</w:t>
      </w:r>
    </w:p>
    <w:p w:rsidR="000E2B2A" w:rsidRDefault="000E2B2A" w:rsidP="000E2B2A">
      <w:pPr>
        <w:pStyle w:val="PPVBullet1"/>
      </w:pPr>
      <w:r>
        <w:t>not require network changes to Todd Road</w:t>
      </w:r>
    </w:p>
    <w:p w:rsidR="000E2B2A" w:rsidRDefault="000E2B2A" w:rsidP="000E2B2A">
      <w:pPr>
        <w:pStyle w:val="PPVBullet1"/>
      </w:pPr>
      <w:r>
        <w:t>pass through land which is not expected to be fully developed for some years.</w:t>
      </w:r>
    </w:p>
    <w:p w:rsidR="000E2B2A" w:rsidRDefault="000E2B2A" w:rsidP="000E2B2A">
      <w:pPr>
        <w:pStyle w:val="PPVBody"/>
      </w:pPr>
      <w:r>
        <w:t>The Victorian Transport Association, representing employers and businesses that supply transport, logistics and freight related services, expressed similar sentiments to Port of Melbourne, submitting that in particular:</w:t>
      </w:r>
    </w:p>
    <w:p w:rsidR="000E2B2A" w:rsidRDefault="000E2B2A" w:rsidP="000E2B2A">
      <w:pPr>
        <w:pStyle w:val="PPVBullet1"/>
      </w:pPr>
      <w:r>
        <w:t>buffers should be provided between freight routes and residential dwellings</w:t>
      </w:r>
    </w:p>
    <w:p w:rsidR="000E2B2A" w:rsidRDefault="000E2B2A" w:rsidP="000E2B2A">
      <w:pPr>
        <w:pStyle w:val="PPVBullet1"/>
      </w:pPr>
      <w:r>
        <w:t>it is concerned with road safety and that cyclists should be separated from truck traffic.</w:t>
      </w:r>
    </w:p>
    <w:p w:rsidR="000E2B2A" w:rsidRDefault="000E2B2A" w:rsidP="000E2B2A">
      <w:pPr>
        <w:pStyle w:val="Heading4"/>
      </w:pPr>
      <w:r w:rsidRPr="00445060">
        <w:t>Discussion</w:t>
      </w:r>
    </w:p>
    <w:p w:rsidR="000E2B2A" w:rsidRDefault="000E2B2A" w:rsidP="000E2B2A">
      <w:pPr>
        <w:pStyle w:val="PPVBody"/>
      </w:pPr>
      <w:r>
        <w:t>The Review Panel acknowledges the strategic and economic importance of the Port, and its plans to continue and expand its current operations.  It agrees that the operations of the Port should not be adversely affected by the introduction of future sensitive uses, and that potential land use conflicts need to be carefully managed.  The changes in the Part C controls will go a long way toward</w:t>
      </w:r>
      <w:r w:rsidR="00A90D8B">
        <w:t>s</w:t>
      </w:r>
      <w:r>
        <w:t xml:space="preserve"> addressing these issues.</w:t>
      </w:r>
    </w:p>
    <w:p w:rsidR="00785416" w:rsidRDefault="000E2B2A" w:rsidP="000E2B2A">
      <w:pPr>
        <w:pStyle w:val="PPVBody"/>
      </w:pPr>
      <w:r>
        <w:t>The Review Panel acknowledges that tensions that are likely to occur between freight movements associated with the Port, and other new road users and abutting land uses.  It is somewhat ironic that a new truck route was developed along Graham Street, Plummer Street and Prohasky Street to improve amenity for Williamstown Road residents, and now these same roads are ultimately intended to be redeveloped with greater intensity of abutting land uses, the proposed tram route and associated pedestrian and vehicle movement.</w:t>
      </w:r>
    </w:p>
    <w:p w:rsidR="000E2B2A" w:rsidRDefault="000E2B2A" w:rsidP="000E2B2A">
      <w:pPr>
        <w:pStyle w:val="PPVBody"/>
      </w:pPr>
      <w:r>
        <w:t xml:space="preserve">The Review Panel is particularly concerned about the potential for conflict between Plummer Street’s designation as a civic spine (supporting a retail core area, public transport network, and associated high pedestrian activity), and its designation as a truck route </w:t>
      </w:r>
      <w:r w:rsidR="008B3FF6">
        <w:t xml:space="preserve">for </w:t>
      </w:r>
      <w:r>
        <w:t>heavy vehicle port related traffic.  This potential conflict is incompatible with a world class urban renewal project, and needs to be resolved.</w:t>
      </w:r>
      <w:r w:rsidRPr="00B463AF">
        <w:t xml:space="preserve"> </w:t>
      </w:r>
      <w:r>
        <w:t xml:space="preserve"> No evidence was presented to the Review Panel that a satisfactory alternative for Plummer Street freight traffic can be identified.  This must be further investigated.</w:t>
      </w:r>
      <w:r w:rsidRPr="00F25410">
        <w:t xml:space="preserve"> </w:t>
      </w:r>
      <w:r>
        <w:t xml:space="preserve"> Practically, the recently introduced freight route along Graham Street, Plummer Street and Prohasky Street may need to be reconsidered, especially as truck survey data suggests this route is less well used compared to Williamstown Road.</w:t>
      </w:r>
    </w:p>
    <w:p w:rsidR="00785416" w:rsidRDefault="000E2B2A" w:rsidP="000E2B2A">
      <w:pPr>
        <w:pStyle w:val="PPVBody"/>
      </w:pPr>
      <w:r>
        <w:t>A concerted effort will need to be made both in the design and operation of the roads used for port related freight movements, to provide a safe environment for all road users.  Providing separated off-road bicycle lanes is an appropriate step which should be further explored and refined as part of the Precinct planning process.</w:t>
      </w:r>
    </w:p>
    <w:p w:rsidR="00785416" w:rsidRDefault="000E2B2A" w:rsidP="000E2B2A">
      <w:pPr>
        <w:pStyle w:val="PPVBody"/>
      </w:pPr>
      <w:r>
        <w:t xml:space="preserve">The other key issue that needs to be resolved is the alignment of the future port freight route.  The Review Panel notes Port of Melbourne Corporation’s submissions that the existing rail reservation remains under active consideration as a viable freight route option.  The Review Panel has doubts as to whether this is in fact a viable option.  The existing rail reserve is extremely narrow, and there does not appear to be sufficient room to separate road and rail freight along the Lorimer Street corridor, let alone other road users including </w:t>
      </w:r>
      <w:r>
        <w:lastRenderedPageBreak/>
        <w:t>pedestrians and cyclists.  The draft Framework’s long-term option of an elevated freight route appears reasonable based on having less impact on urban and open space realms and future redevelopment opportunities.  It appears to traverse across land that is unlikely to be developed for some time.</w:t>
      </w:r>
    </w:p>
    <w:p w:rsidR="000E2B2A" w:rsidRDefault="000E2B2A" w:rsidP="000E2B2A">
      <w:pPr>
        <w:pStyle w:val="PPVBody"/>
      </w:pPr>
      <w:r>
        <w:t xml:space="preserve">However, until Port of Melbourne Corporation completes its investigations, there is unlikely to be any certainty as to the final alignment of the future freight route.  </w:t>
      </w:r>
      <w:r w:rsidR="008B3FF6">
        <w:t xml:space="preserve">In </w:t>
      </w:r>
      <w:r>
        <w:t>the circumstances, it is prudent to proceed with the Precinct planning phase recognising the possibility that the existing rail reservation may be used.</w:t>
      </w:r>
    </w:p>
    <w:p w:rsidR="000E2B2A" w:rsidRDefault="000E2B2A" w:rsidP="000E2B2A">
      <w:pPr>
        <w:pStyle w:val="PPVBody"/>
      </w:pPr>
      <w:r>
        <w:t>Port of Melbourne Corporation suggested amendments to the draft Framework (D238 A</w:t>
      </w:r>
      <w:r w:rsidR="008B3FF6">
        <w:t>ppendix B) to highlight</w:t>
      </w:r>
      <w:r>
        <w:t xml:space="preserve"> the strategic and State significance of the port facilities, and to</w:t>
      </w:r>
      <w:r w:rsidRPr="003A3B32">
        <w:t xml:space="preserve"> </w:t>
      </w:r>
      <w:r>
        <w:t>provide additional detail and clarification, relating to Port activities.  This could be considered as part of any updates that might be made to the Framework, but detailed recommendations regarding changes to the Framework are beyond the scope of this report.</w:t>
      </w:r>
    </w:p>
    <w:p w:rsidR="00785416" w:rsidRDefault="000E2B2A" w:rsidP="000E2B2A">
      <w:pPr>
        <w:pStyle w:val="Heading4"/>
        <w:rPr>
          <w:rFonts w:asciiTheme="minorHAnsi" w:hAnsiTheme="minorHAnsi"/>
        </w:rPr>
      </w:pPr>
      <w:r w:rsidRPr="00A90F8A">
        <w:rPr>
          <w:rFonts w:asciiTheme="minorHAnsi" w:hAnsiTheme="minorHAnsi"/>
        </w:rPr>
        <w:t>Findings</w:t>
      </w:r>
    </w:p>
    <w:p w:rsidR="000E2B2A" w:rsidRDefault="000E2B2A" w:rsidP="000E2B2A">
      <w:pPr>
        <w:pStyle w:val="PPVBody"/>
        <w:rPr>
          <w:rFonts w:asciiTheme="minorHAnsi" w:hAnsiTheme="minorHAnsi"/>
        </w:rPr>
      </w:pPr>
      <w:r>
        <w:rPr>
          <w:rFonts w:asciiTheme="minorHAnsi" w:hAnsiTheme="minorHAnsi"/>
        </w:rPr>
        <w:t>The Review Panel finds:</w:t>
      </w:r>
    </w:p>
    <w:p w:rsidR="000E2B2A" w:rsidRDefault="000E2B2A" w:rsidP="000E2B2A">
      <w:pPr>
        <w:pStyle w:val="PPVBullet1"/>
      </w:pPr>
      <w:r>
        <w:t>the Part C version of the controls adequately deal with future land use conflict and amenity issues associated with Port of Melbourne operations, subject to minor modifications</w:t>
      </w:r>
    </w:p>
    <w:p w:rsidR="000E2B2A" w:rsidRDefault="000E2B2A" w:rsidP="000E2B2A">
      <w:pPr>
        <w:pStyle w:val="PPVBullet1"/>
      </w:pPr>
      <w:r>
        <w:t>careful and thoughtful road design and operation along freight routes will be required, including but not limited to separated bicycle lanes,</w:t>
      </w:r>
      <w:r w:rsidRPr="008A4F69">
        <w:t xml:space="preserve"> </w:t>
      </w:r>
      <w:r>
        <w:t>to ensure co</w:t>
      </w:r>
      <w:r w:rsidR="008B3FF6">
        <w:t>mpeting</w:t>
      </w:r>
      <w:r>
        <w:t xml:space="preserve"> demand</w:t>
      </w:r>
      <w:r w:rsidR="008B3FF6">
        <w:t>s</w:t>
      </w:r>
      <w:r>
        <w:t xml:space="preserve"> between freight traffic and other road users and abutting land uses are minimised as far as reasonably practicable</w:t>
      </w:r>
    </w:p>
    <w:p w:rsidR="000E2B2A" w:rsidRDefault="000E2B2A" w:rsidP="000E2B2A">
      <w:pPr>
        <w:pStyle w:val="PPVBullet1"/>
      </w:pPr>
      <w:r>
        <w:t>the Plummer Street freight route should be reconsidered as a priority</w:t>
      </w:r>
    </w:p>
    <w:p w:rsidR="000E2B2A" w:rsidRDefault="000E2B2A" w:rsidP="000E2B2A">
      <w:pPr>
        <w:pStyle w:val="PPVBullet1"/>
      </w:pPr>
      <w:r>
        <w:t>although the Review Panel has significant reservations about the viability of locating the future road and rail freight route along the existing rail reserve on the north side of Lorimer Street, is prudent to proceed on the basis that th</w:t>
      </w:r>
      <w:r w:rsidR="008B3FF6">
        <w:t>is</w:t>
      </w:r>
      <w:r>
        <w:t xml:space="preserve"> is a possibility until the ultimate alignment is resolved.</w:t>
      </w:r>
    </w:p>
    <w:p w:rsidR="00A35456" w:rsidRPr="00A90F8A" w:rsidRDefault="00F311B2" w:rsidP="008B68A1">
      <w:pPr>
        <w:pStyle w:val="Heading1"/>
        <w:rPr>
          <w:rFonts w:asciiTheme="minorHAnsi" w:hAnsiTheme="minorHAnsi"/>
        </w:rPr>
      </w:pPr>
      <w:bookmarkStart w:id="441" w:name="_Toc519710299"/>
      <w:bookmarkStart w:id="442" w:name="_Toc519766859"/>
      <w:bookmarkEnd w:id="417"/>
      <w:r>
        <w:rPr>
          <w:rFonts w:asciiTheme="minorHAnsi" w:hAnsiTheme="minorHAnsi"/>
        </w:rPr>
        <w:lastRenderedPageBreak/>
        <w:t>Environmental and other issues</w:t>
      </w:r>
      <w:bookmarkEnd w:id="441"/>
      <w:bookmarkEnd w:id="442"/>
    </w:p>
    <w:p w:rsidR="00A458B0" w:rsidRDefault="00CB710D" w:rsidP="00A458B0">
      <w:pPr>
        <w:pStyle w:val="PPVBody"/>
      </w:pPr>
      <w:bookmarkStart w:id="443" w:name="_Toc516414579"/>
      <w:bookmarkStart w:id="444" w:name="_Toc515285650"/>
      <w:r>
        <w:t>E</w:t>
      </w:r>
      <w:r w:rsidR="00A458B0">
        <w:t xml:space="preserve">nvironmental and other issues were raised through submissions and evidence, </w:t>
      </w:r>
      <w:r w:rsidR="0036760E">
        <w:t>including:</w:t>
      </w:r>
    </w:p>
    <w:p w:rsidR="00EE461B" w:rsidRDefault="00A458B0" w:rsidP="004F6781">
      <w:pPr>
        <w:pStyle w:val="PPVBullet1"/>
      </w:pPr>
      <w:r>
        <w:t>integrated water management</w:t>
      </w:r>
    </w:p>
    <w:p w:rsidR="00A458B0" w:rsidRDefault="00A458B0" w:rsidP="004F6781">
      <w:pPr>
        <w:pStyle w:val="PPVBullet1"/>
      </w:pPr>
      <w:r>
        <w:t>environmentally sustainable design</w:t>
      </w:r>
    </w:p>
    <w:p w:rsidR="00A458B0" w:rsidRDefault="00A458B0" w:rsidP="004F6781">
      <w:pPr>
        <w:pStyle w:val="PPVBullet1"/>
      </w:pPr>
      <w:r>
        <w:t xml:space="preserve">protection of </w:t>
      </w:r>
      <w:r w:rsidR="006534E0">
        <w:t xml:space="preserve">high pressure gas transmission </w:t>
      </w:r>
      <w:r>
        <w:t>pipelines</w:t>
      </w:r>
    </w:p>
    <w:p w:rsidR="00A458B0" w:rsidRDefault="00465059" w:rsidP="004F6781">
      <w:pPr>
        <w:pStyle w:val="PPVBullet1"/>
      </w:pPr>
      <w:r>
        <w:t>other environmental issues</w:t>
      </w:r>
    </w:p>
    <w:p w:rsidR="00A458B0" w:rsidRDefault="00A458B0" w:rsidP="004F6781">
      <w:pPr>
        <w:pStyle w:val="PPVBullet1"/>
      </w:pPr>
      <w:r>
        <w:t>heritage</w:t>
      </w:r>
    </w:p>
    <w:p w:rsidR="00A458B0" w:rsidRDefault="00A458B0" w:rsidP="00DD6314">
      <w:pPr>
        <w:pStyle w:val="Heading2"/>
      </w:pPr>
      <w:bookmarkStart w:id="445" w:name="_Toc517463804"/>
      <w:bookmarkStart w:id="446" w:name="_Toc519710300"/>
      <w:bookmarkStart w:id="447" w:name="_Toc519766860"/>
      <w:r>
        <w:t>Integrated water management</w:t>
      </w:r>
      <w:bookmarkEnd w:id="445"/>
      <w:bookmarkEnd w:id="446"/>
      <w:bookmarkEnd w:id="447"/>
    </w:p>
    <w:p w:rsidR="00465059" w:rsidRPr="00170C10" w:rsidRDefault="00465059" w:rsidP="00465059">
      <w:pPr>
        <w:pStyle w:val="Heading4"/>
      </w:pPr>
      <w:r>
        <w:t>Context and key issues</w:t>
      </w:r>
    </w:p>
    <w:p w:rsidR="00465059" w:rsidRDefault="00465059" w:rsidP="00465059">
      <w:pPr>
        <w:pStyle w:val="PPVBody"/>
      </w:pPr>
      <w:r>
        <w:t>Much of Fishermans Bend is low lying and flood prone from either or a combination of sea level rise/storm surge or major rainfall events.</w:t>
      </w:r>
      <w:r w:rsidRPr="00284D38">
        <w:t xml:space="preserve"> </w:t>
      </w:r>
      <w:r>
        <w:t xml:space="preserve"> Melbourne Water as the floodplain management authority requires a further 18 months to finalise it assessment and preferred flood management strategy for the area.</w:t>
      </w:r>
    </w:p>
    <w:p w:rsidR="00785416" w:rsidRDefault="00465059" w:rsidP="00465059">
      <w:pPr>
        <w:pStyle w:val="PPVBody"/>
      </w:pPr>
      <w:r>
        <w:t>Due to climate change effects, the sea level is expected to rise 0.8 metres by 2100, at which time the 1 in 100 year flood depth is expected to be 2.4 metres</w:t>
      </w:r>
      <w:r w:rsidRPr="00E6436F">
        <w:t xml:space="preserve"> </w:t>
      </w:r>
      <w:r>
        <w:t>Australian Height Datum (AHD) (refer</w:t>
      </w:r>
      <w:r w:rsidR="008D421B">
        <w:t xml:space="preserve"> to </w:t>
      </w:r>
      <w:r w:rsidR="008C3707">
        <w:fldChar w:fldCharType="begin"/>
      </w:r>
      <w:r w:rsidR="008C3707">
        <w:instrText xml:space="preserve"> REF _Ref519766682 \h </w:instrText>
      </w:r>
      <w:r w:rsidR="008C3707">
        <w:fldChar w:fldCharType="separate"/>
      </w:r>
      <w:r w:rsidR="00A307EC">
        <w:t xml:space="preserve">Figure </w:t>
      </w:r>
      <w:r w:rsidR="00A307EC">
        <w:rPr>
          <w:noProof/>
        </w:rPr>
        <w:t>12</w:t>
      </w:r>
      <w:r w:rsidR="008C3707">
        <w:fldChar w:fldCharType="end"/>
      </w:r>
      <w:r w:rsidR="008D421B">
        <w:t xml:space="preserve">).  </w:t>
      </w:r>
      <w:r>
        <w:t>Melbourne Water requires the minimum ground floor level to be 3.0 metres AHD which includes a factor of safety for tidal inundation and wave action.  The majority of Fishermans Bend ground levels range from 0.9 to 3.8 metres AHD, with the eastern parts of Sandridge and Montague, and Lorimer Precincts being the lowest lying areas that are most exposed.  Councils advocated for innovative means to tackle flood management</w:t>
      </w:r>
      <w:r w:rsidRPr="00284D38">
        <w:t xml:space="preserve"> </w:t>
      </w:r>
      <w:r>
        <w:t>where possible, to avoid the need to raise floor levels and to improve the urban realm.</w:t>
      </w:r>
    </w:p>
    <w:p w:rsidR="00785416" w:rsidRDefault="00465059" w:rsidP="00465059">
      <w:pPr>
        <w:pStyle w:val="Caption"/>
        <w:rPr>
          <w:noProof/>
        </w:rPr>
      </w:pPr>
      <w:bookmarkStart w:id="448" w:name="_Ref519766682"/>
      <w:bookmarkStart w:id="449" w:name="_Toc519270783"/>
      <w:bookmarkStart w:id="450" w:name="_Toc519719115"/>
      <w:bookmarkStart w:id="451" w:name="_Toc519710383"/>
      <w:r>
        <w:t xml:space="preserve">Figure </w:t>
      </w:r>
      <w:r>
        <w:rPr>
          <w:noProof/>
        </w:rPr>
        <w:fldChar w:fldCharType="begin"/>
      </w:r>
      <w:r>
        <w:rPr>
          <w:noProof/>
        </w:rPr>
        <w:instrText xml:space="preserve"> SEQ Figure \* ARABIC </w:instrText>
      </w:r>
      <w:r>
        <w:rPr>
          <w:noProof/>
        </w:rPr>
        <w:fldChar w:fldCharType="separate"/>
      </w:r>
      <w:r w:rsidR="00A307EC">
        <w:rPr>
          <w:noProof/>
        </w:rPr>
        <w:t>12</w:t>
      </w:r>
      <w:r>
        <w:rPr>
          <w:noProof/>
        </w:rPr>
        <w:fldChar w:fldCharType="end"/>
      </w:r>
      <w:bookmarkEnd w:id="448"/>
      <w:r>
        <w:t>:</w:t>
      </w:r>
      <w:r>
        <w:tab/>
        <w:t>Land above (green) and below (blue)</w:t>
      </w:r>
      <w:r>
        <w:rPr>
          <w:noProof/>
        </w:rPr>
        <w:t xml:space="preserve"> 2.4 metres AHD</w:t>
      </w:r>
      <w:r>
        <w:rPr>
          <w:rStyle w:val="FootnoteReference"/>
          <w:noProof/>
        </w:rPr>
        <w:footnoteReference w:id="112"/>
      </w:r>
      <w:bookmarkEnd w:id="449"/>
      <w:bookmarkEnd w:id="450"/>
      <w:bookmarkEnd w:id="451"/>
    </w:p>
    <w:p w:rsidR="00465059" w:rsidRDefault="00465059" w:rsidP="00465059">
      <w:pPr>
        <w:pStyle w:val="PPVBody"/>
        <w:jc w:val="left"/>
      </w:pPr>
      <w:r>
        <w:rPr>
          <w:noProof/>
        </w:rPr>
        <w:drawing>
          <wp:inline distT="0" distB="0" distL="0" distR="0" wp14:anchorId="623A3722" wp14:editId="6E620D2F">
            <wp:extent cx="4461048" cy="26987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99693" cy="2722129"/>
                    </a:xfrm>
                    <a:prstGeom prst="rect">
                      <a:avLst/>
                    </a:prstGeom>
                    <a:noFill/>
                    <a:ln>
                      <a:noFill/>
                    </a:ln>
                  </pic:spPr>
                </pic:pic>
              </a:graphicData>
            </a:graphic>
          </wp:inline>
        </w:drawing>
      </w:r>
    </w:p>
    <w:p w:rsidR="00465059" w:rsidRPr="006D3954" w:rsidRDefault="00465059" w:rsidP="00465059">
      <w:pPr>
        <w:pStyle w:val="PPVBody"/>
        <w:jc w:val="left"/>
        <w:rPr>
          <w:sz w:val="20"/>
          <w:szCs w:val="20"/>
        </w:rPr>
      </w:pPr>
      <w:r w:rsidRPr="006D3954">
        <w:rPr>
          <w:sz w:val="20"/>
          <w:szCs w:val="20"/>
        </w:rPr>
        <w:t>Source: GHD: Melbourne Water Baseline Drainage Plan Options 2017, Fig</w:t>
      </w:r>
      <w:r w:rsidR="00A90D8B">
        <w:rPr>
          <w:sz w:val="20"/>
          <w:szCs w:val="20"/>
        </w:rPr>
        <w:t>.</w:t>
      </w:r>
      <w:r w:rsidRPr="006D3954">
        <w:rPr>
          <w:sz w:val="20"/>
          <w:szCs w:val="20"/>
        </w:rPr>
        <w:t xml:space="preserve"> A1</w:t>
      </w:r>
    </w:p>
    <w:p w:rsidR="00465059" w:rsidRDefault="00465059" w:rsidP="00465059">
      <w:pPr>
        <w:pStyle w:val="PPVBody"/>
      </w:pPr>
      <w:r>
        <w:lastRenderedPageBreak/>
        <w:t>The key issues to be addressed are:</w:t>
      </w:r>
    </w:p>
    <w:p w:rsidR="00465059" w:rsidRDefault="00465059" w:rsidP="00465059">
      <w:pPr>
        <w:pStyle w:val="PPVBullet1"/>
      </w:pPr>
      <w:r>
        <w:t>requirement to raise floor levels to avoid flooding resulting in potentially poor urban design outcomes</w:t>
      </w:r>
    </w:p>
    <w:p w:rsidR="00465059" w:rsidRDefault="00465059" w:rsidP="00465059">
      <w:pPr>
        <w:pStyle w:val="PPVBullet1"/>
      </w:pPr>
      <w:r>
        <w:t>weakening of existing mandatory control</w:t>
      </w:r>
      <w:r w:rsidR="008B3FF6">
        <w:t>s</w:t>
      </w:r>
      <w:r>
        <w:t xml:space="preserve"> relating to third pipe (recycled water) plumbing and water tanks</w:t>
      </w:r>
    </w:p>
    <w:p w:rsidR="00465059" w:rsidRDefault="00465059" w:rsidP="00465059">
      <w:pPr>
        <w:pStyle w:val="PPVBullet1"/>
      </w:pPr>
      <w:r>
        <w:t>Melbourne Water status as a referral authority.</w:t>
      </w:r>
    </w:p>
    <w:p w:rsidR="00465059" w:rsidRDefault="00465059" w:rsidP="00465059">
      <w:pPr>
        <w:pStyle w:val="Heading4"/>
      </w:pPr>
      <w:r>
        <w:t>Submissions and evidence</w:t>
      </w:r>
    </w:p>
    <w:p w:rsidR="00465059" w:rsidRDefault="00465059" w:rsidP="00465059">
      <w:pPr>
        <w:pStyle w:val="PPVBody"/>
      </w:pPr>
      <w:r>
        <w:t xml:space="preserve">The Minister advised that Clause 22.XX includes a clear expectation that there will be a combination of physical and management measures to address sea level rise and flooding without compromising urban form at ground level.  </w:t>
      </w:r>
      <w:r w:rsidR="008D421B">
        <w:t xml:space="preserve">Potential </w:t>
      </w:r>
      <w:r>
        <w:t>measures included:</w:t>
      </w:r>
    </w:p>
    <w:p w:rsidR="00465059" w:rsidRDefault="00465059" w:rsidP="00465059">
      <w:pPr>
        <w:pStyle w:val="PPVBullet1"/>
      </w:pPr>
      <w:r>
        <w:t>construction of a levee</w:t>
      </w:r>
    </w:p>
    <w:p w:rsidR="00465059" w:rsidRDefault="00465059" w:rsidP="00465059">
      <w:pPr>
        <w:pStyle w:val="PPVBullet1"/>
      </w:pPr>
      <w:r>
        <w:t>providing design elements and materials that are resilient to flood events</w:t>
      </w:r>
    </w:p>
    <w:p w:rsidR="00465059" w:rsidRDefault="00465059" w:rsidP="00465059">
      <w:pPr>
        <w:pStyle w:val="PPVBullet1"/>
      </w:pPr>
      <w:r>
        <w:t>facilitating uses at ground level that can quickly recover from flood events</w:t>
      </w:r>
    </w:p>
    <w:p w:rsidR="00465059" w:rsidRDefault="00465059" w:rsidP="00465059">
      <w:pPr>
        <w:pStyle w:val="PPVBullet1"/>
      </w:pPr>
      <w:r>
        <w:t>raising ground floors above street level, but only as a last resort.</w:t>
      </w:r>
    </w:p>
    <w:p w:rsidR="00785416" w:rsidRDefault="00465059" w:rsidP="00465059">
      <w:pPr>
        <w:pStyle w:val="PPVBody"/>
      </w:pPr>
      <w:r w:rsidRPr="00557A68">
        <w:t>As the flood plain manager, Melbourne Water has a statutory function to set floor levels.  It takes a risk based approach to setting floor levels</w:t>
      </w:r>
      <w:r>
        <w:t>,</w:t>
      </w:r>
      <w:r w:rsidRPr="00557A68">
        <w:t xml:space="preserve"> with residential and office levels</w:t>
      </w:r>
      <w:r>
        <w:t xml:space="preserve"> (which are not particularly flood resilient) requiring the most protection.  It submitted that some flexibility could be allowed for commercial lobbies and retail tenancies.</w:t>
      </w:r>
      <w:r w:rsidRPr="00027CA5">
        <w:t xml:space="preserve"> </w:t>
      </w:r>
      <w:r>
        <w:t xml:space="preserve"> </w:t>
      </w:r>
      <w:r w:rsidRPr="005D460F">
        <w:t>Melbourne Water advised that rainwater tank</w:t>
      </w:r>
      <w:r w:rsidRPr="004C3293">
        <w:t xml:space="preserve">s </w:t>
      </w:r>
      <w:r>
        <w:t>fulfil an</w:t>
      </w:r>
      <w:r w:rsidRPr="005D460F">
        <w:t xml:space="preserve"> important flood mitigation</w:t>
      </w:r>
      <w:r>
        <w:t xml:space="preserve"> function, and supported</w:t>
      </w:r>
      <w:r w:rsidRPr="005D460F">
        <w:t xml:space="preserve"> </w:t>
      </w:r>
      <w:r w:rsidRPr="004C3293">
        <w:t>precinct based solutions including levees, pumps and pipe upgrades.</w:t>
      </w:r>
    </w:p>
    <w:p w:rsidR="00785416" w:rsidRDefault="00465059" w:rsidP="00465059">
      <w:pPr>
        <w:pStyle w:val="PPVBody"/>
      </w:pPr>
      <w:r>
        <w:t>Both Councils were concerned that Melbourne Water’s requirement to raise ground floor levels would result in poor urban design outcomes, and a poor interface between public and private realms.  They pointed to the Gravity Building on Montague Street as an example.  Port Phillip submitted that rainwater tanks and third pipe supply are vital components in flood mitigation and should be given appropriate weight by relocating the relevant provisions from Clause 22.XX into the CCZ Schedule, and converting them to mandatory permit conditions.</w:t>
      </w:r>
      <w:r w:rsidRPr="006D1031">
        <w:t xml:space="preserve"> </w:t>
      </w:r>
      <w:r>
        <w:t xml:space="preserve"> Both Councils submitted that raising floor levels should be an option of last resort.</w:t>
      </w:r>
    </w:p>
    <w:p w:rsidR="00785416" w:rsidRDefault="00465059" w:rsidP="00465059">
      <w:pPr>
        <w:pStyle w:val="PPVBody"/>
      </w:pPr>
      <w:r>
        <w:t>The Councils advocated for precinct based flood management strategies, to reduce or eliminate the need to raise ground floor levels.  They called Mr Patterson of Ramboll who presented a flood management strategy know as a ‘Cloudburst Masterplan’.  Essentially this strategy principally uses the streets, laneways and parks to store and transfer stormwater above ground in a safe manner.  This reduces flood heights and flow rates to safe levels and keeps water from inundating buildings.  The strategy also incorporates the use of rainwater tanks (to capture and reduce peak rainfall flood events), and a flood levee (to protect against storm surge and climate change sea level rises) around Fishermans Bend and extending to Port Melbourne and Station Pier.</w:t>
      </w:r>
    </w:p>
    <w:p w:rsidR="00465059" w:rsidRDefault="00465059" w:rsidP="00465059">
      <w:pPr>
        <w:pStyle w:val="PPVBody"/>
      </w:pPr>
      <w:r>
        <w:t xml:space="preserve">While individual elements of this strategy are regularly used throughout Victoria (for example, detention ponds/wetlands in growth areas) the combination of all elements has only occurred in some European and North American cities to date.  Mr Patterson acknowledged that the Cloudburst Masterplan is currently at a conceptual level only, and that further modelling and investigation would be required before it was implemented.  In particular he was unsure what impact the flood levee would have on other nearby low lying areas along the Yarra River and Maribyrnong River catchments, and noted that the levee </w:t>
      </w:r>
      <w:r>
        <w:lastRenderedPageBreak/>
        <w:t>could result in stormwater being retained within the levee, increasing requirements for stormwater detention facilities within Fishermans Bend.</w:t>
      </w:r>
    </w:p>
    <w:p w:rsidR="00465059" w:rsidRDefault="00465059" w:rsidP="00465059">
      <w:pPr>
        <w:pStyle w:val="PPVBody"/>
      </w:pPr>
      <w:r>
        <w:t>Port Phillip acknowledged that the Cloudburst Masterplan requires further design and modelling, but believed that it should be integrated into the Framework Plan at this stage</w:t>
      </w:r>
      <w:r w:rsidR="007737CD">
        <w:t>.</w:t>
      </w:r>
      <w:r w:rsidR="007737CD" w:rsidRPr="00BA0963">
        <w:t xml:space="preserve">  </w:t>
      </w:r>
      <w:r>
        <w:t>Melbourne Water submitted that f</w:t>
      </w:r>
      <w:r w:rsidRPr="0072174A">
        <w:t xml:space="preserve">urther modelling, including a more detailed assessment of </w:t>
      </w:r>
      <w:r>
        <w:t xml:space="preserve">Mr Patterson’s </w:t>
      </w:r>
      <w:r w:rsidRPr="0072174A">
        <w:t>strategy as well as other innovative solutions</w:t>
      </w:r>
      <w:r>
        <w:t>,</w:t>
      </w:r>
      <w:r w:rsidRPr="0072174A">
        <w:t xml:space="preserve"> is still required.</w:t>
      </w:r>
      <w:r>
        <w:t xml:space="preserve">  The Minister agreed</w:t>
      </w:r>
      <w:r>
        <w:rPr>
          <w:rStyle w:val="PPVQuoteChar"/>
        </w:rPr>
        <w:t>,</w:t>
      </w:r>
      <w:r>
        <w:t xml:space="preserve"> and submitted that </w:t>
      </w:r>
      <w:r w:rsidRPr="000A567E">
        <w:t xml:space="preserve">Melbourne Water </w:t>
      </w:r>
      <w:r>
        <w:t>should remain</w:t>
      </w:r>
      <w:r w:rsidRPr="000A567E">
        <w:t xml:space="preserve"> a referral authority at the planning stage (and not </w:t>
      </w:r>
      <w:r>
        <w:t xml:space="preserve">just </w:t>
      </w:r>
      <w:r w:rsidRPr="000A567E">
        <w:t>at the building stage) to ensure better quality outcomes are realised</w:t>
      </w:r>
      <w:r>
        <w:t>.</w:t>
      </w:r>
    </w:p>
    <w:p w:rsidR="00465059" w:rsidRDefault="00465059" w:rsidP="00465059">
      <w:pPr>
        <w:pStyle w:val="Heading4"/>
      </w:pPr>
      <w:r>
        <w:t>Discussion</w:t>
      </w:r>
    </w:p>
    <w:p w:rsidR="00465059" w:rsidRDefault="00465059" w:rsidP="00465059">
      <w:pPr>
        <w:pStyle w:val="PPVBody"/>
      </w:pPr>
      <w:r>
        <w:t>The Review Panel accepts that flood management is a significant infrastructure issue that still needs to be resolved.  The Cloudburst Masterplan presented by Mr Patterson on behalf of the Councils appears to have merit.  As noted by Mr Patterson and Melbourne Water, further modelling and design work is required, as part of a more overarching assessment of the suite of flood management options and infrastructure assets</w:t>
      </w:r>
      <w:r w:rsidR="007737CD">
        <w:t>.</w:t>
      </w:r>
      <w:r w:rsidR="007737CD" w:rsidRPr="00FD090D">
        <w:t xml:space="preserve">  </w:t>
      </w:r>
      <w:r>
        <w:t>The Review Panel considers that further investigation into the Cloudburst Masterplan should be undertaken as part of Melbourne Water’s finalisation of an appropriate flood management strategy for Fishermans Bend.</w:t>
      </w:r>
    </w:p>
    <w:p w:rsidR="00465059" w:rsidRDefault="00465059" w:rsidP="00465059">
      <w:pPr>
        <w:pStyle w:val="PPVBody"/>
      </w:pPr>
      <w:r>
        <w:t xml:space="preserve">A levee is already in place around some sections of Fishermans Bend.  The Yarra’s Edge development has a levee incorporated into its design, as do sections of Southbank.  Investigations should consider whether additional or higher levees should be constructed to complement the existing levees.  The Review Panel recognises that while a levee may reduce flood risk, it does not eliminate it.  It also notes that </w:t>
      </w:r>
      <w:r w:rsidRPr="000B6D3D">
        <w:t xml:space="preserve">Port of Melbourne </w:t>
      </w:r>
      <w:r>
        <w:t>Corporation does not support a levee being introduced as it may adversely affect port operations.</w:t>
      </w:r>
    </w:p>
    <w:p w:rsidR="00465059" w:rsidRDefault="00465059" w:rsidP="00465059">
      <w:pPr>
        <w:pStyle w:val="PPVBody"/>
      </w:pPr>
      <w:r>
        <w:t>The Review Panel endorses Port Phillip’s submission (which is reflected in the Part C version of the controls) that the requirements for installation of a third pipe for recycled water use and rainwater tanks</w:t>
      </w:r>
      <w:r w:rsidRPr="00C43703">
        <w:t xml:space="preserve"> </w:t>
      </w:r>
      <w:r>
        <w:t xml:space="preserve">should be shifted to the CCZ controls and made mandatory.  This is appropriate and </w:t>
      </w:r>
      <w:r w:rsidR="005741DD">
        <w:t xml:space="preserve">would </w:t>
      </w:r>
      <w:r>
        <w:t>strengthen integrated water management for Fishermans Bend.</w:t>
      </w:r>
    </w:p>
    <w:p w:rsidR="00785416" w:rsidRDefault="00465059" w:rsidP="00465059">
      <w:r w:rsidRPr="001867DD">
        <w:t xml:space="preserve">Melbourne Water </w:t>
      </w:r>
      <w:r>
        <w:t>should continue to provide input to applications at the planning permit stage to ensure optimal outcomes are realised, and that safe and functional designs are realised which incorporate appropriate stormwater management and flood mitigation measures.</w:t>
      </w:r>
    </w:p>
    <w:p w:rsidR="00465059" w:rsidRDefault="00465059" w:rsidP="00465059">
      <w:pPr>
        <w:pStyle w:val="Heading4"/>
      </w:pPr>
      <w:r>
        <w:t>Findings</w:t>
      </w:r>
    </w:p>
    <w:p w:rsidR="00465059" w:rsidRDefault="00465059" w:rsidP="00465059">
      <w:pPr>
        <w:pStyle w:val="PPVBody"/>
      </w:pPr>
      <w:r>
        <w:t>The Review Panel finds:</w:t>
      </w:r>
    </w:p>
    <w:p w:rsidR="00465059" w:rsidRDefault="00465059" w:rsidP="00465059">
      <w:pPr>
        <w:pStyle w:val="PPVBullet1"/>
      </w:pPr>
      <w:r>
        <w:t>it supports mandatory permit conditions requiring the installation of third pipe systems for recycled water use and rainwater tanks</w:t>
      </w:r>
    </w:p>
    <w:p w:rsidR="00465059" w:rsidRPr="0021356D" w:rsidRDefault="00465059" w:rsidP="00465059">
      <w:pPr>
        <w:pStyle w:val="PPVBullet1"/>
      </w:pPr>
      <w:r w:rsidRPr="0021356D">
        <w:t xml:space="preserve">Melbourne Water </w:t>
      </w:r>
      <w:r>
        <w:t xml:space="preserve">should </w:t>
      </w:r>
      <w:r w:rsidRPr="0021356D">
        <w:t xml:space="preserve">continue as a </w:t>
      </w:r>
      <w:r>
        <w:t>r</w:t>
      </w:r>
      <w:r w:rsidRPr="0021356D">
        <w:t xml:space="preserve">eferral </w:t>
      </w:r>
      <w:r>
        <w:t>a</w:t>
      </w:r>
      <w:r w:rsidRPr="0021356D">
        <w:t>uthority.</w:t>
      </w:r>
    </w:p>
    <w:p w:rsidR="0060322C" w:rsidRDefault="0060322C">
      <w:pPr>
        <w:spacing w:before="0"/>
        <w:jc w:val="left"/>
        <w:rPr>
          <w:rFonts w:eastAsia="Dotum"/>
          <w:b/>
          <w:kern w:val="32"/>
          <w:sz w:val="28"/>
          <w:szCs w:val="28"/>
        </w:rPr>
      </w:pPr>
      <w:bookmarkStart w:id="452" w:name="_Toc519710301"/>
      <w:bookmarkEnd w:id="443"/>
      <w:r>
        <w:br w:type="page"/>
      </w:r>
    </w:p>
    <w:p w:rsidR="004C2238" w:rsidRDefault="00F311B2" w:rsidP="00DD6314">
      <w:pPr>
        <w:pStyle w:val="Heading2"/>
      </w:pPr>
      <w:bookmarkStart w:id="453" w:name="_Toc519766861"/>
      <w:r>
        <w:lastRenderedPageBreak/>
        <w:t>Environmentally sustainable design</w:t>
      </w:r>
      <w:bookmarkEnd w:id="452"/>
      <w:bookmarkEnd w:id="453"/>
    </w:p>
    <w:p w:rsidR="00EE461B" w:rsidRDefault="00824A51" w:rsidP="00824A51">
      <w:pPr>
        <w:pStyle w:val="Heading4"/>
      </w:pPr>
      <w:r>
        <w:t>Context</w:t>
      </w:r>
      <w:r w:rsidR="00465059">
        <w:t xml:space="preserve"> and key issues</w:t>
      </w:r>
    </w:p>
    <w:p w:rsidR="00EE461B" w:rsidRDefault="00824A51" w:rsidP="00824A51">
      <w:pPr>
        <w:pStyle w:val="PPVBody"/>
      </w:pPr>
      <w:r w:rsidRPr="00B168BD">
        <w:t xml:space="preserve">The Vision is for Fishermans Bend to be </w:t>
      </w:r>
      <w:r>
        <w:t xml:space="preserve">a </w:t>
      </w:r>
      <w:r w:rsidRPr="00B168BD">
        <w:t>“</w:t>
      </w:r>
      <w:r w:rsidRPr="00B168BD">
        <w:rPr>
          <w:i/>
        </w:rPr>
        <w:t>thriving place that is a leading example for environmental sustainability, liveability, connectivity, diversity and innovation</w:t>
      </w:r>
      <w:r w:rsidR="00A90D8B">
        <w:t>”.</w:t>
      </w:r>
      <w:r w:rsidRPr="00B168BD">
        <w:t xml:space="preserve">  It envisages that the Fishermans Bend of 2050 will be “</w:t>
      </w:r>
      <w:r w:rsidRPr="00B168BD">
        <w:rPr>
          <w:i/>
        </w:rPr>
        <w:t>celebrated as an exemplar of sustainable and resilient urban transformation</w:t>
      </w:r>
      <w:r w:rsidRPr="00B168BD">
        <w:t>”.</w:t>
      </w:r>
    </w:p>
    <w:p w:rsidR="00824A51" w:rsidRDefault="00824A51" w:rsidP="00824A51">
      <w:pPr>
        <w:pStyle w:val="PPVBody"/>
      </w:pPr>
      <w:r w:rsidRPr="00B168BD">
        <w:t>This Vision is reflected in the Framework, and in the eight sustainability goals contained in the Framework.</w:t>
      </w:r>
      <w:r>
        <w:t xml:space="preserve">  The sustainability goals in the Framework extend beyond </w:t>
      </w:r>
      <w:r w:rsidR="006236F3">
        <w:t>ESD</w:t>
      </w:r>
      <w:r>
        <w:t>, but goal 7 (a low carbon community) specifically addresses ESD with the following key objectives</w:t>
      </w:r>
      <w:r w:rsidR="007339EB">
        <w:t>:</w:t>
      </w:r>
      <w:r w:rsidRPr="00820B43">
        <w:rPr>
          <w:rStyle w:val="FootnoteReference"/>
        </w:rPr>
        <w:footnoteReference w:id="113"/>
      </w:r>
    </w:p>
    <w:p w:rsidR="00824A51" w:rsidRPr="00B168BD" w:rsidRDefault="00824A51" w:rsidP="004F6781">
      <w:pPr>
        <w:pStyle w:val="PPVBullet1"/>
      </w:pPr>
      <w:r>
        <w:t xml:space="preserve">Fishermans Bend will be the </w:t>
      </w:r>
      <w:r w:rsidRPr="00B168BD">
        <w:t xml:space="preserve">largest urban renewal </w:t>
      </w:r>
      <w:r w:rsidR="005E5EC2">
        <w:t>Green Star</w:t>
      </w:r>
      <w:r w:rsidRPr="00B168BD">
        <w:t xml:space="preserve"> – Community</w:t>
      </w:r>
      <w:r>
        <w:t xml:space="preserve"> in Australia</w:t>
      </w:r>
    </w:p>
    <w:p w:rsidR="00824A51" w:rsidRPr="00B168BD" w:rsidRDefault="00824A51" w:rsidP="004F6781">
      <w:pPr>
        <w:pStyle w:val="PPVBullet1"/>
      </w:pPr>
      <w:r>
        <w:t>Fishermans Bend will be a net zero carbon emissions precinct by 2050</w:t>
      </w:r>
    </w:p>
    <w:p w:rsidR="00824A51" w:rsidRPr="0097577A" w:rsidRDefault="00824A51" w:rsidP="004F6781">
      <w:pPr>
        <w:pStyle w:val="PPVBullet1"/>
      </w:pPr>
      <w:r>
        <w:t xml:space="preserve">new buildings will be designed to best practice ESD standards, and will be required to meet a minimum 4 Star </w:t>
      </w:r>
      <w:r w:rsidR="005E5EC2">
        <w:t>Green Star</w:t>
      </w:r>
      <w:r>
        <w:t xml:space="preserve"> rating</w:t>
      </w:r>
    </w:p>
    <w:p w:rsidR="00EE461B" w:rsidRDefault="00824A51" w:rsidP="004F6781">
      <w:pPr>
        <w:pStyle w:val="PPVBullet1"/>
      </w:pPr>
      <w:r>
        <w:t>renewable energy generation, storage and distribution will be maximised.</w:t>
      </w:r>
    </w:p>
    <w:p w:rsidR="00824A51" w:rsidRDefault="00824A51" w:rsidP="00824A51">
      <w:pPr>
        <w:pStyle w:val="PPVBody"/>
      </w:pPr>
      <w:r>
        <w:t xml:space="preserve">The </w:t>
      </w:r>
      <w:r w:rsidR="00953151">
        <w:t xml:space="preserve">draft </w:t>
      </w:r>
      <w:r>
        <w:t xml:space="preserve">Framework and Vision are supported by the </w:t>
      </w:r>
      <w:r w:rsidRPr="00953151">
        <w:rPr>
          <w:i/>
        </w:rPr>
        <w:t>Fishermans Bend Sustainability Strategy</w:t>
      </w:r>
      <w:r>
        <w:t xml:space="preserve">, the </w:t>
      </w:r>
      <w:r w:rsidRPr="00953151">
        <w:rPr>
          <w:i/>
        </w:rPr>
        <w:t>Fishermans Bend Net Zero Emissions Strategy</w:t>
      </w:r>
      <w:r>
        <w:t xml:space="preserve"> (D198) and the </w:t>
      </w:r>
      <w:r w:rsidRPr="00953151">
        <w:rPr>
          <w:i/>
        </w:rPr>
        <w:t xml:space="preserve">Fishermans Bend Climate Readiness Accommodation Strategy </w:t>
      </w:r>
      <w:r>
        <w:t>(D199).</w:t>
      </w:r>
    </w:p>
    <w:p w:rsidR="00EE461B" w:rsidRDefault="00824A51" w:rsidP="00824A51">
      <w:pPr>
        <w:pStyle w:val="Heading4"/>
      </w:pPr>
      <w:r>
        <w:t>Submissions and evidence</w:t>
      </w:r>
    </w:p>
    <w:p w:rsidR="00EE461B" w:rsidRDefault="00824A51" w:rsidP="00824A51">
      <w:pPr>
        <w:pStyle w:val="PPVBody"/>
      </w:pPr>
      <w:r>
        <w:t xml:space="preserve">The Minister submitted that the proposed planning controls (in particular the 4 Star </w:t>
      </w:r>
      <w:r w:rsidR="005E5EC2">
        <w:t>Green Star</w:t>
      </w:r>
      <w:r>
        <w:t xml:space="preserve"> requirement for buildings) strike an appropriate balance between implementing sustainability requirements, and providing feasible and achievable objectives and strategies.  He submitted that “</w:t>
      </w:r>
      <w:r w:rsidRPr="00AC4002">
        <w:rPr>
          <w:i/>
        </w:rPr>
        <w:t>it is unrealistic to</w:t>
      </w:r>
      <w:r>
        <w:rPr>
          <w:i/>
        </w:rPr>
        <w:t xml:space="preserve"> consider that all of the goals expressed in the Framework will be achieved in the </w:t>
      </w:r>
      <w:r w:rsidR="00B40278">
        <w:rPr>
          <w:i/>
        </w:rPr>
        <w:t>short term</w:t>
      </w:r>
      <w:r>
        <w:rPr>
          <w:i/>
        </w:rPr>
        <w:t xml:space="preserve"> or that the highest possible standards should be mandated immediately</w:t>
      </w:r>
      <w:r>
        <w:t>”.</w:t>
      </w:r>
      <w:r w:rsidRPr="00820B43">
        <w:rPr>
          <w:rStyle w:val="FootnoteReference"/>
        </w:rPr>
        <w:footnoteReference w:id="114"/>
      </w:r>
      <w:r>
        <w:t xml:space="preserve">  He submitted that targets will be reviewed during the life of the Framework, and there is an expectation of future increases in performance requirements.</w:t>
      </w:r>
    </w:p>
    <w:p w:rsidR="00374E11" w:rsidRDefault="00824A51" w:rsidP="00824A51">
      <w:pPr>
        <w:pStyle w:val="PPVBody"/>
      </w:pPr>
      <w:r>
        <w:t xml:space="preserve">Melbourne submitted that the </w:t>
      </w:r>
      <w:r w:rsidRPr="00B221EC">
        <w:t>4</w:t>
      </w:r>
      <w:r>
        <w:t xml:space="preserve"> Star</w:t>
      </w:r>
      <w:r w:rsidRPr="00B221EC">
        <w:t xml:space="preserve"> </w:t>
      </w:r>
      <w:r w:rsidR="005E5EC2">
        <w:t>Green Star</w:t>
      </w:r>
      <w:r w:rsidRPr="00B221EC">
        <w:t xml:space="preserve"> requirement </w:t>
      </w:r>
      <w:r>
        <w:t>for buildings is a “</w:t>
      </w:r>
      <w:r w:rsidRPr="00A81721">
        <w:rPr>
          <w:i/>
        </w:rPr>
        <w:t>retrograde step</w:t>
      </w:r>
      <w:r>
        <w:t>”, and should be increased to 5 Stars.  It noted that a 5 Star requirement is already in place under Melbourne’s Energy, Water and Waste local policy (Clause 22.19 of the Melbourne Planning Scheme), and that the 5 Star standard is generally accepted in the development community.</w:t>
      </w:r>
    </w:p>
    <w:p w:rsidR="00465059" w:rsidRDefault="00465059" w:rsidP="00465059">
      <w:pPr>
        <w:pStyle w:val="PPVBody"/>
      </w:pPr>
      <w:r w:rsidRPr="00A81721">
        <w:t>Port Phillip supported Melbourne’s</w:t>
      </w:r>
      <w:r w:rsidR="005741DD">
        <w:t xml:space="preserve"> position</w:t>
      </w:r>
      <w:r>
        <w:rPr>
          <w:rStyle w:val="PPVBodyChar"/>
          <w:sz w:val="24"/>
          <w:szCs w:val="24"/>
        </w:rPr>
        <w:t xml:space="preserve">, and further </w:t>
      </w:r>
      <w:r>
        <w:t>submitted that:</w:t>
      </w:r>
    </w:p>
    <w:p w:rsidR="00465059" w:rsidRDefault="00465059" w:rsidP="00465059">
      <w:pPr>
        <w:pStyle w:val="PPVBullet1"/>
      </w:pPr>
      <w:r w:rsidRPr="00B221EC">
        <w:t xml:space="preserve">Fishermans Bend should aim to achieve </w:t>
      </w:r>
      <w:r>
        <w:t xml:space="preserve">a 6 Star Green Star – </w:t>
      </w:r>
      <w:r w:rsidRPr="00B221EC">
        <w:t>Communities</w:t>
      </w:r>
      <w:r>
        <w:t xml:space="preserve"> </w:t>
      </w:r>
      <w:r w:rsidRPr="00B221EC">
        <w:t>accreditation</w:t>
      </w:r>
    </w:p>
    <w:p w:rsidR="00465059" w:rsidRDefault="00465059" w:rsidP="00465059">
      <w:pPr>
        <w:pStyle w:val="PPVBullet1"/>
      </w:pPr>
      <w:r>
        <w:t xml:space="preserve">the </w:t>
      </w:r>
      <w:r w:rsidRPr="00B221EC">
        <w:t xml:space="preserve">7 </w:t>
      </w:r>
      <w:r>
        <w:t>Star</w:t>
      </w:r>
      <w:r w:rsidRPr="00B221EC">
        <w:t xml:space="preserve"> </w:t>
      </w:r>
      <w:r w:rsidRPr="002D1D6D">
        <w:t>NatHERS</w:t>
      </w:r>
      <w:r>
        <w:t xml:space="preserve"> (Nationwide House Energy Rating Scheme)</w:t>
      </w:r>
      <w:r w:rsidRPr="00B221EC">
        <w:t xml:space="preserve"> </w:t>
      </w:r>
      <w:r>
        <w:t xml:space="preserve">requirement currently contained in Clause 22.XX </w:t>
      </w:r>
      <w:r w:rsidRPr="00B221EC">
        <w:t xml:space="preserve">should be increased to 8 </w:t>
      </w:r>
      <w:r>
        <w:t>Star</w:t>
      </w:r>
      <w:r w:rsidRPr="00B221EC">
        <w:t>s</w:t>
      </w:r>
    </w:p>
    <w:p w:rsidR="00465059" w:rsidRPr="00825769" w:rsidRDefault="00465059" w:rsidP="00465059">
      <w:pPr>
        <w:pStyle w:val="PPVBullet1"/>
      </w:pPr>
      <w:r w:rsidRPr="005D460F">
        <w:t>non-reside</w:t>
      </w:r>
      <w:r w:rsidRPr="00825769">
        <w:t xml:space="preserve">ntial development should be required to achieve a </w:t>
      </w:r>
      <w:r w:rsidRPr="002D1D6D">
        <w:t>NABERS</w:t>
      </w:r>
      <w:r w:rsidRPr="005D460F">
        <w:t xml:space="preserve"> </w:t>
      </w:r>
      <w:r w:rsidRPr="00825769">
        <w:t>(</w:t>
      </w:r>
      <w:r w:rsidRPr="002D1D6D">
        <w:t>National Australian Built Environment Rating System</w:t>
      </w:r>
      <w:r>
        <w:t xml:space="preserve">) </w:t>
      </w:r>
      <w:r w:rsidRPr="005D460F">
        <w:t>rating of 5</w:t>
      </w:r>
      <w:r w:rsidRPr="00825769">
        <w:t>.5 Stars.</w:t>
      </w:r>
    </w:p>
    <w:p w:rsidR="00824A51" w:rsidRDefault="00824A51" w:rsidP="00824A51">
      <w:pPr>
        <w:pStyle w:val="PPVBody"/>
      </w:pPr>
      <w:r>
        <w:lastRenderedPageBreak/>
        <w:t xml:space="preserve">Mr Williamson gave sustainability evidence for Melbourne and Port Phillip.  He provided a detailed analysis of the </w:t>
      </w:r>
      <w:r w:rsidR="00953151">
        <w:t xml:space="preserve">draft </w:t>
      </w:r>
      <w:r>
        <w:t xml:space="preserve">Framework and </w:t>
      </w:r>
      <w:r w:rsidR="00953151">
        <w:t>draft</w:t>
      </w:r>
      <w:r>
        <w:t xml:space="preserve"> Amendment, as well as the related background documents, and concluded that</w:t>
      </w:r>
      <w:r w:rsidR="00DB706C">
        <w:t>:</w:t>
      </w:r>
      <w:r w:rsidRPr="00820B43">
        <w:rPr>
          <w:rStyle w:val="FootnoteReference"/>
        </w:rPr>
        <w:footnoteReference w:id="115"/>
      </w:r>
    </w:p>
    <w:p w:rsidR="00824A51" w:rsidRDefault="00824A51" w:rsidP="00824A51">
      <w:pPr>
        <w:pStyle w:val="PPVQuote"/>
      </w:pPr>
      <w:r>
        <w:t>The existing and proposed planning controls for Fishermans Bend are highly unlikely to achieve the standard of sustainability set out in the Fishermans Bend draft Framework and Vision document, the Sustainability Strategy or Fact Sheets.</w:t>
      </w:r>
    </w:p>
    <w:p w:rsidR="00824A51" w:rsidRDefault="00824A51" w:rsidP="00824A51">
      <w:pPr>
        <w:pStyle w:val="PPVQuote"/>
      </w:pPr>
      <w:r>
        <w:t>When considering the planning control provisions as a whole, they do not represent a significant improvement on the standard of sustainability in current planning applications</w:t>
      </w:r>
      <w:r w:rsidR="007A25E6">
        <w:t xml:space="preserve"> …</w:t>
      </w:r>
    </w:p>
    <w:p w:rsidR="00953151" w:rsidRDefault="00824A51" w:rsidP="00824A51">
      <w:pPr>
        <w:pStyle w:val="PPVBody"/>
      </w:pPr>
      <w:r>
        <w:t xml:space="preserve">The Framework and controls refer to a </w:t>
      </w:r>
      <w:r w:rsidR="005E5EC2">
        <w:t>Green Star</w:t>
      </w:r>
      <w:r w:rsidRPr="00386182">
        <w:t xml:space="preserve"> </w:t>
      </w:r>
      <w:r>
        <w:t xml:space="preserve">– </w:t>
      </w:r>
      <w:r w:rsidRPr="00386182">
        <w:t>Communities</w:t>
      </w:r>
      <w:r>
        <w:t xml:space="preserve"> rating, but do not specify what rating is aimed for.  Mr Williamson’s evidence was that without a 6 Star </w:t>
      </w:r>
      <w:r w:rsidR="005E5EC2">
        <w:t>Green Star</w:t>
      </w:r>
      <w:r>
        <w:t xml:space="preserve"> Communities rating, several of the targets and goals outlined in the Framework are unlikely to be achieved</w:t>
      </w:r>
      <w:r w:rsidR="00323442">
        <w:t>.</w:t>
      </w:r>
    </w:p>
    <w:p w:rsidR="00323442" w:rsidRDefault="00323442" w:rsidP="00323442">
      <w:pPr>
        <w:pStyle w:val="PPVBody"/>
      </w:pPr>
      <w:r>
        <w:t xml:space="preserve">He noted that the proposed </w:t>
      </w:r>
      <w:r w:rsidRPr="00386182">
        <w:t xml:space="preserve">4 </w:t>
      </w:r>
      <w:r>
        <w:t>Star Green Star</w:t>
      </w:r>
      <w:r w:rsidRPr="00386182">
        <w:t xml:space="preserve"> </w:t>
      </w:r>
      <w:r>
        <w:t>requirement for buildings is lower than current standards encouraged under local policy in both planning schemes, and would add little to no value.  His evidence was that a 5 Star standard is relatively widely accepted in the market, although he conceded in cross examination by Ms Foley that there is not widespread uptake of the Green Star system in residential developments.  He nevertheless noted that VCAT typically upholds permit conditions requiring a 5 Star standard, and maintained that a 4 Star standard would represent a backward step.</w:t>
      </w:r>
    </w:p>
    <w:p w:rsidR="00323442" w:rsidRDefault="00323442" w:rsidP="00323442">
      <w:pPr>
        <w:pStyle w:val="PPVBody"/>
      </w:pPr>
      <w:r>
        <w:t>The MAC supported the proposed 4 Star Green Star standard for buildings “</w:t>
      </w:r>
      <w:r w:rsidRPr="00235916">
        <w:rPr>
          <w:i/>
        </w:rPr>
        <w:t>reluctantly</w:t>
      </w:r>
      <w:r>
        <w:t xml:space="preserve">”, as it considered that a 4 Star standard would </w:t>
      </w:r>
      <w:r w:rsidRPr="006471B9">
        <w:t>encourage adaptive re-use of heritage buildings</w:t>
      </w:r>
      <w:r>
        <w:t xml:space="preserve"> whereas a 5 Star standard may not</w:t>
      </w:r>
      <w:r w:rsidRPr="006471B9">
        <w:t xml:space="preserve">.  </w:t>
      </w:r>
      <w:r>
        <w:t>In response to questions from the Review Panel, the MAC maintained that a 4 Star standard was appropriate, although developers should be “</w:t>
      </w:r>
      <w:r w:rsidRPr="00235916">
        <w:rPr>
          <w:i/>
        </w:rPr>
        <w:t>strongly encouraged</w:t>
      </w:r>
      <w:r>
        <w:t xml:space="preserve">” to achieve a 5 Star standard.  It noted that the </w:t>
      </w:r>
      <w:r w:rsidRPr="006471B9">
        <w:t>current planning scheme</w:t>
      </w:r>
      <w:r>
        <w:t>s</w:t>
      </w:r>
      <w:r w:rsidRPr="006471B9">
        <w:t xml:space="preserve"> do not mandate </w:t>
      </w:r>
      <w:r>
        <w:t>any Green Star ratings</w:t>
      </w:r>
      <w:r w:rsidRPr="006471B9">
        <w:t xml:space="preserve">, </w:t>
      </w:r>
      <w:r>
        <w:t xml:space="preserve">and that standards expressed in local policy are </w:t>
      </w:r>
      <w:r w:rsidRPr="006471B9">
        <w:t>aspirational only</w:t>
      </w:r>
      <w:r>
        <w:t>.</w:t>
      </w:r>
    </w:p>
    <w:p w:rsidR="00323442" w:rsidRDefault="00323442" w:rsidP="00323442">
      <w:pPr>
        <w:pStyle w:val="PPVBody"/>
      </w:pPr>
      <w:r>
        <w:t>The Property Council of Australia supported a 5 Star Green Star standard for buildings over 5,000 square metres</w:t>
      </w:r>
      <w:r w:rsidRPr="00820B43">
        <w:rPr>
          <w:rStyle w:val="FootnoteReference"/>
        </w:rPr>
        <w:footnoteReference w:id="116"/>
      </w:r>
      <w:r>
        <w:t>, but raised concerns with the proposal to allow ‘or equivalent’ rating tools to be used.  It submitted that the Green Star system is recognised as the pre-eminent tool for improving building performance, and allowing alternative ‘equivalent’ standards could increase the risk of non-compliance.  The Green Building Council of Australia raised similar concerns.</w:t>
      </w:r>
      <w:r w:rsidRPr="00820B43">
        <w:rPr>
          <w:rStyle w:val="FootnoteReference"/>
        </w:rPr>
        <w:footnoteReference w:id="117"/>
      </w:r>
    </w:p>
    <w:p w:rsidR="00323442" w:rsidRDefault="00323442" w:rsidP="00323442">
      <w:pPr>
        <w:pStyle w:val="PPVBody"/>
      </w:pPr>
      <w:r>
        <w:t>The MWRRG submitted that Green Star</w:t>
      </w:r>
      <w:r w:rsidRPr="006471B9">
        <w:t xml:space="preserve"> </w:t>
      </w:r>
      <w:r>
        <w:t xml:space="preserve">standards would not guarantee good </w:t>
      </w:r>
      <w:r w:rsidRPr="006471B9">
        <w:t>waste and resource recovery outcomes</w:t>
      </w:r>
      <w:r>
        <w:t>, because Green Star</w:t>
      </w:r>
      <w:r w:rsidRPr="006471B9">
        <w:t xml:space="preserve"> is a credit and point system</w:t>
      </w:r>
      <w:r>
        <w:t xml:space="preserve"> and it is open to developers to </w:t>
      </w:r>
      <w:r w:rsidRPr="006471B9">
        <w:t xml:space="preserve">select different ways of </w:t>
      </w:r>
      <w:r>
        <w:t>achieving the required Star</w:t>
      </w:r>
      <w:r w:rsidRPr="006471B9">
        <w:t xml:space="preserve"> rating</w:t>
      </w:r>
      <w:r>
        <w:t xml:space="preserve">.  It submitted that the </w:t>
      </w:r>
      <w:r w:rsidRPr="00235916">
        <w:t>W</w:t>
      </w:r>
      <w:r>
        <w:t xml:space="preserve">aste and </w:t>
      </w:r>
      <w:r w:rsidRPr="00235916">
        <w:t>R</w:t>
      </w:r>
      <w:r>
        <w:t xml:space="preserve">esource </w:t>
      </w:r>
      <w:r w:rsidRPr="00235916">
        <w:t>R</w:t>
      </w:r>
      <w:r>
        <w:t>ecovery</w:t>
      </w:r>
      <w:r w:rsidRPr="00235916">
        <w:t xml:space="preserve"> </w:t>
      </w:r>
      <w:r>
        <w:t>S</w:t>
      </w:r>
      <w:r w:rsidRPr="00235916">
        <w:t xml:space="preserve">trategy and </w:t>
      </w:r>
      <w:r>
        <w:t xml:space="preserve">the </w:t>
      </w:r>
      <w:r w:rsidRPr="00235916">
        <w:t xml:space="preserve">Sustainability </w:t>
      </w:r>
      <w:r>
        <w:t>S</w:t>
      </w:r>
      <w:r w:rsidRPr="00235916">
        <w:t>trategy</w:t>
      </w:r>
      <w:r>
        <w:t xml:space="preserve"> should be incorporated into the planning schemes, to better secure </w:t>
      </w:r>
      <w:r w:rsidRPr="006471B9">
        <w:t>waste and resource recovery outcomes</w:t>
      </w:r>
      <w:r>
        <w:t>.</w:t>
      </w:r>
    </w:p>
    <w:p w:rsidR="00323442" w:rsidRPr="006471B9" w:rsidRDefault="00323442" w:rsidP="00323442">
      <w:pPr>
        <w:pStyle w:val="PPVBody"/>
      </w:pPr>
      <w:r>
        <w:lastRenderedPageBreak/>
        <w:t>The Green Building Council of Australia submitted that the Framework “</w:t>
      </w:r>
      <w:r w:rsidRPr="00DA44FC">
        <w:rPr>
          <w:i/>
        </w:rPr>
        <w:t xml:space="preserve">has clearly identified how sustainability [can] act as a multiplier for better economic and social outcomes across the community in the short and </w:t>
      </w:r>
      <w:r w:rsidR="00B40278">
        <w:rPr>
          <w:i/>
        </w:rPr>
        <w:t>long term</w:t>
      </w:r>
      <w:r>
        <w:t>”.</w:t>
      </w:r>
      <w:r w:rsidRPr="00820B43">
        <w:rPr>
          <w:rStyle w:val="FootnoteReference"/>
        </w:rPr>
        <w:footnoteReference w:id="118"/>
      </w:r>
      <w:r>
        <w:t xml:space="preserve">  It submitted that priorities for ensuring that the Vision can be realised include establishing suitable independent governance and leadership, and requiring independent third party certification of Green Star outcomes to give the community confidence that the Vision is being delivered.</w:t>
      </w:r>
    </w:p>
    <w:p w:rsidR="00323442" w:rsidRDefault="00323442" w:rsidP="00323442">
      <w:pPr>
        <w:pStyle w:val="Heading4"/>
      </w:pPr>
      <w:r>
        <w:t>Discussion</w:t>
      </w:r>
    </w:p>
    <w:p w:rsidR="00323442" w:rsidRDefault="00323442" w:rsidP="00323442">
      <w:pPr>
        <w:pStyle w:val="PPVBody"/>
      </w:pPr>
      <w:r>
        <w:t xml:space="preserve">Sustainability is a key consideration in planning decisions.  Planning must provide for the </w:t>
      </w:r>
      <w:r w:rsidRPr="00DF5927">
        <w:t>fair, orderly, economic and sustainable use and development of land</w:t>
      </w:r>
      <w:r>
        <w:t xml:space="preserve">, and balance the </w:t>
      </w:r>
      <w:r w:rsidRPr="00DF5927">
        <w:t>present and future interests of all Victorians</w:t>
      </w:r>
      <w:r>
        <w:t>.  Sections 4 and 12 of the Act require environmental impacts to be considered in all planning scheme amendments.  The Climate Change Act requires the State Government to ensure that all its decisions appropriately take climate change into account.</w:t>
      </w:r>
    </w:p>
    <w:p w:rsidR="00323442" w:rsidRDefault="00323442" w:rsidP="00323442">
      <w:pPr>
        <w:pStyle w:val="PPVBody"/>
      </w:pPr>
      <w:r>
        <w:t>The draft Amendment contains a series of ESD requirements.  Clause 22.XX-3 builds on existing local policy in each scheme, and encourages all d</w:t>
      </w:r>
      <w:r w:rsidRPr="009F20CB">
        <w:t>evelopment</w:t>
      </w:r>
      <w:r>
        <w:t xml:space="preserve"> </w:t>
      </w:r>
      <w:r w:rsidRPr="009F20CB">
        <w:t>to achieve a 20 per cent improvement on National Construction Code energy efficiency standards</w:t>
      </w:r>
      <w:r>
        <w:t>.  Applicants must submit a Sustainability Management Plan with a permit application, and the responsible authority must consider the proposed Star rating and (where appropriate) sustainable water, waste and energy management proposed when assessing a permit application.</w:t>
      </w:r>
    </w:p>
    <w:p w:rsidR="00323442" w:rsidRDefault="00323442" w:rsidP="00323442">
      <w:pPr>
        <w:pStyle w:val="PPVBody"/>
      </w:pPr>
      <w:r>
        <w:t>Under the Green Star system, 4 Stars represents best practice, 5 Stars represents Australian excellence and 6 Stars represents world leadership.  The Review Panel considers that if the Vision of a world leading urban renewal project that sets new benchmarks for sustainability is to be achieved, the planning controls must start with a standard for buildings that represents at least Australian excellence – that is, 5 Stars, and a standard for communities that represents world leadership – that is, 6 Stars.</w:t>
      </w:r>
      <w:r w:rsidRPr="001F010F">
        <w:t xml:space="preserve"> </w:t>
      </w:r>
      <w:r>
        <w:t xml:space="preserve"> Other urban renewal projects in Australia have committed to a 6 Star community certification, including Barangaroo.</w:t>
      </w:r>
    </w:p>
    <w:p w:rsidR="00323442" w:rsidRDefault="00323442" w:rsidP="00323442">
      <w:pPr>
        <w:pStyle w:val="PPVBody"/>
      </w:pPr>
      <w:r>
        <w:t xml:space="preserve">The Amendment introduces mandatory Star rating requirements in Fishermans Bend for the first time.  Notwithstanding this, the Review Panel considers that a 4 Star buildings rating is too low a starting point.  It is lower than the current policy settings in both schemes, and represents a ‘minimal’ standard according to the evidence of both Professor Bates (for the Minister) and Mr Williamson.  The Review Panel accepts Mr Williamson’s evidence (and the submissions of the Property Council and the Green building Council) that there is growing market acceptance of 5 Stars.  It also notes that the </w:t>
      </w:r>
      <w:r w:rsidRPr="005C5E01">
        <w:rPr>
          <w:i/>
        </w:rPr>
        <w:t>Net Zero Carbon Strategy</w:t>
      </w:r>
      <w:r>
        <w:t xml:space="preserve"> recognises that 4 Star standards for buildings “</w:t>
      </w:r>
      <w:r w:rsidRPr="008D3357">
        <w:rPr>
          <w:i/>
        </w:rPr>
        <w:t>will need to be rapidly ramped up to avoid locking in poor</w:t>
      </w:r>
      <w:r>
        <w:rPr>
          <w:i/>
        </w:rPr>
        <w:t xml:space="preserve"> </w:t>
      </w:r>
      <w:r w:rsidRPr="008D3357">
        <w:rPr>
          <w:i/>
        </w:rPr>
        <w:t>building performance</w:t>
      </w:r>
      <w:r w:rsidR="007A25E6">
        <w:rPr>
          <w:i/>
        </w:rPr>
        <w:t xml:space="preserve"> …</w:t>
      </w:r>
      <w:r>
        <w:t>”.</w:t>
      </w:r>
      <w:r w:rsidRPr="00820B43">
        <w:rPr>
          <w:rStyle w:val="FootnoteReference"/>
        </w:rPr>
        <w:footnoteReference w:id="119"/>
      </w:r>
    </w:p>
    <w:p w:rsidR="00785416" w:rsidRDefault="00323442" w:rsidP="00323442">
      <w:pPr>
        <w:pStyle w:val="PPVBody"/>
      </w:pPr>
      <w:r>
        <w:t>Constant ESD improvements will be required to ensure that Fishermans Bend remains a world leading example of sustainable urban renewal, and the government’s decision</w:t>
      </w:r>
      <w:r w:rsidR="00165DB1">
        <w:t xml:space="preserve"> </w:t>
      </w:r>
      <w:r>
        <w:t>making obligations under the Planning and Environment Act and the Climate Change Act are met</w:t>
      </w:r>
      <w:r w:rsidR="007737CD">
        <w:t>.</w:t>
      </w:r>
      <w:r w:rsidR="007737CD" w:rsidRPr="00FD7D63">
        <w:t xml:space="preserve">  </w:t>
      </w:r>
      <w:r>
        <w:t>ESD standards will need to be monitored, reviewed and improved as the urban renewal of Fishermans Bend progresses.</w:t>
      </w:r>
    </w:p>
    <w:p w:rsidR="00323442" w:rsidRDefault="00323442" w:rsidP="00323442">
      <w:pPr>
        <w:pStyle w:val="PPVBody"/>
      </w:pPr>
      <w:r>
        <w:lastRenderedPageBreak/>
        <w:t>Port Phillip submitted that a number of other ESD changes should be made to the Amendment, including:</w:t>
      </w:r>
    </w:p>
    <w:p w:rsidR="00323442" w:rsidRDefault="00323442" w:rsidP="00323442">
      <w:pPr>
        <w:pStyle w:val="PPVBullet1"/>
      </w:pPr>
      <w:r>
        <w:t>mandating on site waste storage and collection for all development of ten or more dwellings or more and 1,000 or more square metres of non-residential development</w:t>
      </w:r>
    </w:p>
    <w:p w:rsidR="00323442" w:rsidRDefault="00323442" w:rsidP="00323442">
      <w:pPr>
        <w:pStyle w:val="PPVBullet1"/>
      </w:pPr>
      <w:r>
        <w:t>strongly encouraging single waste and recycling solutions for each building</w:t>
      </w:r>
    </w:p>
    <w:p w:rsidR="00323442" w:rsidRDefault="00323442" w:rsidP="00323442">
      <w:pPr>
        <w:pStyle w:val="PPVBullet1"/>
      </w:pPr>
      <w:r>
        <w:t>application requirements in the CCZ Schedule for a waste management plan and construction waste management plan</w:t>
      </w:r>
    </w:p>
    <w:p w:rsidR="00323442" w:rsidRDefault="00323442" w:rsidP="00323442">
      <w:pPr>
        <w:pStyle w:val="PPVBullet1"/>
      </w:pPr>
      <w:r>
        <w:t>minimum building design standards to ensure high quality green roofs and green walls are provided which reduce urban heat (including a requirement for at least 20 per cent of a building’s roof area top include a green roof).</w:t>
      </w:r>
    </w:p>
    <w:p w:rsidR="00323442" w:rsidRDefault="00323442" w:rsidP="00323442">
      <w:pPr>
        <w:pStyle w:val="PPVBody"/>
      </w:pPr>
      <w:r>
        <w:t>Although these changes appear sensible, they were not supported by evidence.  The Review Panel does not consider it appropriate to introduce mandatory requirements of this nature without evidence as to their likely effectiveness, or any indication of the additional costs that they may impose on developers.  Developers could, however, be encouraged to include these types of measures in Sustainability Management Plans required to be submitted with a permit application.</w:t>
      </w:r>
    </w:p>
    <w:p w:rsidR="00323442" w:rsidRDefault="00323442" w:rsidP="00323442">
      <w:pPr>
        <w:pStyle w:val="PPVBody"/>
      </w:pPr>
      <w:r>
        <w:t>Finally, the Review Panel notes that the Net Zero Carbon Strategy suggests incentivising increased ESD by providing FAU for development that achieves higher standards than those required under Clause 22.XX and the CCZ Schedule.  The Review Panel regards this as worthy of further consideration.  The Review Panel also notes that the Minister has accepted Mr Williamson’s recommendations for further work outside the Amendment.</w:t>
      </w:r>
      <w:r w:rsidRPr="00820B43">
        <w:rPr>
          <w:rStyle w:val="FootnoteReference"/>
        </w:rPr>
        <w:footnoteReference w:id="120"/>
      </w:r>
      <w:r>
        <w:t xml:space="preserve">  It encourages the Minister to progress this work as part of the ongoing planning for Fishermans Bend.</w:t>
      </w:r>
    </w:p>
    <w:p w:rsidR="00323442" w:rsidRDefault="00323442" w:rsidP="00323442">
      <w:pPr>
        <w:pStyle w:val="Heading4"/>
      </w:pPr>
      <w:r>
        <w:t>Findings and recommendations</w:t>
      </w:r>
    </w:p>
    <w:p w:rsidR="00323442" w:rsidRDefault="00323442" w:rsidP="00323442">
      <w:pPr>
        <w:pStyle w:val="PPVBody"/>
      </w:pPr>
      <w:r>
        <w:t>The Review Panel finds:</w:t>
      </w:r>
    </w:p>
    <w:p w:rsidR="00323442" w:rsidRDefault="00323442" w:rsidP="00323442">
      <w:pPr>
        <w:pStyle w:val="PPVBullet1"/>
      </w:pPr>
      <w:r>
        <w:t>Clause 22.XX should be amended to refer to a 6 Star – Communities rating for Fishermans Bend.</w:t>
      </w:r>
    </w:p>
    <w:p w:rsidR="00323442" w:rsidRDefault="00323442" w:rsidP="00323442">
      <w:pPr>
        <w:pStyle w:val="PPVBullet1"/>
      </w:pPr>
      <w:r>
        <w:t>The CCZ Schedule should be amended to require buildings over 5,000 square metres to achieve a 5 Star Green Star rating, rather than a 4 Star rating.</w:t>
      </w:r>
    </w:p>
    <w:p w:rsidR="00323442" w:rsidRDefault="00323442" w:rsidP="00323442">
      <w:pPr>
        <w:pStyle w:val="PPVBullet1"/>
      </w:pPr>
      <w:r>
        <w:t>ESD standards will need to be periodically reviewed to ensure that Fishermans Bend remains a world leading example of sustainable urban renewal.</w:t>
      </w:r>
    </w:p>
    <w:p w:rsidR="00323442" w:rsidRPr="001C078B" w:rsidRDefault="00323442" w:rsidP="00323442">
      <w:pPr>
        <w:pStyle w:val="PPVBody"/>
        <w:rPr>
          <w:b/>
        </w:rPr>
      </w:pPr>
      <w:r>
        <w:rPr>
          <w:b/>
        </w:rPr>
        <w:t>In accordance with the primary recommendation of the Review Panel to progress Amendment GC81</w:t>
      </w:r>
      <w:r w:rsidRPr="001C078B">
        <w:rPr>
          <w:b/>
        </w:rPr>
        <w:t xml:space="preserve">, the following key changes have been included in the amended </w:t>
      </w:r>
      <w:r>
        <w:rPr>
          <w:b/>
        </w:rPr>
        <w:t>Clause 22.</w:t>
      </w:r>
      <w:r w:rsidR="007737CD">
        <w:rPr>
          <w:b/>
        </w:rPr>
        <w:t>XX</w:t>
      </w:r>
      <w:r>
        <w:rPr>
          <w:b/>
        </w:rPr>
        <w:t xml:space="preserve"> and the </w:t>
      </w:r>
      <w:r w:rsidRPr="001C078B">
        <w:rPr>
          <w:b/>
        </w:rPr>
        <w:t>Capital City Zone:</w:t>
      </w:r>
    </w:p>
    <w:p w:rsidR="00323442" w:rsidRPr="00181298" w:rsidRDefault="00323442" w:rsidP="00323442">
      <w:pPr>
        <w:pStyle w:val="PPVRecommendationDrafting"/>
      </w:pPr>
      <w:r w:rsidRPr="00181298">
        <w:t>In Clause 22.XX-3, include the Review Panel’s recommended wording regarding a 6 Star Green Star – Communities rating for Fishermans Bend.</w:t>
      </w:r>
    </w:p>
    <w:p w:rsidR="00323442" w:rsidRPr="00181298" w:rsidRDefault="00323442" w:rsidP="00323442">
      <w:pPr>
        <w:pStyle w:val="PPVRecommendationDrafting"/>
      </w:pPr>
      <w:r w:rsidRPr="00181298">
        <w:t>In the Capital City Zone, require buildings to meet the Green Star requirements set out in the Review Panel’s preferred version.</w:t>
      </w:r>
    </w:p>
    <w:p w:rsidR="00824A51" w:rsidRDefault="00824A51" w:rsidP="00DD6314">
      <w:pPr>
        <w:pStyle w:val="Heading2"/>
      </w:pPr>
      <w:bookmarkStart w:id="454" w:name="_Toc519710302"/>
      <w:bookmarkStart w:id="455" w:name="_Toc519766862"/>
      <w:r>
        <w:lastRenderedPageBreak/>
        <w:t>Protection of pipelines</w:t>
      </w:r>
      <w:bookmarkEnd w:id="454"/>
      <w:bookmarkEnd w:id="455"/>
    </w:p>
    <w:p w:rsidR="00A458B0" w:rsidRPr="00170C10" w:rsidRDefault="00A458B0" w:rsidP="00A458B0">
      <w:pPr>
        <w:pStyle w:val="Heading4"/>
      </w:pPr>
      <w:r>
        <w:t>Context</w:t>
      </w:r>
    </w:p>
    <w:p w:rsidR="00EE461B" w:rsidRDefault="00A458B0" w:rsidP="00A458B0">
      <w:pPr>
        <w:pStyle w:val="PPVBody"/>
      </w:pPr>
      <w:r>
        <w:t>APA Group owns and operates</w:t>
      </w:r>
      <w:r w:rsidRPr="00820B43">
        <w:rPr>
          <w:rStyle w:val="FootnoteReference"/>
        </w:rPr>
        <w:footnoteReference w:id="121"/>
      </w:r>
      <w:r>
        <w:t xml:space="preserve"> three high pressure gas transmission pipelines which traverse </w:t>
      </w:r>
      <w:r w:rsidR="00323442">
        <w:t xml:space="preserve">parts of </w:t>
      </w:r>
      <w:r>
        <w:t>Fishermans Bend</w:t>
      </w:r>
      <w:r w:rsidR="00953151">
        <w:t xml:space="preserve"> (</w:t>
      </w:r>
      <w:r w:rsidR="000E0848">
        <w:fldChar w:fldCharType="begin"/>
      </w:r>
      <w:r w:rsidR="000E0848">
        <w:instrText xml:space="preserve"> REF _Ref519163218 \h </w:instrText>
      </w:r>
      <w:r w:rsidR="000E0848">
        <w:fldChar w:fldCharType="separate"/>
      </w:r>
      <w:r w:rsidR="00A307EC">
        <w:t xml:space="preserve">Figure </w:t>
      </w:r>
      <w:r w:rsidR="00A307EC">
        <w:rPr>
          <w:noProof/>
        </w:rPr>
        <w:t>13</w:t>
      </w:r>
      <w:r w:rsidR="000E0848">
        <w:fldChar w:fldCharType="end"/>
      </w:r>
      <w:r w:rsidR="00953151">
        <w:t>)</w:t>
      </w:r>
      <w:r>
        <w:t xml:space="preserve">.  </w:t>
      </w:r>
      <w:r w:rsidR="00323442">
        <w:t xml:space="preserve">If one of these pipes ruptured and ignited, damage could include loss of life, destruction of property and significant adverse environmental effects.  </w:t>
      </w:r>
      <w:r w:rsidR="008D421B">
        <w:t>The measurement length</w:t>
      </w:r>
      <w:r w:rsidR="008D421B">
        <w:rPr>
          <w:rStyle w:val="FootnoteReference"/>
        </w:rPr>
        <w:footnoteReference w:id="122"/>
      </w:r>
      <w:r w:rsidR="008D421B">
        <w:t xml:space="preserve"> of the South Melbourne to Brooklyn pipeline is 450 metres, and the measurement length of the Port Melbourne to Symex Holdings pipeline is 100 metres.</w:t>
      </w:r>
    </w:p>
    <w:p w:rsidR="00953151" w:rsidRDefault="00953151" w:rsidP="008E4F2F">
      <w:pPr>
        <w:pStyle w:val="Caption"/>
      </w:pPr>
      <w:bookmarkStart w:id="456" w:name="_Ref519163218"/>
      <w:bookmarkStart w:id="457" w:name="_Toc519719116"/>
      <w:bookmarkStart w:id="458" w:name="_Toc519710384"/>
      <w:r>
        <w:t xml:space="preserve">Figure </w:t>
      </w:r>
      <w:r>
        <w:rPr>
          <w:noProof/>
        </w:rPr>
        <w:fldChar w:fldCharType="begin"/>
      </w:r>
      <w:r>
        <w:rPr>
          <w:noProof/>
        </w:rPr>
        <w:instrText xml:space="preserve"> SEQ Figure \* ARABIC </w:instrText>
      </w:r>
      <w:r>
        <w:rPr>
          <w:noProof/>
        </w:rPr>
        <w:fldChar w:fldCharType="separate"/>
      </w:r>
      <w:r w:rsidR="00A307EC">
        <w:rPr>
          <w:noProof/>
        </w:rPr>
        <w:t>13</w:t>
      </w:r>
      <w:r>
        <w:rPr>
          <w:noProof/>
        </w:rPr>
        <w:fldChar w:fldCharType="end"/>
      </w:r>
      <w:bookmarkEnd w:id="456"/>
      <w:r>
        <w:t>:</w:t>
      </w:r>
      <w:r>
        <w:tab/>
        <w:t>High pressure gas transmission pipeline locations (in green)</w:t>
      </w:r>
      <w:bookmarkEnd w:id="457"/>
      <w:bookmarkEnd w:id="458"/>
    </w:p>
    <w:p w:rsidR="00953151" w:rsidRDefault="00953151" w:rsidP="00953151">
      <w:pPr>
        <w:pStyle w:val="PPVBody"/>
      </w:pPr>
      <w:r>
        <w:rPr>
          <w:rStyle w:val="CaptionBold"/>
          <w:bCs/>
          <w:i w:val="0"/>
          <w:noProof/>
        </w:rPr>
        <w:drawing>
          <wp:inline distT="0" distB="0" distL="0" distR="0" wp14:anchorId="42A0AB40" wp14:editId="28D694BC">
            <wp:extent cx="4246638" cy="2639695"/>
            <wp:effectExtent l="0" t="0" r="1905" b="8255"/>
            <wp:docPr id="24" name="Picture 24" descr="A map depicting the existing utilities infrastructure in Fishermans Bend including water, sewerage, energy, gas and transport." title="Figure 2. Existing utilities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__11_INFRASTRUCTURE CONSTRAINTS-0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258442" cy="2647032"/>
                    </a:xfrm>
                    <a:prstGeom prst="rect">
                      <a:avLst/>
                    </a:prstGeom>
                    <a:noFill/>
                    <a:ln>
                      <a:noFill/>
                    </a:ln>
                  </pic:spPr>
                </pic:pic>
              </a:graphicData>
            </a:graphic>
          </wp:inline>
        </w:drawing>
      </w:r>
    </w:p>
    <w:p w:rsidR="0078675A" w:rsidRPr="0078675A" w:rsidRDefault="0078675A" w:rsidP="00953151">
      <w:pPr>
        <w:pStyle w:val="PPVBody"/>
        <w:rPr>
          <w:sz w:val="20"/>
          <w:szCs w:val="20"/>
        </w:rPr>
      </w:pPr>
      <w:r w:rsidRPr="0078675A">
        <w:rPr>
          <w:sz w:val="20"/>
          <w:szCs w:val="20"/>
        </w:rPr>
        <w:t>Source: Fishermans Bend draft Framework Figure 2 – existing utilities infrastructure</w:t>
      </w:r>
    </w:p>
    <w:p w:rsidR="008D421B" w:rsidRDefault="008D421B" w:rsidP="008D421B">
      <w:pPr>
        <w:pStyle w:val="Heading4"/>
      </w:pPr>
      <w:r>
        <w:t>Submissions and evidence</w:t>
      </w:r>
    </w:p>
    <w:p w:rsidR="008D421B" w:rsidRDefault="008D421B" w:rsidP="008D421B">
      <w:pPr>
        <w:pStyle w:val="PPVBody"/>
      </w:pPr>
      <w:r>
        <w:t>APA submitted that the high pressure gas transmission pipelines play a vital role in providing a steady stream of gas to consumers in metropolitan Melbourne.  Due to the potential consequences of a pipeline failure APA recommended:</w:t>
      </w:r>
    </w:p>
    <w:p w:rsidR="00785416" w:rsidRDefault="008D421B" w:rsidP="008D421B">
      <w:pPr>
        <w:pStyle w:val="PPVBullet1"/>
      </w:pPr>
      <w:r>
        <w:t>a Safety Management Study which considers the range and nature of land uses which can safely be developed in areas surrounding the pipelines</w:t>
      </w:r>
    </w:p>
    <w:p w:rsidR="00785416" w:rsidRDefault="008D421B" w:rsidP="008D421B">
      <w:pPr>
        <w:pStyle w:val="PPVBullet1"/>
      </w:pPr>
      <w:r>
        <w:t>amendments to the CCZ which control development of sensitive uses within the measurement length</w:t>
      </w:r>
    </w:p>
    <w:p w:rsidR="00785416" w:rsidRDefault="008D421B" w:rsidP="008D421B">
      <w:pPr>
        <w:pStyle w:val="PPVBullet1"/>
      </w:pPr>
      <w:r>
        <w:t>construction management plans for</w:t>
      </w:r>
      <w:r w:rsidRPr="0021356D">
        <w:t xml:space="preserve"> all</w:t>
      </w:r>
      <w:r>
        <w:t xml:space="preserve"> proposals (regardless of whether a planning permit is required) within the measurement length</w:t>
      </w:r>
    </w:p>
    <w:p w:rsidR="008D421B" w:rsidRDefault="008D421B" w:rsidP="008D421B">
      <w:pPr>
        <w:pStyle w:val="PPVBullet1"/>
      </w:pPr>
      <w:r>
        <w:t>APA be nominated as a recommending referral authority for applications to develop sensitive uses within the measurement length, and if not, that it be formally notified of applications.</w:t>
      </w:r>
    </w:p>
    <w:p w:rsidR="008D421B" w:rsidRDefault="008D421B" w:rsidP="008D421B">
      <w:pPr>
        <w:pStyle w:val="PPVBody"/>
      </w:pPr>
      <w:r>
        <w:t xml:space="preserve">The Minister acknowledged that infrastructure and development close to the pipelines would continue to be managed consistently with other high density inner city developments </w:t>
      </w:r>
      <w:r>
        <w:lastRenderedPageBreak/>
        <w:t>such as Docklands and the CBD.  In response to submissions by APA (D189), the Minister amended the draft CCZ (Part C version) to include the following requirements for applications within the measurement length:</w:t>
      </w:r>
    </w:p>
    <w:p w:rsidR="008D421B" w:rsidRDefault="008D421B" w:rsidP="008D421B">
      <w:pPr>
        <w:pStyle w:val="PPVBullet1"/>
      </w:pPr>
      <w:r>
        <w:t>a permit trigger for various sensitive uses that would otherwise have been ‘as of right’</w:t>
      </w:r>
    </w:p>
    <w:p w:rsidR="008D421B" w:rsidRDefault="008D421B" w:rsidP="008D421B">
      <w:pPr>
        <w:pStyle w:val="PPVBullet1"/>
      </w:pPr>
      <w:r>
        <w:t>for applications for sensitive uses – a requirement to consider the views of the pipeline licensee (although no specific requirement to notify the pipeline licensee was included)</w:t>
      </w:r>
    </w:p>
    <w:p w:rsidR="008D421B" w:rsidRDefault="008D421B" w:rsidP="008D421B">
      <w:pPr>
        <w:pStyle w:val="PPVBullet1"/>
      </w:pPr>
      <w:r>
        <w:t>for buildings and works applications – a requirement for a Construction Management Plan prepared with the input of the pipeline licensee.</w:t>
      </w:r>
    </w:p>
    <w:p w:rsidR="008D421B" w:rsidRDefault="008D421B" w:rsidP="008D421B">
      <w:pPr>
        <w:pStyle w:val="Heading4"/>
      </w:pPr>
      <w:r>
        <w:t>Discussion</w:t>
      </w:r>
    </w:p>
    <w:p w:rsidR="008D421B" w:rsidRDefault="008D421B" w:rsidP="008D421B">
      <w:pPr>
        <w:pStyle w:val="PPVBody"/>
      </w:pPr>
      <w:r>
        <w:t xml:space="preserve">The pipelines have statutory protection under the </w:t>
      </w:r>
      <w:r>
        <w:rPr>
          <w:i/>
        </w:rPr>
        <w:t>Pipelines Act 2005</w:t>
      </w:r>
      <w:r>
        <w:t>.  A person is prohibited from undertaking works within three metres of a pipeline.  Pipelines are also often protected by an easement.  However, the measurement length is not protected or controlled by statue and generally not reflected in planning schemes.</w:t>
      </w:r>
    </w:p>
    <w:p w:rsidR="008D421B" w:rsidRDefault="008D421B" w:rsidP="008D421B">
      <w:pPr>
        <w:pStyle w:val="PPVBody"/>
      </w:pPr>
      <w:r>
        <w:t>While the likelihood of a pipeline failure may be considered negligible, the consequences would be significant.  Accordingly, the Review Panel considers that it is appropriate for the controls to include additional requirements for development within the vicinity of the pipelines, particularly for sensitive uses where vulnerable people or large groups of people may attend, or the facility poses a potential threat.</w:t>
      </w:r>
    </w:p>
    <w:p w:rsidR="00785416" w:rsidRDefault="008D421B" w:rsidP="008D421B">
      <w:pPr>
        <w:pStyle w:val="PPVBody"/>
      </w:pPr>
      <w:r>
        <w:t xml:space="preserve">The Part C version of the controls effectively trigger a permit for a number of sensitive uses within the measurement length.  The Review Panel considers this to be appropriate.  </w:t>
      </w:r>
      <w:r w:rsidRPr="004548ED">
        <w:t xml:space="preserve">The Review Panel accepts that Construction Management Plans are </w:t>
      </w:r>
      <w:r>
        <w:t xml:space="preserve">a suitable </w:t>
      </w:r>
      <w:r w:rsidRPr="004548ED">
        <w:t>risk management tool</w:t>
      </w:r>
      <w:r>
        <w:t xml:space="preserve">, but considers that these should only be required </w:t>
      </w:r>
      <w:r w:rsidRPr="004548ED">
        <w:t>for proposals within 50 metres of the pipelines</w:t>
      </w:r>
      <w:r>
        <w:t xml:space="preserve"> (not within the measurement length)</w:t>
      </w:r>
      <w:r w:rsidRPr="004548ED">
        <w:t>.</w:t>
      </w:r>
    </w:p>
    <w:p w:rsidR="008D421B" w:rsidRPr="007B739A" w:rsidRDefault="008D421B" w:rsidP="008D421B">
      <w:pPr>
        <w:pStyle w:val="PPVBody"/>
      </w:pPr>
      <w:r>
        <w:t>APA have often sought to become a recommending referral authority where a planning scheme amendment allows redevelopment of land within pipeline measurement distances.  O</w:t>
      </w:r>
      <w:r w:rsidRPr="004548ED">
        <w:t xml:space="preserve">ther </w:t>
      </w:r>
      <w:r>
        <w:t>p</w:t>
      </w:r>
      <w:r w:rsidRPr="004548ED">
        <w:t xml:space="preserve">anels have considered this </w:t>
      </w:r>
      <w:r>
        <w:t xml:space="preserve">issue on multiple occasions.  Consistent with previous panel reports, the Review Panel considers that it is not appropriate for </w:t>
      </w:r>
      <w:r w:rsidRPr="004548ED">
        <w:t>private operators of infrastructure</w:t>
      </w:r>
      <w:r>
        <w:t xml:space="preserve"> (as opposed to public or government agencies) to be nominated as a referral authority</w:t>
      </w:r>
      <w:r w:rsidRPr="004548ED">
        <w:t>.</w:t>
      </w:r>
      <w:r>
        <w:t xml:space="preserve">  Nor does it consider that APA should be notified of applications within the measurement length.  The default position under the CCZ</w:t>
      </w:r>
      <w:r w:rsidRPr="004548ED">
        <w:t xml:space="preserve"> </w:t>
      </w:r>
      <w:r>
        <w:t xml:space="preserve">is that permit applications are </w:t>
      </w:r>
      <w:r w:rsidRPr="007B739A">
        <w:t>exempt from third party notice and review rights.  This is considered appropriate.</w:t>
      </w:r>
    </w:p>
    <w:p w:rsidR="00A448F3" w:rsidRPr="007B739A" w:rsidRDefault="008D421B" w:rsidP="008D421B">
      <w:pPr>
        <w:pStyle w:val="PPVBody"/>
      </w:pPr>
      <w:r w:rsidRPr="007B739A">
        <w:t>The Review Panel does, however, consider that a decision guideline should be added to the CCZ requiring the responsible authority to consider whether the use would create an unreasonable increase in the risk of undesirable outcomes by being located within the pipeline buffer.</w:t>
      </w:r>
    </w:p>
    <w:p w:rsidR="00180DA1" w:rsidRDefault="00180DA1">
      <w:pPr>
        <w:spacing w:before="0"/>
        <w:jc w:val="left"/>
        <w:rPr>
          <w:b/>
        </w:rPr>
      </w:pPr>
      <w:r>
        <w:br w:type="page"/>
      </w:r>
    </w:p>
    <w:p w:rsidR="008D421B" w:rsidRPr="007B739A" w:rsidRDefault="008D421B" w:rsidP="008D421B">
      <w:pPr>
        <w:pStyle w:val="Heading4"/>
      </w:pPr>
      <w:r w:rsidRPr="007B739A">
        <w:lastRenderedPageBreak/>
        <w:t>Findings and recommendations</w:t>
      </w:r>
    </w:p>
    <w:p w:rsidR="008D421B" w:rsidRPr="007B739A" w:rsidRDefault="008D421B" w:rsidP="008D421B">
      <w:pPr>
        <w:pStyle w:val="PPVBody"/>
      </w:pPr>
      <w:r w:rsidRPr="007B739A">
        <w:t>The Review Panel finds:</w:t>
      </w:r>
    </w:p>
    <w:p w:rsidR="008D421B" w:rsidRPr="007B739A" w:rsidRDefault="008D421B" w:rsidP="008D421B">
      <w:pPr>
        <w:pStyle w:val="PPVBullet1"/>
      </w:pPr>
      <w:r w:rsidRPr="007B739A">
        <w:t>the pipeline protections included in the Part C version of the controls are broadly appropriate, subject to minor modifications and the mapping of the pipeline measurement lengths.</w:t>
      </w:r>
    </w:p>
    <w:p w:rsidR="008D421B" w:rsidRPr="007B739A" w:rsidRDefault="008D421B" w:rsidP="008D421B">
      <w:pPr>
        <w:pStyle w:val="PPVBody"/>
      </w:pPr>
      <w:r w:rsidRPr="007B739A">
        <w:rPr>
          <w:b/>
        </w:rPr>
        <w:t>In accordance with the primary recommendation of the Review Panel to progress Amendment GC81, the following key changes have been included in the amended Capital City Zone:</w:t>
      </w:r>
    </w:p>
    <w:p w:rsidR="008D421B" w:rsidRPr="007B739A" w:rsidRDefault="008D421B" w:rsidP="008D421B">
      <w:pPr>
        <w:pStyle w:val="PPVRecommendationDrafting"/>
      </w:pPr>
      <w:r w:rsidRPr="007B739A">
        <w:t>Delete the requirement to consider the views of the pipeline licensee with respect to applications for sensitive uses within the measurement length.</w:t>
      </w:r>
    </w:p>
    <w:p w:rsidR="00785416" w:rsidRDefault="008D421B" w:rsidP="008D421B">
      <w:pPr>
        <w:pStyle w:val="PPVRecommendationDrafting"/>
      </w:pPr>
      <w:r w:rsidRPr="007B739A">
        <w:t>Include a decision guideline requiring consideration as to whether the use would create an unreasonable increase in the risk of undesirable outcomes by being located within the pipeline buffer.</w:t>
      </w:r>
    </w:p>
    <w:p w:rsidR="001E7D0E" w:rsidRPr="001E7D0E" w:rsidRDefault="001E7D0E" w:rsidP="001E7D0E">
      <w:pPr>
        <w:pStyle w:val="Heading2"/>
      </w:pPr>
      <w:bookmarkStart w:id="459" w:name="_Toc519350411"/>
      <w:bookmarkStart w:id="460" w:name="_Toc519710303"/>
      <w:bookmarkStart w:id="461" w:name="_Toc519766863"/>
      <w:r w:rsidRPr="001E7D0E">
        <w:t>Other environmental issues</w:t>
      </w:r>
      <w:bookmarkEnd w:id="459"/>
      <w:bookmarkEnd w:id="460"/>
      <w:bookmarkEnd w:id="461"/>
    </w:p>
    <w:p w:rsidR="001E7D0E" w:rsidRPr="001E7D0E" w:rsidRDefault="001E7D0E" w:rsidP="001E7D0E">
      <w:pPr>
        <w:pStyle w:val="Heading4"/>
      </w:pPr>
      <w:r w:rsidRPr="001E7D0E">
        <w:t>Context</w:t>
      </w:r>
    </w:p>
    <w:p w:rsidR="001E7D0E" w:rsidRPr="001E7D0E" w:rsidRDefault="001E7D0E" w:rsidP="001E7D0E">
      <w:pPr>
        <w:pStyle w:val="PPVBody"/>
      </w:pPr>
      <w:r w:rsidRPr="001E7D0E">
        <w:t>The existing industrial uses in Fishermans Bend, together with an industrial legacy and major roads and freeways present a range of environmental issues and attendant risks.</w:t>
      </w:r>
    </w:p>
    <w:p w:rsidR="001E7D0E" w:rsidRPr="001E7D0E" w:rsidRDefault="001E7D0E" w:rsidP="001E7D0E">
      <w:pPr>
        <w:pStyle w:val="Heading4"/>
      </w:pPr>
      <w:r w:rsidRPr="001E7D0E">
        <w:t>Submissions and evidence</w:t>
      </w:r>
    </w:p>
    <w:p w:rsidR="001E7D0E" w:rsidRPr="001E7D0E" w:rsidRDefault="001E7D0E" w:rsidP="001E7D0E">
      <w:pPr>
        <w:pStyle w:val="PPVBody"/>
      </w:pPr>
      <w:r w:rsidRPr="001E7D0E">
        <w:t>The EPA was generally supportive of the draft Amendment and note</w:t>
      </w:r>
      <w:r>
        <w:t>d</w:t>
      </w:r>
      <w:r w:rsidRPr="001E7D0E">
        <w:t xml:space="preserve"> there are significant environmental considerations associated with:</w:t>
      </w:r>
    </w:p>
    <w:p w:rsidR="001E7D0E" w:rsidRPr="001E7D0E" w:rsidRDefault="001E7D0E" w:rsidP="001E7D0E">
      <w:pPr>
        <w:pStyle w:val="PPVBullet1"/>
      </w:pPr>
      <w:r w:rsidRPr="001E7D0E">
        <w:t>industrial history and contamination</w:t>
      </w:r>
    </w:p>
    <w:p w:rsidR="001E7D0E" w:rsidRPr="001E7D0E" w:rsidRDefault="001E7D0E" w:rsidP="001E7D0E">
      <w:pPr>
        <w:pStyle w:val="PPVBullet1"/>
      </w:pPr>
      <w:r w:rsidRPr="001E7D0E">
        <w:t>current industry and other commercial activities and off-site pollution impacts</w:t>
      </w:r>
    </w:p>
    <w:p w:rsidR="001E7D0E" w:rsidRPr="001E7D0E" w:rsidRDefault="001E7D0E" w:rsidP="001E7D0E">
      <w:pPr>
        <w:pStyle w:val="PPVBullet1"/>
      </w:pPr>
      <w:r w:rsidRPr="001E7D0E">
        <w:t>air quality near busy roads.</w:t>
      </w:r>
    </w:p>
    <w:p w:rsidR="001E7D0E" w:rsidRPr="001E7D0E" w:rsidRDefault="001E7D0E" w:rsidP="001E7D0E">
      <w:pPr>
        <w:pStyle w:val="PPVBody"/>
      </w:pPr>
      <w:r w:rsidRPr="001E7D0E">
        <w:t>The EPA had several suggestions to generally enhance safety and wellbeing:</w:t>
      </w:r>
    </w:p>
    <w:p w:rsidR="001E7D0E" w:rsidRPr="001E7D0E" w:rsidRDefault="001E7D0E" w:rsidP="001E7D0E">
      <w:pPr>
        <w:pStyle w:val="PPVBullet1"/>
      </w:pPr>
      <w:r w:rsidRPr="001E7D0E">
        <w:t>strengthen references to land and groundwater contamination</w:t>
      </w:r>
    </w:p>
    <w:p w:rsidR="001E7D0E" w:rsidRPr="001E7D0E" w:rsidRDefault="001E7D0E" w:rsidP="001E7D0E">
      <w:pPr>
        <w:pStyle w:val="PPVBullet1"/>
      </w:pPr>
      <w:r w:rsidRPr="001E7D0E">
        <w:t>strengthen the need for future sensitive uses to respond appropriately to existing uses</w:t>
      </w:r>
    </w:p>
    <w:p w:rsidR="001E7D0E" w:rsidRPr="001E7D0E" w:rsidRDefault="001E7D0E" w:rsidP="001E7D0E">
      <w:pPr>
        <w:pStyle w:val="PPVBullet1"/>
      </w:pPr>
      <w:r w:rsidRPr="001E7D0E">
        <w:t>highlight existing industry uses may pose health (as well as amenity) impacts</w:t>
      </w:r>
    </w:p>
    <w:p w:rsidR="001E7D0E" w:rsidRPr="001E7D0E" w:rsidRDefault="001E7D0E" w:rsidP="001E7D0E">
      <w:pPr>
        <w:pStyle w:val="PPVBullet1"/>
      </w:pPr>
      <w:r w:rsidRPr="001E7D0E">
        <w:t>consider potential impacts of Major Hazards facilities and major pipelines</w:t>
      </w:r>
    </w:p>
    <w:p w:rsidR="001E7D0E" w:rsidRPr="001E7D0E" w:rsidRDefault="001E7D0E" w:rsidP="001E7D0E">
      <w:pPr>
        <w:pStyle w:val="PPVBullet1"/>
      </w:pPr>
      <w:r w:rsidRPr="001E7D0E">
        <w:t>consider traffic air emissions from Westgate Freeway and CityLink.</w:t>
      </w:r>
    </w:p>
    <w:p w:rsidR="001E7D0E" w:rsidRPr="001E7D0E" w:rsidRDefault="001E7D0E" w:rsidP="001E7D0E">
      <w:pPr>
        <w:pStyle w:val="PPVBody"/>
      </w:pPr>
      <w:r w:rsidRPr="001E7D0E">
        <w:t xml:space="preserve">To further strengthen consideration of air quality around these freeways, </w:t>
      </w:r>
      <w:r w:rsidR="005A2C7B">
        <w:t xml:space="preserve">in summary, </w:t>
      </w:r>
      <w:r w:rsidRPr="001E7D0E">
        <w:t>the EPA suggested</w:t>
      </w:r>
      <w:r w:rsidR="005A2C7B">
        <w:t xml:space="preserve"> in its original submission (S198)</w:t>
      </w:r>
      <w:r w:rsidRPr="001E7D0E">
        <w:t>:</w:t>
      </w:r>
    </w:p>
    <w:p w:rsidR="001E7D0E" w:rsidRPr="001E7D0E" w:rsidRDefault="005A2C7B" w:rsidP="005A2C7B">
      <w:pPr>
        <w:pStyle w:val="PPVBullet1"/>
      </w:pPr>
      <w:r>
        <w:t xml:space="preserve">a </w:t>
      </w:r>
      <w:r w:rsidR="001E7D0E" w:rsidRPr="001E7D0E">
        <w:t>precautionary distance of 150 metres from busy roads as the distance where</w:t>
      </w:r>
      <w:r>
        <w:t xml:space="preserve"> air quality must be considered</w:t>
      </w:r>
    </w:p>
    <w:p w:rsidR="001E7D0E" w:rsidRPr="001E7D0E" w:rsidRDefault="005A2C7B" w:rsidP="005A2C7B">
      <w:pPr>
        <w:pStyle w:val="PPVBullet1"/>
      </w:pPr>
      <w:r>
        <w:t>q</w:t>
      </w:r>
      <w:r w:rsidR="001E7D0E" w:rsidRPr="001E7D0E">
        <w:t xml:space="preserve">ualified professional should be used to assess air quality around the M1 and Bolte Bridge and identify measures </w:t>
      </w:r>
      <w:r>
        <w:t>to mitigate against its impacts</w:t>
      </w:r>
    </w:p>
    <w:p w:rsidR="001E7D0E" w:rsidRPr="001E7D0E" w:rsidRDefault="005A2C7B" w:rsidP="005A2C7B">
      <w:pPr>
        <w:pStyle w:val="PPVBullet1"/>
      </w:pPr>
      <w:r>
        <w:t>c</w:t>
      </w:r>
      <w:r w:rsidR="001E7D0E" w:rsidRPr="001E7D0E">
        <w:t xml:space="preserve">onsideration of a mapped overlay (such as an </w:t>
      </w:r>
      <w:r w:rsidR="00346B0A">
        <w:t>Environmental Significance Overlay (</w:t>
      </w:r>
      <w:r w:rsidR="001E7D0E" w:rsidRPr="001E7D0E">
        <w:t>ESO) to ensure risk is vis</w:t>
      </w:r>
      <w:r>
        <w:t>ible for future decision makers</w:t>
      </w:r>
    </w:p>
    <w:p w:rsidR="001E7D0E" w:rsidRPr="001E7D0E" w:rsidRDefault="005A2C7B" w:rsidP="005A2C7B">
      <w:pPr>
        <w:pStyle w:val="PPVBullet1"/>
      </w:pPr>
      <w:r>
        <w:t>c</w:t>
      </w:r>
      <w:r w:rsidR="001E7D0E" w:rsidRPr="001E7D0E">
        <w:t xml:space="preserve">ollaboration between EPA and other partners to </w:t>
      </w:r>
      <w:r w:rsidR="005741DD">
        <w:t>help manage issue going forward</w:t>
      </w:r>
      <w:r>
        <w:t>.</w:t>
      </w:r>
    </w:p>
    <w:p w:rsidR="001E7D0E" w:rsidRPr="001E7D0E" w:rsidRDefault="001E7D0E" w:rsidP="001E7D0E">
      <w:pPr>
        <w:pStyle w:val="PPVBody"/>
      </w:pPr>
      <w:r w:rsidRPr="001E7D0E">
        <w:lastRenderedPageBreak/>
        <w:t xml:space="preserve">There is ground water and land contamination throughout Fishermans Bend associated with over 150 years of historical industrial uses.  An Environmental Audit Overlay (EAO) is the appropriate planning tool to address possible contamination which applies to the </w:t>
      </w:r>
      <w:r w:rsidR="00827876">
        <w:t>P</w:t>
      </w:r>
      <w:r w:rsidRPr="001E7D0E">
        <w:t>recincts.</w:t>
      </w:r>
    </w:p>
    <w:p w:rsidR="001E7D0E" w:rsidRPr="001E7D0E" w:rsidRDefault="001E7D0E" w:rsidP="001E7D0E">
      <w:pPr>
        <w:pStyle w:val="PPVBody"/>
      </w:pPr>
      <w:r w:rsidRPr="001E7D0E">
        <w:t>Providing and maintaining buffers (or separation) distances is the key tool for managing incompatible uses.  Buffers address the potential for off-site pollution which poses risk for amenity and human health in the surrounding areas and minimises potential conflict.</w:t>
      </w:r>
    </w:p>
    <w:p w:rsidR="001E7D0E" w:rsidRPr="001E7D0E" w:rsidRDefault="001E7D0E" w:rsidP="001E7D0E">
      <w:pPr>
        <w:pStyle w:val="Caption"/>
      </w:pPr>
      <w:bookmarkStart w:id="462" w:name="_Toc519719117"/>
      <w:bookmarkStart w:id="463" w:name="_Toc519710385"/>
      <w:r w:rsidRPr="001E7D0E">
        <w:t xml:space="preserve">Figure </w:t>
      </w:r>
      <w:fldSimple w:instr=" SEQ Figure \* ARABIC ">
        <w:r w:rsidR="00A307EC">
          <w:rPr>
            <w:noProof/>
          </w:rPr>
          <w:t>14</w:t>
        </w:r>
      </w:fldSimple>
      <w:r w:rsidRPr="001E7D0E">
        <w:t>:</w:t>
      </w:r>
      <w:r w:rsidRPr="001E7D0E">
        <w:tab/>
        <w:t>Amenity buffers</w:t>
      </w:r>
      <w:bookmarkEnd w:id="462"/>
      <w:bookmarkEnd w:id="463"/>
    </w:p>
    <w:p w:rsidR="001E7D0E" w:rsidRPr="001E7D0E" w:rsidRDefault="001E7D0E" w:rsidP="001E7D0E">
      <w:pPr>
        <w:pStyle w:val="PPVBody"/>
      </w:pPr>
      <w:r w:rsidRPr="001E7D0E">
        <w:rPr>
          <w:noProof/>
        </w:rPr>
        <w:drawing>
          <wp:inline distT="0" distB="0" distL="0" distR="0" wp14:anchorId="4B14CC02" wp14:editId="77E34F27">
            <wp:extent cx="5658902" cy="378650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70531" cy="3794286"/>
                    </a:xfrm>
                    <a:prstGeom prst="rect">
                      <a:avLst/>
                    </a:prstGeom>
                    <a:noFill/>
                    <a:ln>
                      <a:noFill/>
                    </a:ln>
                  </pic:spPr>
                </pic:pic>
              </a:graphicData>
            </a:graphic>
          </wp:inline>
        </w:drawing>
      </w:r>
    </w:p>
    <w:p w:rsidR="001E7D0E" w:rsidRPr="001E7D0E" w:rsidRDefault="001E7D0E" w:rsidP="001E7D0E">
      <w:pPr>
        <w:pStyle w:val="PPVSource"/>
      </w:pPr>
      <w:r w:rsidRPr="001E7D0E">
        <w:t>Source:</w:t>
      </w:r>
      <w:r w:rsidR="0060322C">
        <w:tab/>
        <w:t>GHD Fishermans Bend Buffer Assessment Report October 2016 Figure 7.</w:t>
      </w:r>
    </w:p>
    <w:p w:rsidR="00785416" w:rsidRDefault="001E7D0E" w:rsidP="001E7D0E">
      <w:pPr>
        <w:pStyle w:val="PPVBody"/>
      </w:pPr>
      <w:r w:rsidRPr="001E7D0E">
        <w:t>The EPA advised that encroachment of sensitive uses on industrial and commercial activities results in a significant portion of EPA’s enforcement work and managing encroachment is of critical importance to the EPA.</w:t>
      </w:r>
    </w:p>
    <w:p w:rsidR="001E7D0E" w:rsidRPr="001E7D0E" w:rsidRDefault="001E7D0E" w:rsidP="001E7D0E">
      <w:pPr>
        <w:pStyle w:val="PPVBody"/>
      </w:pPr>
      <w:r w:rsidRPr="001E7D0E">
        <w:t>The Minister noted that the CCZ place</w:t>
      </w:r>
      <w:r>
        <w:t>d</w:t>
      </w:r>
      <w:r w:rsidRPr="001E7D0E">
        <w:t xml:space="preserve"> an emphasis on new developments implementing </w:t>
      </w:r>
      <w:r w:rsidR="005741DD">
        <w:t>mitigation</w:t>
      </w:r>
      <w:r w:rsidRPr="001E7D0E">
        <w:t xml:space="preserve"> measures.  The fundamental intent is for existing (non-residential) uses to be permitted to operate without the draft controls inhibiting their operations, provided these uses do not prejudice the urban renewal of Fishermans Bend.</w:t>
      </w:r>
    </w:p>
    <w:p w:rsidR="001E7D0E" w:rsidRPr="001E7D0E" w:rsidRDefault="001E7D0E" w:rsidP="001E7D0E">
      <w:pPr>
        <w:pStyle w:val="PPVBody"/>
      </w:pPr>
      <w:r w:rsidRPr="001E7D0E">
        <w:t>The implementation of the agent of change principle will place the onus on an applicant of a new sensitive use development to take measures to mitigate potential amenity impacts associated with an existing industrial or warehouse use which among other things includes consideration of buffer distances.</w:t>
      </w:r>
    </w:p>
    <w:p w:rsidR="001E7D0E" w:rsidRPr="001E7D0E" w:rsidRDefault="001E7D0E" w:rsidP="001E7D0E">
      <w:pPr>
        <w:pStyle w:val="PPVBody"/>
      </w:pPr>
      <w:r w:rsidRPr="001E7D0E">
        <w:t>The Minister acknowledge</w:t>
      </w:r>
      <w:r>
        <w:t>d</w:t>
      </w:r>
      <w:r w:rsidRPr="001E7D0E">
        <w:t xml:space="preserve"> that it would be appropriate that a detailed Audit of Uses with Adverse Amenity Potential (Audit) be an Incorporated Document in the planning scheme</w:t>
      </w:r>
      <w:r>
        <w:t>s</w:t>
      </w:r>
      <w:r w:rsidRPr="001E7D0E">
        <w:t xml:space="preserve"> to ensure greater certainty that potential conflict(s) with existing industrial uses are identified</w:t>
      </w:r>
      <w:r>
        <w:t>,</w:t>
      </w:r>
      <w:r w:rsidRPr="001E7D0E">
        <w:t xml:space="preserve"> as recommended by Mr Negri.</w:t>
      </w:r>
    </w:p>
    <w:p w:rsidR="001E7D0E" w:rsidRPr="001E7D0E" w:rsidRDefault="001E7D0E" w:rsidP="001E7D0E">
      <w:pPr>
        <w:pStyle w:val="PPVBody"/>
      </w:pPr>
      <w:r w:rsidRPr="001E7D0E">
        <w:t>The Minister accepted the EPA’s reluctance to be a referral authority.</w:t>
      </w:r>
    </w:p>
    <w:p w:rsidR="001E7D0E" w:rsidRPr="001E7D0E" w:rsidRDefault="001E7D0E" w:rsidP="001E7D0E">
      <w:pPr>
        <w:pStyle w:val="Heading4"/>
      </w:pPr>
      <w:r w:rsidRPr="001E7D0E">
        <w:lastRenderedPageBreak/>
        <w:t>Discussion</w:t>
      </w:r>
    </w:p>
    <w:p w:rsidR="001E7D0E" w:rsidRPr="001E7D0E" w:rsidRDefault="001E7D0E" w:rsidP="001E7D0E">
      <w:pPr>
        <w:pStyle w:val="PPVBody"/>
      </w:pPr>
      <w:r w:rsidRPr="001E7D0E">
        <w:t>The Review Panel agrees that it is essential for health and amenity to ensure good air quality in Fishermans Bend, particularly around sensitive sites.</w:t>
      </w:r>
    </w:p>
    <w:p w:rsidR="007B739A" w:rsidRPr="001E7D0E" w:rsidRDefault="007B739A" w:rsidP="007B739A">
      <w:pPr>
        <w:pStyle w:val="PPVBody"/>
      </w:pPr>
      <w:r w:rsidRPr="001E7D0E">
        <w:t>Buffer distances were incorporated into the text of the Part C CCZ controls and the Review Panel believes these would be easier to use if they were mapped.  To further minimise the likelihood of conflict between new and existing uses, the Review Panel supports an Audit of Uses with Adverse Amenity Potential as an Incorporated Document in the planning schemes</w:t>
      </w:r>
      <w:r>
        <w:t xml:space="preserve"> in the future, although it notes that every time the Incorporated Document needs to be updated, a planning scheme amendment will be required</w:t>
      </w:r>
      <w:r w:rsidRPr="001E7D0E">
        <w:t>.</w:t>
      </w:r>
      <w:r>
        <w:t xml:space="preserve">  The Incorporated Document is not critical to progressing the draft Amendment.</w:t>
      </w:r>
    </w:p>
    <w:p w:rsidR="001E7D0E" w:rsidRPr="001E7D0E" w:rsidRDefault="001E7D0E" w:rsidP="001E7D0E">
      <w:pPr>
        <w:pStyle w:val="PPVBody"/>
      </w:pPr>
      <w:r w:rsidRPr="001E7D0E">
        <w:t>The agent of change principle is well-established in Victoria which places the onus on new developments to undertake remedial works to protect their own amenity.</w:t>
      </w:r>
    </w:p>
    <w:p w:rsidR="001E7D0E" w:rsidRPr="001E7D0E" w:rsidRDefault="001E7D0E" w:rsidP="001E7D0E">
      <w:pPr>
        <w:pStyle w:val="PPVBody"/>
      </w:pPr>
      <w:r w:rsidRPr="001E7D0E">
        <w:t>The Review Panel acknowledges the work of the EPA in further developing research and monitoring air quality and encourages parties to undertake collaborative efforts to manage the issue in the future.</w:t>
      </w:r>
    </w:p>
    <w:p w:rsidR="007B739A" w:rsidRPr="007B739A" w:rsidRDefault="007B739A" w:rsidP="007B739A">
      <w:pPr>
        <w:pStyle w:val="PPVBody"/>
      </w:pPr>
      <w:r w:rsidRPr="001E7D0E">
        <w:t>The Committee agrees that ensuring community safety from harm and adverse amenity impacts is essential.  The key is to adequately manage the potential conflict as industrial sites transform to other uses.</w:t>
      </w:r>
      <w:r>
        <w:t xml:space="preserve">  The Review Panel considers that the proposed requirements in the </w:t>
      </w:r>
      <w:r w:rsidRPr="007B739A">
        <w:t>CCZ (Part C version) relating to Amenity Impact Plans adequately address these issues.</w:t>
      </w:r>
    </w:p>
    <w:p w:rsidR="007B739A" w:rsidRPr="001E7D0E" w:rsidRDefault="007B739A" w:rsidP="007B739A">
      <w:pPr>
        <w:pStyle w:val="PPVBody"/>
      </w:pPr>
      <w:r w:rsidRPr="007B739A">
        <w:t>An EAO applies across the site so any potential land and ground water contamination can be identified and appropriate remedial measures can be implemented.</w:t>
      </w:r>
    </w:p>
    <w:p w:rsidR="00785416" w:rsidRDefault="007B739A" w:rsidP="007B739A">
      <w:pPr>
        <w:pStyle w:val="PPVBody"/>
      </w:pPr>
      <w:r w:rsidRPr="001E7D0E">
        <w:t>Buffer distances including those to major pipelines have been incorporated into the controls to further minimise the likelihood of conflic</w:t>
      </w:r>
      <w:r>
        <w:t>t between new and existing uses.</w:t>
      </w:r>
    </w:p>
    <w:p w:rsidR="007B739A" w:rsidRPr="001E7D0E" w:rsidRDefault="007B739A" w:rsidP="007B739A">
      <w:pPr>
        <w:pStyle w:val="Heading4"/>
      </w:pPr>
      <w:r w:rsidRPr="001E7D0E">
        <w:t>Findings</w:t>
      </w:r>
    </w:p>
    <w:p w:rsidR="007B739A" w:rsidRPr="001E7D0E" w:rsidRDefault="007B739A" w:rsidP="007B739A">
      <w:pPr>
        <w:pStyle w:val="PPVBody"/>
      </w:pPr>
      <w:r w:rsidRPr="001E7D0E">
        <w:t>The Review Panel finds:</w:t>
      </w:r>
    </w:p>
    <w:p w:rsidR="007B739A" w:rsidRDefault="007B739A" w:rsidP="007B739A">
      <w:pPr>
        <w:pStyle w:val="PPVBullet1"/>
      </w:pPr>
      <w:r w:rsidRPr="001E7D0E">
        <w:t>the proposed controls adequately deal with the issue of air quality around sensitive sites through the use of buffer zones</w:t>
      </w:r>
      <w:r>
        <w:t xml:space="preserve"> and Amenity Impact Plans</w:t>
      </w:r>
    </w:p>
    <w:p w:rsidR="007B739A" w:rsidRPr="001E7D0E" w:rsidRDefault="007B739A" w:rsidP="007B739A">
      <w:pPr>
        <w:pStyle w:val="PPVBullet1"/>
      </w:pPr>
      <w:r>
        <w:t>it</w:t>
      </w:r>
      <w:r w:rsidRPr="001E7D0E">
        <w:t xml:space="preserve"> supports an Audit of Uses with Adverse Amenity Potential as an Incorporated Document in the planning schemes</w:t>
      </w:r>
      <w:r>
        <w:t xml:space="preserve"> in the future, although it notes that every time the Incorporated Document needs to be updated, a planning scheme amendment will be required, and the draft Amendment could be completed before this work is finalised.</w:t>
      </w:r>
    </w:p>
    <w:p w:rsidR="007B739A" w:rsidRPr="001E7D0E" w:rsidRDefault="007B739A" w:rsidP="007B739A">
      <w:pPr>
        <w:pStyle w:val="PPVBullet1"/>
      </w:pPr>
      <w:r w:rsidRPr="001E7D0E">
        <w:t>using maps in place of text will make the control easier to use</w:t>
      </w:r>
      <w:r>
        <w:t>.</w:t>
      </w:r>
    </w:p>
    <w:p w:rsidR="00EE461B" w:rsidRDefault="007F16EB" w:rsidP="00DD6314">
      <w:pPr>
        <w:pStyle w:val="Heading2"/>
      </w:pPr>
      <w:bookmarkStart w:id="464" w:name="_Toc516754019"/>
      <w:bookmarkStart w:id="465" w:name="_Toc519710304"/>
      <w:bookmarkStart w:id="466" w:name="_Toc519766864"/>
      <w:r>
        <w:t>Heritage</w:t>
      </w:r>
      <w:bookmarkEnd w:id="464"/>
      <w:bookmarkEnd w:id="465"/>
      <w:bookmarkEnd w:id="466"/>
    </w:p>
    <w:p w:rsidR="00EE461B" w:rsidRDefault="007F16EB" w:rsidP="007F16EB">
      <w:pPr>
        <w:pStyle w:val="Heading4"/>
      </w:pPr>
      <w:r>
        <w:t>Context</w:t>
      </w:r>
    </w:p>
    <w:p w:rsidR="00323442" w:rsidRDefault="00323442" w:rsidP="00323442">
      <w:pPr>
        <w:pStyle w:val="PPVBody"/>
      </w:pPr>
      <w:r>
        <w:t xml:space="preserve">Fishermans Bend has important natural history as a wetland, links to indigenous culture as well as its role in the growth of the Port of Melbourne throughout the nineteenth and twentieth centuries.  Sites of archaeological, social and historical significance have been identified throughout Fishermans Bend, and a number of buildings have been identified in a Heritage Study undertaken by Biosis (2016) as warranting consideration for inclusion within </w:t>
      </w:r>
      <w:r>
        <w:lastRenderedPageBreak/>
        <w:t>the Heritage Overlay.</w:t>
      </w:r>
      <w:r w:rsidRPr="00C02143">
        <w:t xml:space="preserve"> </w:t>
      </w:r>
      <w:r>
        <w:t xml:space="preserve"> It is understood that this report will be reviewed further by both Councils as part of a separate process.</w:t>
      </w:r>
    </w:p>
    <w:p w:rsidR="00323442" w:rsidRDefault="00323442" w:rsidP="00323442">
      <w:pPr>
        <w:pStyle w:val="Heading4"/>
      </w:pPr>
      <w:r>
        <w:t>Submissions and evidence</w:t>
      </w:r>
    </w:p>
    <w:p w:rsidR="00323442" w:rsidRDefault="00323442" w:rsidP="00323442">
      <w:pPr>
        <w:pStyle w:val="PPVBody"/>
      </w:pPr>
      <w:r>
        <w:t>The Minister highlighted the general support among submitters and Councils for retaining and incorporating heritage buildings as important to the future character of the area.  He welcomed support for the social and cultural history of the area and the inclusion of Australia heritage and Caring for Country concepts.  The Minister expected that further development around heritage will occur as part of the Precinct plan stage.</w:t>
      </w:r>
    </w:p>
    <w:p w:rsidR="00323442" w:rsidRDefault="00323442" w:rsidP="00323442">
      <w:pPr>
        <w:pStyle w:val="PPVBody"/>
      </w:pPr>
      <w:r>
        <w:t xml:space="preserve">Port Phillip supported the focus on heritage in the draft Framework – in particular, the importance of identifying and protecting indigenous heritage in the area, as well as those buildings which help to define the character of their </w:t>
      </w:r>
      <w:r w:rsidR="00827876">
        <w:t>P</w:t>
      </w:r>
      <w:r>
        <w:t>recincts and the area as a whole.  It suggested that the consideration of heritage in the draft Framework could be strengthened through including further heritage references and requirements in the DDOs.</w:t>
      </w:r>
    </w:p>
    <w:p w:rsidR="00323442" w:rsidRDefault="00323442" w:rsidP="00323442">
      <w:pPr>
        <w:pStyle w:val="PPVBody"/>
      </w:pPr>
      <w:r>
        <w:t>Various other submissions were made on the importance of maintaining the heritage of Fishermans Bend and generally approving the focus on heritage in the Vision and draft Framework (including the potential use of a Heritage Overlay).</w:t>
      </w:r>
      <w:r w:rsidRPr="00D57BAE">
        <w:t xml:space="preserve"> </w:t>
      </w:r>
      <w:r>
        <w:t xml:space="preserve"> Other submitters considered that an overlay was not strong enough, and argued for more stringent protections.</w:t>
      </w:r>
    </w:p>
    <w:p w:rsidR="00323442" w:rsidRDefault="00323442" w:rsidP="00323442">
      <w:pPr>
        <w:pStyle w:val="PPVBody"/>
      </w:pPr>
      <w:r>
        <w:t>Some submissions questioned the method through which specific sites – particularly those that were not identified in the Biosis Heritage Study – had been selected as potential sites worthy of further heritage protection.</w:t>
      </w:r>
    </w:p>
    <w:p w:rsidR="00323442" w:rsidRDefault="00323442" w:rsidP="00323442">
      <w:pPr>
        <w:pStyle w:val="Heading4"/>
      </w:pPr>
      <w:r>
        <w:t>Discussion</w:t>
      </w:r>
    </w:p>
    <w:p w:rsidR="00323442" w:rsidRDefault="00323442" w:rsidP="00323442">
      <w:pPr>
        <w:pStyle w:val="PPVBody"/>
      </w:pPr>
      <w:r w:rsidRPr="00930602">
        <w:t xml:space="preserve">The Review Panel notes the general support from </w:t>
      </w:r>
      <w:r>
        <w:t xml:space="preserve">the Minister, Councils and </w:t>
      </w:r>
      <w:r w:rsidRPr="00930602">
        <w:t xml:space="preserve">submitters with respect to maintaining and protecting </w:t>
      </w:r>
      <w:r>
        <w:t xml:space="preserve">the </w:t>
      </w:r>
      <w:r w:rsidRPr="00930602">
        <w:t>heritage</w:t>
      </w:r>
      <w:r>
        <w:t xml:space="preserve"> of Fishermans Bend.  A properly researched </w:t>
      </w:r>
      <w:r w:rsidRPr="00930602">
        <w:t xml:space="preserve">Heritage Overlay will help achieve this objective.  With respect to </w:t>
      </w:r>
      <w:r>
        <w:t>submissions raised about</w:t>
      </w:r>
      <w:r w:rsidRPr="00930602">
        <w:t xml:space="preserve"> </w:t>
      </w:r>
      <w:r>
        <w:t xml:space="preserve">the </w:t>
      </w:r>
      <w:r w:rsidRPr="00930602">
        <w:t>inclusion or exclusion</w:t>
      </w:r>
      <w:r>
        <w:t xml:space="preserve"> of particular sites</w:t>
      </w:r>
      <w:r w:rsidRPr="00930602">
        <w:t xml:space="preserve">, the Review Panel supports the further review by the Councils </w:t>
      </w:r>
      <w:r>
        <w:t>in relation to heritage issues and sites.  This can be progressed</w:t>
      </w:r>
      <w:r w:rsidRPr="00930602">
        <w:t xml:space="preserve"> through the </w:t>
      </w:r>
      <w:r>
        <w:t>P</w:t>
      </w:r>
      <w:r w:rsidRPr="00930602">
        <w:t>recinct plan</w:t>
      </w:r>
      <w:r>
        <w:t>ning</w:t>
      </w:r>
      <w:r w:rsidRPr="00930602">
        <w:t xml:space="preserve"> process</w:t>
      </w:r>
      <w:r>
        <w:t>.  Any proposed introduction of a Heritage Overlay will require a further planning scheme amendment.</w:t>
      </w:r>
    </w:p>
    <w:p w:rsidR="00323442" w:rsidRPr="00930602" w:rsidRDefault="00323442" w:rsidP="00323442">
      <w:pPr>
        <w:pStyle w:val="Heading4"/>
      </w:pPr>
      <w:r w:rsidRPr="00930602">
        <w:t>Findings</w:t>
      </w:r>
    </w:p>
    <w:p w:rsidR="00323442" w:rsidRPr="00930602" w:rsidRDefault="00323442" w:rsidP="00323442">
      <w:pPr>
        <w:pStyle w:val="PPVBody"/>
      </w:pPr>
      <w:r w:rsidRPr="00930602">
        <w:t>The Review Panel finds:</w:t>
      </w:r>
    </w:p>
    <w:p w:rsidR="00323442" w:rsidRDefault="00323442" w:rsidP="00323442">
      <w:pPr>
        <w:pStyle w:val="PPVBullet1"/>
      </w:pPr>
      <w:r w:rsidRPr="00930602">
        <w:t xml:space="preserve">The proposed controls adequately </w:t>
      </w:r>
      <w:r>
        <w:t>respond to</w:t>
      </w:r>
      <w:r w:rsidRPr="00930602">
        <w:t xml:space="preserve"> the heritage of the area</w:t>
      </w:r>
      <w:r>
        <w:t>.</w:t>
      </w:r>
    </w:p>
    <w:p w:rsidR="00323442" w:rsidRPr="00930602" w:rsidRDefault="00125287" w:rsidP="00323442">
      <w:pPr>
        <w:pStyle w:val="PPVBullet1"/>
      </w:pPr>
      <w:r>
        <w:t>The R</w:t>
      </w:r>
      <w:r w:rsidR="00323442">
        <w:t xml:space="preserve">eview Panel encourages the Councils to progress investigations into </w:t>
      </w:r>
      <w:r w:rsidR="00323442" w:rsidRPr="00930602">
        <w:t xml:space="preserve">the </w:t>
      </w:r>
      <w:r w:rsidR="00323442">
        <w:t xml:space="preserve">possible </w:t>
      </w:r>
      <w:r w:rsidR="00323442" w:rsidRPr="00930602">
        <w:t>use of a Heritage Overlay</w:t>
      </w:r>
      <w:r w:rsidR="00323442">
        <w:t xml:space="preserve"> based on the Biosis Heritage Study (2016)</w:t>
      </w:r>
      <w:r w:rsidR="00323442" w:rsidRPr="00930602">
        <w:t>.</w:t>
      </w:r>
    </w:p>
    <w:p w:rsidR="001507E2" w:rsidRPr="00A90F8A" w:rsidRDefault="001507E2" w:rsidP="00DA32F2">
      <w:pPr>
        <w:pStyle w:val="Heading1"/>
        <w:numPr>
          <w:ilvl w:val="0"/>
          <w:numId w:val="0"/>
        </w:numPr>
        <w:rPr>
          <w:rFonts w:asciiTheme="minorHAnsi" w:hAnsiTheme="minorHAnsi"/>
        </w:rPr>
      </w:pPr>
      <w:bookmarkStart w:id="467" w:name="_Toc519710305"/>
      <w:bookmarkStart w:id="468" w:name="_Toc519766865"/>
      <w:bookmarkEnd w:id="444"/>
      <w:r w:rsidRPr="00A90F8A">
        <w:rPr>
          <w:rFonts w:asciiTheme="minorHAnsi" w:hAnsiTheme="minorHAnsi"/>
        </w:rPr>
        <w:lastRenderedPageBreak/>
        <w:t xml:space="preserve">PART C </w:t>
      </w:r>
      <w:r w:rsidR="00492A43">
        <w:rPr>
          <w:rFonts w:asciiTheme="minorHAnsi" w:hAnsiTheme="minorHAnsi"/>
        </w:rPr>
        <w:t>–</w:t>
      </w:r>
      <w:r w:rsidRPr="00A90F8A">
        <w:rPr>
          <w:rFonts w:asciiTheme="minorHAnsi" w:hAnsiTheme="minorHAnsi"/>
        </w:rPr>
        <w:t xml:space="preserve"> IMPLEMENTATION</w:t>
      </w:r>
      <w:bookmarkEnd w:id="467"/>
      <w:bookmarkEnd w:id="468"/>
    </w:p>
    <w:p w:rsidR="00655150" w:rsidRPr="00A90F8A" w:rsidRDefault="00655150" w:rsidP="00655150">
      <w:pPr>
        <w:pStyle w:val="Heading1"/>
        <w:rPr>
          <w:rFonts w:asciiTheme="minorHAnsi" w:hAnsiTheme="minorHAnsi"/>
        </w:rPr>
      </w:pPr>
      <w:bookmarkStart w:id="469" w:name="_Toc519710306"/>
      <w:bookmarkStart w:id="470" w:name="_Toc519766866"/>
      <w:bookmarkStart w:id="471" w:name="_Hlk516042291"/>
      <w:r w:rsidRPr="00A90F8A">
        <w:rPr>
          <w:rFonts w:asciiTheme="minorHAnsi" w:hAnsiTheme="minorHAnsi"/>
        </w:rPr>
        <w:lastRenderedPageBreak/>
        <w:t>Governance</w:t>
      </w:r>
      <w:bookmarkEnd w:id="469"/>
      <w:bookmarkEnd w:id="470"/>
    </w:p>
    <w:p w:rsidR="00EE461B" w:rsidRDefault="00FE3348" w:rsidP="00DD6314">
      <w:pPr>
        <w:pStyle w:val="Heading2"/>
      </w:pPr>
      <w:bookmarkStart w:id="472" w:name="_Toc519710307"/>
      <w:bookmarkStart w:id="473" w:name="_Toc519766867"/>
      <w:r>
        <w:t>Context</w:t>
      </w:r>
      <w:r w:rsidR="007E3240">
        <w:t xml:space="preserve"> and key issues</w:t>
      </w:r>
      <w:bookmarkEnd w:id="472"/>
      <w:bookmarkEnd w:id="473"/>
    </w:p>
    <w:p w:rsidR="00785416" w:rsidRDefault="00AC2E38" w:rsidP="00AC2E38">
      <w:pPr>
        <w:pStyle w:val="PPVBody"/>
        <w:rPr>
          <w:rFonts w:asciiTheme="minorHAnsi" w:hAnsiTheme="minorHAnsi"/>
        </w:rPr>
      </w:pPr>
      <w:r w:rsidRPr="00A90F8A">
        <w:rPr>
          <w:rFonts w:asciiTheme="minorHAnsi" w:hAnsiTheme="minorHAnsi"/>
        </w:rPr>
        <w:t xml:space="preserve">The Vision is silent on governance.  The draft Framework does not specifically address governance, although it notes in ‘Next Steps, Completing the planning’ that implementation of the Framework </w:t>
      </w:r>
      <w:r w:rsidRPr="00A90F8A">
        <w:rPr>
          <w:rFonts w:asciiTheme="minorHAnsi" w:hAnsiTheme="minorHAnsi"/>
          <w:i/>
        </w:rPr>
        <w:t xml:space="preserve">“will involve ongoing conversations and collaboration with the community, industry, land owners, businesses, all levels of </w:t>
      </w:r>
      <w:r>
        <w:rPr>
          <w:rFonts w:asciiTheme="minorHAnsi" w:hAnsiTheme="minorHAnsi"/>
          <w:i/>
        </w:rPr>
        <w:t>g</w:t>
      </w:r>
      <w:r w:rsidRPr="00A90F8A">
        <w:rPr>
          <w:rFonts w:asciiTheme="minorHAnsi" w:hAnsiTheme="minorHAnsi"/>
          <w:i/>
        </w:rPr>
        <w:t>overnment and the not-for-profit sector</w:t>
      </w:r>
      <w:r w:rsidRPr="00A90F8A">
        <w:rPr>
          <w:rFonts w:asciiTheme="minorHAnsi" w:hAnsiTheme="minorHAnsi"/>
        </w:rPr>
        <w:t>”.</w:t>
      </w:r>
      <w:r w:rsidRPr="00820B43">
        <w:rPr>
          <w:rStyle w:val="FootnoteReference"/>
          <w:rFonts w:asciiTheme="minorHAnsi" w:hAnsiTheme="minorHAnsi"/>
        </w:rPr>
        <w:footnoteReference w:id="123"/>
      </w:r>
    </w:p>
    <w:p w:rsidR="00AC2E38" w:rsidRDefault="00AC2E38" w:rsidP="00AC2E38">
      <w:pPr>
        <w:pStyle w:val="PPVBody"/>
        <w:rPr>
          <w:rFonts w:asciiTheme="minorHAnsi" w:hAnsiTheme="minorHAnsi"/>
        </w:rPr>
      </w:pPr>
      <w:r>
        <w:rPr>
          <w:rFonts w:asciiTheme="minorHAnsi" w:hAnsiTheme="minorHAnsi"/>
        </w:rPr>
        <w:t xml:space="preserve">Currently, the Minister is responsible authority for applications over 25,000 square metres in Fishermans Bend, and the Councils are responsible authority for applications under this threshold.  Applications made to the Minister are not required to be referred to the Councils (and vice versa).  </w:t>
      </w:r>
      <w:r>
        <w:t>T</w:t>
      </w:r>
      <w:r w:rsidRPr="00A90F8A">
        <w:t xml:space="preserve">he </w:t>
      </w:r>
      <w:r>
        <w:t xml:space="preserve">draft </w:t>
      </w:r>
      <w:r w:rsidRPr="00A90F8A">
        <w:t>Amendment does not propose any changes to roles of the Minister and the two Councils</w:t>
      </w:r>
      <w:r>
        <w:t>.</w:t>
      </w:r>
    </w:p>
    <w:p w:rsidR="00AC2E38" w:rsidRDefault="00AC2E38" w:rsidP="00AC2E38">
      <w:pPr>
        <w:pStyle w:val="PPVBody"/>
        <w:rPr>
          <w:rFonts w:asciiTheme="minorHAnsi" w:hAnsiTheme="minorHAnsi"/>
        </w:rPr>
      </w:pPr>
      <w:r w:rsidRPr="00A90F8A">
        <w:rPr>
          <w:rFonts w:asciiTheme="minorHAnsi" w:hAnsiTheme="minorHAnsi"/>
        </w:rPr>
        <w:t>A number of submissions addressed governance, with most noting that good governance will be critical to the successful delivery of Fishermans Bend, urging that this be resolved as early on in the planning process as possible.</w:t>
      </w:r>
    </w:p>
    <w:p w:rsidR="00AC2E38" w:rsidRDefault="00AC2E38" w:rsidP="00AC2E38">
      <w:pPr>
        <w:pStyle w:val="PPVBody"/>
        <w:rPr>
          <w:rFonts w:asciiTheme="minorHAnsi" w:hAnsiTheme="minorHAnsi"/>
        </w:rPr>
      </w:pPr>
      <w:r>
        <w:rPr>
          <w:rFonts w:asciiTheme="minorHAnsi" w:hAnsiTheme="minorHAnsi"/>
        </w:rPr>
        <w:t>The key issues to be addressed are:</w:t>
      </w:r>
    </w:p>
    <w:p w:rsidR="00AC2E38" w:rsidRDefault="00AC2E38" w:rsidP="00AC2E38">
      <w:pPr>
        <w:pStyle w:val="PPVBullet1"/>
      </w:pPr>
      <w:r>
        <w:t>whether there should be a single body responsible for governance for Fishermans Bend</w:t>
      </w:r>
    </w:p>
    <w:p w:rsidR="00AC2E38" w:rsidRDefault="00AC2E38" w:rsidP="00AC2E38">
      <w:pPr>
        <w:pStyle w:val="PPVBullet1"/>
      </w:pPr>
      <w:r>
        <w:t>whether there should be a design review panel or similar to assess applications</w:t>
      </w:r>
    </w:p>
    <w:p w:rsidR="00AC2E38" w:rsidRPr="00A90F8A" w:rsidRDefault="00AC2E38" w:rsidP="00AC2E38">
      <w:pPr>
        <w:pStyle w:val="PPVBullet1"/>
      </w:pPr>
      <w:r>
        <w:t>whether the Councils should be referral authorities for applications determined by the Minister (and vice versa).</w:t>
      </w:r>
    </w:p>
    <w:p w:rsidR="00AC2E38" w:rsidRDefault="00AC2E38" w:rsidP="00AC2E38">
      <w:pPr>
        <w:pStyle w:val="Heading2"/>
      </w:pPr>
      <w:bookmarkStart w:id="474" w:name="_Toc519271025"/>
      <w:bookmarkStart w:id="475" w:name="_Toc519710308"/>
      <w:bookmarkStart w:id="476" w:name="_Toc519766868"/>
      <w:r w:rsidRPr="00A90F8A">
        <w:t>Submissions and evidence</w:t>
      </w:r>
      <w:bookmarkEnd w:id="474"/>
      <w:bookmarkEnd w:id="475"/>
      <w:bookmarkEnd w:id="476"/>
    </w:p>
    <w:p w:rsidR="00785416" w:rsidRDefault="00AC2E38" w:rsidP="00AC2E38">
      <w:pPr>
        <w:pStyle w:val="PPVBody"/>
        <w:rPr>
          <w:i/>
        </w:rPr>
      </w:pPr>
      <w:r w:rsidRPr="00A90F8A">
        <w:t xml:space="preserve">The Minister’s Part B </w:t>
      </w:r>
      <w:r>
        <w:t xml:space="preserve">submission </w:t>
      </w:r>
      <w:r w:rsidRPr="00A90F8A">
        <w:t xml:space="preserve">noted that the successful delivery of Fishermans Bend will require a whole of </w:t>
      </w:r>
      <w:r>
        <w:t>g</w:t>
      </w:r>
      <w:r w:rsidRPr="00A90F8A">
        <w:t>overnment response</w:t>
      </w:r>
      <w:r>
        <w:t>.</w:t>
      </w:r>
      <w:r>
        <w:rPr>
          <w:rStyle w:val="FootnoteReference"/>
          <w:rFonts w:asciiTheme="minorHAnsi" w:hAnsiTheme="minorHAnsi"/>
        </w:rPr>
        <w:footnoteReference w:id="124"/>
      </w:r>
      <w:r w:rsidRPr="00A90F8A">
        <w:t xml:space="preserve">  The submission acknowledged that future governance arrangements for Fishermans Bend extend beyond the scope of the Amendment</w:t>
      </w:r>
      <w:r>
        <w:t xml:space="preserve">, although Clause 35(f) of the Terms of Reference requires the report to provide </w:t>
      </w:r>
      <w:r w:rsidRPr="00684142">
        <w:rPr>
          <w:i/>
        </w:rPr>
        <w:t>“A summary of all submitters heard that presented on matters outside the consideration of the Review Panel”.</w:t>
      </w:r>
    </w:p>
    <w:p w:rsidR="00AC2E38" w:rsidRPr="00A90F8A" w:rsidRDefault="00AC2E38" w:rsidP="00AC2E38">
      <w:pPr>
        <w:pStyle w:val="PPVBody"/>
      </w:pPr>
      <w:r>
        <w:t>The Minister’s Part B submission</w:t>
      </w:r>
      <w:r w:rsidRPr="00A90F8A">
        <w:t xml:space="preserve"> acknowledge</w:t>
      </w:r>
      <w:r>
        <w:t>d</w:t>
      </w:r>
      <w:r w:rsidRPr="00A90F8A">
        <w:t xml:space="preserve"> the various submissions</w:t>
      </w:r>
      <w:r>
        <w:t>,</w:t>
      </w:r>
      <w:r w:rsidRPr="00A90F8A">
        <w:t xml:space="preserve"> including that </w:t>
      </w:r>
      <w:r>
        <w:t>from</w:t>
      </w:r>
      <w:r w:rsidRPr="00A90F8A">
        <w:t xml:space="preserve"> </w:t>
      </w:r>
      <w:r>
        <w:t>the MAC,</w:t>
      </w:r>
      <w:r w:rsidRPr="00A90F8A">
        <w:t xml:space="preserve"> which has “</w:t>
      </w:r>
      <w:r w:rsidRPr="00A90F8A">
        <w:rPr>
          <w:i/>
        </w:rPr>
        <w:t>recommended the creation of a statutory authority with specific responsibility for the delivery of Fishermans Bend”.</w:t>
      </w:r>
      <w:r w:rsidRPr="00A90F8A">
        <w:t xml:space="preserve">  Paragraph 10 advised:</w:t>
      </w:r>
    </w:p>
    <w:p w:rsidR="00785416" w:rsidRDefault="00AC2E38" w:rsidP="00AC2E38">
      <w:pPr>
        <w:pStyle w:val="PPVQuote"/>
        <w:rPr>
          <w:rFonts w:asciiTheme="minorHAnsi" w:hAnsiTheme="minorHAnsi"/>
        </w:rPr>
      </w:pPr>
      <w:r w:rsidRPr="00A90F8A">
        <w:rPr>
          <w:rFonts w:asciiTheme="minorHAnsi" w:hAnsiTheme="minorHAnsi"/>
        </w:rPr>
        <w:t xml:space="preserve">While the Minister does not necessarily oppose this course, it is clear that it would require careful consideration, particularly regarding the structure and funding of such a body and potentially primary legislation to establish any such authority.  </w:t>
      </w:r>
      <w:r w:rsidRPr="0002344F">
        <w:rPr>
          <w:rFonts w:asciiTheme="minorHAnsi" w:hAnsiTheme="minorHAnsi"/>
        </w:rPr>
        <w:t>In this regard, the Minister looks forward to hearing the submissions of the parties and receiving the Panel’s recommendations.</w:t>
      </w:r>
    </w:p>
    <w:p w:rsidR="00B40278" w:rsidRDefault="00AC2E38" w:rsidP="00AC2E38">
      <w:pPr>
        <w:pStyle w:val="PPVBody"/>
      </w:pPr>
      <w:r w:rsidRPr="00A90F8A">
        <w:t xml:space="preserve">In its closing submission (D350), the Minister reiterated </w:t>
      </w:r>
      <w:r>
        <w:t xml:space="preserve">that </w:t>
      </w:r>
      <w:r w:rsidRPr="00A90F8A">
        <w:t xml:space="preserve">the decision on governance will be a matter for the whole of </w:t>
      </w:r>
      <w:r w:rsidR="0079402A">
        <w:t>g</w:t>
      </w:r>
      <w:r w:rsidRPr="00A90F8A">
        <w:t>overnment.</w:t>
      </w:r>
    </w:p>
    <w:p w:rsidR="00AC2E38" w:rsidRPr="00A90F8A" w:rsidRDefault="00AC2E38" w:rsidP="00AC2E38">
      <w:pPr>
        <w:pStyle w:val="PPVBody"/>
        <w:rPr>
          <w:rFonts w:asciiTheme="minorHAnsi" w:hAnsiTheme="minorHAnsi"/>
        </w:rPr>
      </w:pPr>
      <w:r w:rsidRPr="00A90F8A">
        <w:rPr>
          <w:rFonts w:asciiTheme="minorHAnsi" w:hAnsiTheme="minorHAnsi"/>
        </w:rPr>
        <w:lastRenderedPageBreak/>
        <w:t>The MAC provided its response to the draft Framework</w:t>
      </w:r>
      <w:r>
        <w:rPr>
          <w:rFonts w:asciiTheme="minorHAnsi" w:hAnsiTheme="minorHAnsi"/>
        </w:rPr>
        <w:t xml:space="preserve"> in the MAC Report No. 2 </w:t>
      </w:r>
      <w:r w:rsidRPr="00A90F8A">
        <w:rPr>
          <w:rFonts w:asciiTheme="minorHAnsi" w:hAnsiTheme="minorHAnsi"/>
        </w:rPr>
        <w:t>(D18)</w:t>
      </w:r>
      <w:r>
        <w:rPr>
          <w:rFonts w:asciiTheme="minorHAnsi" w:hAnsiTheme="minorHAnsi"/>
        </w:rPr>
        <w:t>.  It made</w:t>
      </w:r>
      <w:r w:rsidRPr="00A90F8A">
        <w:rPr>
          <w:rFonts w:asciiTheme="minorHAnsi" w:hAnsiTheme="minorHAnsi"/>
        </w:rPr>
        <w:t xml:space="preserve"> a presentation at the Hearing (D57 and D58) and a further response in relation to issues raised (D303).  One of the key themes it advocated was</w:t>
      </w:r>
      <w:r>
        <w:rPr>
          <w:rFonts w:asciiTheme="minorHAnsi" w:hAnsiTheme="minorHAnsi"/>
        </w:rPr>
        <w:t xml:space="preserve"> governance</w:t>
      </w:r>
      <w:r w:rsidRPr="00A90F8A">
        <w:rPr>
          <w:rFonts w:asciiTheme="minorHAnsi" w:hAnsiTheme="minorHAnsi"/>
        </w:rPr>
        <w:t xml:space="preserve">.  In this regard, </w:t>
      </w:r>
      <w:r>
        <w:rPr>
          <w:rFonts w:asciiTheme="minorHAnsi" w:hAnsiTheme="minorHAnsi"/>
        </w:rPr>
        <w:t xml:space="preserve">the MAC </w:t>
      </w:r>
      <w:r w:rsidRPr="00A90F8A">
        <w:rPr>
          <w:rFonts w:asciiTheme="minorHAnsi" w:hAnsiTheme="minorHAnsi"/>
        </w:rPr>
        <w:t>noted that:</w:t>
      </w:r>
    </w:p>
    <w:p w:rsidR="00AC2E38" w:rsidRDefault="00AC2E38" w:rsidP="00AC2E38">
      <w:pPr>
        <w:pStyle w:val="PPVQuote"/>
        <w:rPr>
          <w:rFonts w:asciiTheme="minorHAnsi" w:hAnsiTheme="minorHAnsi"/>
        </w:rPr>
      </w:pPr>
      <w:r w:rsidRPr="00A90F8A">
        <w:rPr>
          <w:rFonts w:asciiTheme="minorHAnsi" w:hAnsiTheme="minorHAnsi"/>
        </w:rPr>
        <w:t>Governance was identified as a major issue in the first report of the MAC and the establishment of the Taskforce was an important interim step … over the last 18 months, it has become clear that the unique circumstances in the urban renewal of Fishermans Bend require the next step in the development of governance arrangements.</w:t>
      </w:r>
    </w:p>
    <w:p w:rsidR="00AC2E38" w:rsidRPr="00A90F8A" w:rsidRDefault="00AC2E38" w:rsidP="00AC2E38">
      <w:pPr>
        <w:pStyle w:val="PPVBody"/>
        <w:rPr>
          <w:rFonts w:asciiTheme="minorHAnsi" w:hAnsiTheme="minorHAnsi"/>
        </w:rPr>
      </w:pPr>
      <w:r w:rsidRPr="00A90F8A">
        <w:rPr>
          <w:rFonts w:asciiTheme="minorHAnsi" w:hAnsiTheme="minorHAnsi"/>
        </w:rPr>
        <w:t>Further, it noted that currently, “</w:t>
      </w:r>
      <w:r w:rsidRPr="00A90F8A">
        <w:rPr>
          <w:rFonts w:asciiTheme="minorHAnsi" w:hAnsiTheme="minorHAnsi"/>
          <w:i/>
        </w:rPr>
        <w:t>critical responsibilities for the delivery of Fishermans Bend are located in a number of different organisations with no one organisation accountable for its ultimate success</w:t>
      </w:r>
      <w:r w:rsidRPr="00A90F8A">
        <w:rPr>
          <w:rFonts w:asciiTheme="minorHAnsi" w:hAnsiTheme="minorHAnsi"/>
        </w:rPr>
        <w:t xml:space="preserve">”.  The </w:t>
      </w:r>
      <w:r>
        <w:rPr>
          <w:rFonts w:asciiTheme="minorHAnsi" w:hAnsiTheme="minorHAnsi"/>
        </w:rPr>
        <w:t>MAC R</w:t>
      </w:r>
      <w:r w:rsidRPr="00A90F8A">
        <w:rPr>
          <w:rFonts w:asciiTheme="minorHAnsi" w:hAnsiTheme="minorHAnsi"/>
        </w:rPr>
        <w:t>eport</w:t>
      </w:r>
      <w:r>
        <w:rPr>
          <w:rFonts w:asciiTheme="minorHAnsi" w:hAnsiTheme="minorHAnsi"/>
        </w:rPr>
        <w:t xml:space="preserve"> No. 2</w:t>
      </w:r>
      <w:r w:rsidRPr="00A90F8A">
        <w:rPr>
          <w:rFonts w:asciiTheme="minorHAnsi" w:hAnsiTheme="minorHAnsi"/>
        </w:rPr>
        <w:t xml:space="preserve"> noted that Fishermans Bend needs governance arrangements to deliver the Vision, </w:t>
      </w:r>
      <w:r>
        <w:rPr>
          <w:rFonts w:asciiTheme="minorHAnsi" w:hAnsiTheme="minorHAnsi"/>
        </w:rPr>
        <w:t>with</w:t>
      </w:r>
      <w:r w:rsidRPr="00A90F8A">
        <w:rPr>
          <w:rFonts w:asciiTheme="minorHAnsi" w:hAnsiTheme="minorHAnsi"/>
        </w:rPr>
        <w:t>:</w:t>
      </w:r>
    </w:p>
    <w:p w:rsidR="00AC2E38" w:rsidRPr="00A90F8A" w:rsidRDefault="00AC2E38" w:rsidP="00AC2E38">
      <w:pPr>
        <w:pStyle w:val="PPVBullet1"/>
      </w:pPr>
      <w:r w:rsidRPr="00A90F8A">
        <w:rPr>
          <w:rFonts w:asciiTheme="minorHAnsi" w:hAnsiTheme="minorHAnsi"/>
        </w:rPr>
        <w:t>strong leadership</w:t>
      </w:r>
    </w:p>
    <w:p w:rsidR="00AC2E38" w:rsidRDefault="00AC2E38" w:rsidP="00AC2E38">
      <w:pPr>
        <w:pStyle w:val="PPVBullet1"/>
      </w:pPr>
      <w:r w:rsidRPr="00A90F8A">
        <w:t>master planning</w:t>
      </w:r>
    </w:p>
    <w:p w:rsidR="00AC2E38" w:rsidRPr="00A90F8A" w:rsidRDefault="00AC2E38" w:rsidP="00AC2E38">
      <w:pPr>
        <w:pStyle w:val="PPVBullet1"/>
      </w:pPr>
      <w:r w:rsidRPr="00A90F8A">
        <w:t>change management process</w:t>
      </w:r>
    </w:p>
    <w:p w:rsidR="00AC2E38" w:rsidRPr="00A90F8A" w:rsidRDefault="00AC2E38" w:rsidP="00AC2E38">
      <w:pPr>
        <w:pStyle w:val="PPVBullet1"/>
      </w:pPr>
      <w:r w:rsidRPr="00A90F8A">
        <w:t>integrated and timely advice</w:t>
      </w:r>
    </w:p>
    <w:p w:rsidR="00AC2E38" w:rsidRPr="00A90F8A" w:rsidRDefault="00AC2E38" w:rsidP="00AC2E38">
      <w:pPr>
        <w:pStyle w:val="PPVBullet1"/>
      </w:pPr>
      <w:r w:rsidRPr="00A90F8A">
        <w:t>support to existing and new industry and business</w:t>
      </w:r>
    </w:p>
    <w:p w:rsidR="00AC2E38" w:rsidRPr="00A90F8A" w:rsidRDefault="00AC2E38" w:rsidP="00AC2E38">
      <w:pPr>
        <w:pStyle w:val="PPVBullet1"/>
      </w:pPr>
      <w:r w:rsidRPr="00A90F8A">
        <w:t>single point of contact</w:t>
      </w:r>
    </w:p>
    <w:p w:rsidR="00AC2E38" w:rsidRPr="00A90F8A" w:rsidRDefault="00AC2E38" w:rsidP="00AC2E38">
      <w:pPr>
        <w:pStyle w:val="PPVBullet1"/>
      </w:pPr>
      <w:r w:rsidRPr="00A90F8A">
        <w:t xml:space="preserve">coordination of </w:t>
      </w:r>
      <w:r w:rsidR="0079402A">
        <w:t>g</w:t>
      </w:r>
      <w:r w:rsidRPr="00A90F8A">
        <w:t>overnment agencies</w:t>
      </w:r>
    </w:p>
    <w:p w:rsidR="00AC2E38" w:rsidRDefault="00AC2E38" w:rsidP="00AC2E38">
      <w:pPr>
        <w:pStyle w:val="PPVBullet1"/>
      </w:pPr>
      <w:r w:rsidRPr="00A90F8A">
        <w:t>cost</w:t>
      </w:r>
      <w:r>
        <w:t>-</w:t>
      </w:r>
      <w:r w:rsidRPr="00A90F8A">
        <w:t>effective and timely delivery of public infrastructure strategies, including affordable housing and community development</w:t>
      </w:r>
    </w:p>
    <w:p w:rsidR="00AC2E38" w:rsidRPr="00A90F8A" w:rsidRDefault="00AC2E38" w:rsidP="00AC2E38">
      <w:pPr>
        <w:pStyle w:val="PPVBullet1"/>
      </w:pPr>
      <w:r w:rsidRPr="00A90F8A">
        <w:t>strong stakeholder and community engagement.</w:t>
      </w:r>
      <w:r>
        <w:rPr>
          <w:rStyle w:val="FootnoteReference"/>
        </w:rPr>
        <w:footnoteReference w:id="125"/>
      </w:r>
    </w:p>
    <w:p w:rsidR="00AC2E38" w:rsidRPr="00A90F8A" w:rsidRDefault="00AC2E38" w:rsidP="00AC2E38">
      <w:pPr>
        <w:pStyle w:val="PPVBody"/>
        <w:rPr>
          <w:rFonts w:asciiTheme="minorHAnsi" w:hAnsiTheme="minorHAnsi"/>
        </w:rPr>
      </w:pPr>
      <w:r w:rsidRPr="00A90F8A">
        <w:rPr>
          <w:rFonts w:asciiTheme="minorHAnsi" w:hAnsiTheme="minorHAnsi"/>
        </w:rPr>
        <w:t>The MAC urged that any governance arrangements be developed in close consultation with the two Councils in order to learn from the experience in the development of Docklands, and that any model have a finite life that is sub</w:t>
      </w:r>
      <w:r>
        <w:rPr>
          <w:rFonts w:asciiTheme="minorHAnsi" w:hAnsiTheme="minorHAnsi"/>
        </w:rPr>
        <w:t xml:space="preserve">ject to review within 10 years.  </w:t>
      </w:r>
      <w:r w:rsidRPr="00A90F8A">
        <w:rPr>
          <w:rFonts w:asciiTheme="minorHAnsi" w:hAnsiTheme="minorHAnsi"/>
        </w:rPr>
        <w:t>These submissions were reiterated at the Hearing (D57) where the MAC stated that establishment of governance arrangements will bring together:</w:t>
      </w:r>
    </w:p>
    <w:p w:rsidR="00AC2E38" w:rsidRPr="00A90F8A" w:rsidRDefault="00AC2E38" w:rsidP="00AC2E38">
      <w:pPr>
        <w:pStyle w:val="PPVQuote"/>
        <w:rPr>
          <w:rFonts w:asciiTheme="minorHAnsi" w:hAnsiTheme="minorHAnsi"/>
        </w:rPr>
      </w:pPr>
      <w:r w:rsidRPr="00A90F8A">
        <w:rPr>
          <w:rFonts w:asciiTheme="minorHAnsi" w:hAnsiTheme="minorHAnsi"/>
        </w:rPr>
        <w:t>… ongoing responsibility for land use planning and industry ‘curation’ reflecting the unique circumstances and ambitions for the Area and providing for strong leadership with a concentrated focus and a mandate to drive development, a hands on integrated approach to problem</w:t>
      </w:r>
      <w:r>
        <w:rPr>
          <w:rFonts w:asciiTheme="minorHAnsi" w:hAnsiTheme="minorHAnsi"/>
        </w:rPr>
        <w:t>-</w:t>
      </w:r>
      <w:r w:rsidRPr="00A90F8A">
        <w:rPr>
          <w:rFonts w:asciiTheme="minorHAnsi" w:hAnsiTheme="minorHAnsi"/>
        </w:rPr>
        <w:t>solving and the powers and authority to act.</w:t>
      </w:r>
    </w:p>
    <w:p w:rsidR="00785416" w:rsidRDefault="00AC2E38" w:rsidP="00AC2E38">
      <w:pPr>
        <w:pStyle w:val="PPVBody"/>
        <w:rPr>
          <w:rFonts w:asciiTheme="minorHAnsi" w:hAnsiTheme="minorHAnsi"/>
          <w:i/>
        </w:rPr>
      </w:pPr>
      <w:r w:rsidRPr="00A90F8A">
        <w:rPr>
          <w:rFonts w:asciiTheme="minorHAnsi" w:hAnsiTheme="minorHAnsi"/>
        </w:rPr>
        <w:t xml:space="preserve">In its opening submission (D120), Melbourne noted that it agreed with </w:t>
      </w:r>
      <w:r w:rsidRPr="00A90F8A">
        <w:rPr>
          <w:rFonts w:asciiTheme="minorHAnsi" w:hAnsiTheme="minorHAnsi"/>
          <w:i/>
        </w:rPr>
        <w:t xml:space="preserve">“… the vast majority of the </w:t>
      </w:r>
      <w:r>
        <w:rPr>
          <w:rFonts w:asciiTheme="minorHAnsi" w:hAnsiTheme="minorHAnsi"/>
          <w:i/>
        </w:rPr>
        <w:t>MAC’s</w:t>
      </w:r>
      <w:r w:rsidRPr="00A90F8A">
        <w:rPr>
          <w:rFonts w:asciiTheme="minorHAnsi" w:hAnsiTheme="minorHAnsi"/>
          <w:i/>
        </w:rPr>
        <w:t xml:space="preserve"> recommendations …”, </w:t>
      </w:r>
      <w:r w:rsidRPr="00A90F8A">
        <w:rPr>
          <w:rFonts w:asciiTheme="minorHAnsi" w:hAnsiTheme="minorHAnsi"/>
        </w:rPr>
        <w:t xml:space="preserve">including </w:t>
      </w:r>
      <w:r w:rsidRPr="00A90F8A">
        <w:rPr>
          <w:rFonts w:asciiTheme="minorHAnsi" w:hAnsiTheme="minorHAnsi"/>
          <w:i/>
        </w:rPr>
        <w:t>“finalising a governance framework and funding and finance plan as a matter of priority”.</w:t>
      </w:r>
      <w:r w:rsidRPr="00820B43">
        <w:rPr>
          <w:rStyle w:val="FootnoteReference"/>
          <w:rFonts w:asciiTheme="minorHAnsi" w:hAnsiTheme="minorHAnsi"/>
        </w:rPr>
        <w:footnoteReference w:id="126"/>
      </w:r>
    </w:p>
    <w:p w:rsidR="00AC2E38" w:rsidRPr="00A90F8A" w:rsidRDefault="00AC2E38" w:rsidP="00AC2E38">
      <w:pPr>
        <w:pStyle w:val="PPVBody"/>
      </w:pPr>
      <w:r>
        <w:rPr>
          <w:rFonts w:asciiTheme="minorHAnsi" w:hAnsiTheme="minorHAnsi"/>
        </w:rPr>
        <w:t>Melbourne</w:t>
      </w:r>
      <w:r w:rsidRPr="00A90F8A">
        <w:rPr>
          <w:rFonts w:asciiTheme="minorHAnsi" w:hAnsiTheme="minorHAnsi"/>
        </w:rPr>
        <w:t xml:space="preserve"> sought that it be a recommending </w:t>
      </w:r>
      <w:r>
        <w:rPr>
          <w:rFonts w:asciiTheme="minorHAnsi" w:hAnsiTheme="minorHAnsi"/>
        </w:rPr>
        <w:t>r</w:t>
      </w:r>
      <w:r w:rsidRPr="00A90F8A">
        <w:rPr>
          <w:rFonts w:asciiTheme="minorHAnsi" w:hAnsiTheme="minorHAnsi"/>
        </w:rPr>
        <w:t xml:space="preserve">eferral </w:t>
      </w:r>
      <w:r>
        <w:rPr>
          <w:rFonts w:asciiTheme="minorHAnsi" w:hAnsiTheme="minorHAnsi"/>
        </w:rPr>
        <w:t>a</w:t>
      </w:r>
      <w:r w:rsidRPr="00A90F8A">
        <w:rPr>
          <w:rFonts w:asciiTheme="minorHAnsi" w:hAnsiTheme="minorHAnsi"/>
        </w:rPr>
        <w:t>uthority</w:t>
      </w:r>
      <w:r>
        <w:rPr>
          <w:rFonts w:asciiTheme="minorHAnsi" w:hAnsiTheme="minorHAnsi"/>
        </w:rPr>
        <w:t xml:space="preserve"> for applications made to the Minister as responsible authority</w:t>
      </w:r>
      <w:r w:rsidRPr="00A90F8A">
        <w:rPr>
          <w:rFonts w:asciiTheme="minorHAnsi" w:hAnsiTheme="minorHAnsi"/>
        </w:rPr>
        <w:t>, consistent with all other areas of its municipality within the Zone</w:t>
      </w:r>
      <w:r>
        <w:rPr>
          <w:rFonts w:asciiTheme="minorHAnsi" w:hAnsiTheme="minorHAnsi"/>
        </w:rPr>
        <w:t xml:space="preserve"> (including the CBD)</w:t>
      </w:r>
      <w:r w:rsidRPr="00A90F8A">
        <w:rPr>
          <w:rFonts w:asciiTheme="minorHAnsi" w:hAnsiTheme="minorHAnsi"/>
        </w:rPr>
        <w:t>.</w:t>
      </w:r>
      <w:r>
        <w:rPr>
          <w:rFonts w:asciiTheme="minorHAnsi" w:hAnsiTheme="minorHAnsi"/>
        </w:rPr>
        <w:t xml:space="preserve">  </w:t>
      </w:r>
      <w:r>
        <w:t>The Minister</w:t>
      </w:r>
      <w:r w:rsidRPr="00A90F8A">
        <w:t xml:space="preserve"> accepted that the relevant Council should be given the status of recommending </w:t>
      </w:r>
      <w:r>
        <w:t xml:space="preserve">referral </w:t>
      </w:r>
      <w:r w:rsidRPr="00A90F8A">
        <w:t xml:space="preserve">authority, but not a </w:t>
      </w:r>
      <w:r>
        <w:t xml:space="preserve">determining </w:t>
      </w:r>
      <w:r w:rsidRPr="00A90F8A">
        <w:t xml:space="preserve">referral authority.  The </w:t>
      </w:r>
      <w:r>
        <w:t xml:space="preserve">Minister’s Part B </w:t>
      </w:r>
      <w:r w:rsidRPr="00A90F8A">
        <w:t>submission advised:</w:t>
      </w:r>
    </w:p>
    <w:p w:rsidR="00AC2E38" w:rsidRDefault="00AC2E38" w:rsidP="00AC2E38">
      <w:pPr>
        <w:pStyle w:val="PPVQuote"/>
        <w:rPr>
          <w:rFonts w:asciiTheme="minorHAnsi" w:hAnsiTheme="minorHAnsi"/>
        </w:rPr>
      </w:pPr>
      <w:r w:rsidRPr="00A90F8A">
        <w:rPr>
          <w:rFonts w:asciiTheme="minorHAnsi" w:hAnsiTheme="minorHAnsi"/>
        </w:rPr>
        <w:lastRenderedPageBreak/>
        <w:t>Formalising the participation of the Councils will also benefit applicants by adding a degree of rigour to their participation by requiring the Councils to comply with the obligations applicable to referral authorities under the Planning Act.</w:t>
      </w:r>
      <w:r w:rsidRPr="00820B43">
        <w:rPr>
          <w:rStyle w:val="FootnoteReference"/>
          <w:rFonts w:asciiTheme="minorHAnsi" w:hAnsiTheme="minorHAnsi"/>
          <w:i w:val="0"/>
        </w:rPr>
        <w:footnoteReference w:id="127"/>
      </w:r>
    </w:p>
    <w:p w:rsidR="00AC2E38" w:rsidRPr="00A90F8A" w:rsidRDefault="00AC2E38" w:rsidP="00AC2E38">
      <w:pPr>
        <w:pStyle w:val="PPVBody"/>
        <w:rPr>
          <w:rFonts w:asciiTheme="minorHAnsi" w:hAnsiTheme="minorHAnsi"/>
        </w:rPr>
      </w:pPr>
      <w:r w:rsidRPr="00A90F8A">
        <w:rPr>
          <w:rFonts w:asciiTheme="minorHAnsi" w:hAnsiTheme="minorHAnsi"/>
        </w:rPr>
        <w:t xml:space="preserve">Port Phillip did not </w:t>
      </w:r>
      <w:r>
        <w:rPr>
          <w:rFonts w:asciiTheme="minorHAnsi" w:hAnsiTheme="minorHAnsi"/>
        </w:rPr>
        <w:t>express a clear position</w:t>
      </w:r>
      <w:r w:rsidRPr="00A90F8A">
        <w:rPr>
          <w:rFonts w:asciiTheme="minorHAnsi" w:hAnsiTheme="minorHAnsi"/>
        </w:rPr>
        <w:t xml:space="preserve"> on the issue of governance.</w:t>
      </w:r>
    </w:p>
    <w:p w:rsidR="00AC2E38" w:rsidRPr="00A90F8A" w:rsidRDefault="00AC2E38" w:rsidP="00AC2E38">
      <w:pPr>
        <w:pStyle w:val="PPVBody"/>
        <w:rPr>
          <w:rFonts w:asciiTheme="minorHAnsi" w:hAnsiTheme="minorHAnsi"/>
        </w:rPr>
      </w:pPr>
      <w:r w:rsidRPr="00A90F8A">
        <w:rPr>
          <w:rFonts w:asciiTheme="minorHAnsi" w:hAnsiTheme="minorHAnsi"/>
        </w:rPr>
        <w:t xml:space="preserve">Mr Shipp gave evidence for both Councils and noted the importance of establishing clear governance arrangements to guide public infrastructure funding and delivery.  He noted that ongoing governance arrangements for Fishermans Bend are not clear and would require cooperation across multiple </w:t>
      </w:r>
      <w:r>
        <w:rPr>
          <w:rFonts w:asciiTheme="minorHAnsi" w:hAnsiTheme="minorHAnsi"/>
        </w:rPr>
        <w:t>g</w:t>
      </w:r>
      <w:r w:rsidRPr="00A90F8A">
        <w:rPr>
          <w:rFonts w:asciiTheme="minorHAnsi" w:hAnsiTheme="minorHAnsi"/>
        </w:rPr>
        <w:t xml:space="preserve">overnment agencies.  At the moment, the </w:t>
      </w:r>
      <w:r>
        <w:rPr>
          <w:rFonts w:asciiTheme="minorHAnsi" w:hAnsiTheme="minorHAnsi"/>
        </w:rPr>
        <w:t>Victorian Planning Authority collects</w:t>
      </w:r>
      <w:r w:rsidRPr="00A90F8A">
        <w:rPr>
          <w:rFonts w:asciiTheme="minorHAnsi" w:hAnsiTheme="minorHAnsi"/>
        </w:rPr>
        <w:t xml:space="preserve"> interim development contributions, and both Councils </w:t>
      </w:r>
      <w:r>
        <w:rPr>
          <w:rFonts w:asciiTheme="minorHAnsi" w:hAnsiTheme="minorHAnsi"/>
        </w:rPr>
        <w:t>collect</w:t>
      </w:r>
      <w:r w:rsidRPr="00A90F8A">
        <w:rPr>
          <w:rFonts w:asciiTheme="minorHAnsi" w:hAnsiTheme="minorHAnsi"/>
        </w:rPr>
        <w:t xml:space="preserve"> public open space contributions.  He considered this complex administration is likely to lead to inefficiencies, and that a coordinated approach to strategic land acquisition and infrastructure delivery is required.</w:t>
      </w:r>
    </w:p>
    <w:p w:rsidR="00AC2E38" w:rsidRDefault="00AC2E38" w:rsidP="00AC2E38">
      <w:pPr>
        <w:pStyle w:val="PPVBody"/>
        <w:rPr>
          <w:rFonts w:asciiTheme="minorHAnsi" w:hAnsiTheme="minorHAnsi"/>
        </w:rPr>
      </w:pPr>
      <w:r w:rsidRPr="00A90F8A">
        <w:rPr>
          <w:rFonts w:asciiTheme="minorHAnsi" w:hAnsiTheme="minorHAnsi"/>
        </w:rPr>
        <w:t xml:space="preserve">The Australian Institute of Architects (S176 and D61) strongly advocated for a transparent governance structure (such as a dedicated Fishermans Bend Authority) to lead and manage the longer term ambitions for the redevelopment.  It argued that </w:t>
      </w:r>
      <w:r w:rsidRPr="00A90F8A">
        <w:rPr>
          <w:rFonts w:asciiTheme="minorHAnsi" w:hAnsiTheme="minorHAnsi"/>
          <w:i/>
        </w:rPr>
        <w:t>“To enable flexibility and agile responses to the future conditions, a governance structure should be established incorporating a steering authority that can assist in ensuring the objective and ambitions for Fishermans Bend are being activated</w:t>
      </w:r>
      <w:r w:rsidRPr="00A90F8A">
        <w:rPr>
          <w:rFonts w:asciiTheme="minorHAnsi" w:hAnsiTheme="minorHAnsi"/>
        </w:rPr>
        <w:t>”.</w:t>
      </w:r>
    </w:p>
    <w:p w:rsidR="00AC2E38" w:rsidRPr="00064C55" w:rsidRDefault="00AC2E38" w:rsidP="00064C55">
      <w:pPr>
        <w:pStyle w:val="PPVBody"/>
      </w:pPr>
      <w:r>
        <w:t>The Institute (and others) further recommended that design excellence for all aspects of Fishermans Bend be assured by intern</w:t>
      </w:r>
      <w:r w:rsidR="00346B0A">
        <w:t xml:space="preserve">ational design competitions </w:t>
      </w:r>
      <w:r>
        <w:t xml:space="preserve">or a </w:t>
      </w:r>
      <w:r w:rsidR="0079402A">
        <w:t>d</w:t>
      </w:r>
      <w:r>
        <w:t xml:space="preserve">esign </w:t>
      </w:r>
      <w:r w:rsidR="0079402A">
        <w:t>r</w:t>
      </w:r>
      <w:r>
        <w:t xml:space="preserve">eview </w:t>
      </w:r>
      <w:r w:rsidR="0079402A">
        <w:t>p</w:t>
      </w:r>
      <w:r>
        <w:t xml:space="preserve">anel.  When questioned by the Review Panel whether this might be the role of the Office of the </w:t>
      </w:r>
      <w:r w:rsidRPr="00064C55">
        <w:t>Victorian Government Architect, they saw its role as somewhat different in terms of its ongoing role and function, and how it might play out for Fishermans Bend.</w:t>
      </w:r>
    </w:p>
    <w:p w:rsidR="00064C55" w:rsidRPr="00064C55" w:rsidRDefault="00064C55" w:rsidP="00064C55">
      <w:pPr>
        <w:pStyle w:val="PPVBody"/>
      </w:pPr>
      <w:r>
        <w:t>The UDIA (S</w:t>
      </w:r>
      <w:r w:rsidRPr="00064C55">
        <w:t>215) support</w:t>
      </w:r>
      <w:r>
        <w:t>ed</w:t>
      </w:r>
      <w:r w:rsidRPr="00064C55">
        <w:t xml:space="preserve"> the establishment of a separate authority responsible for all aspects of the strategic planning and administration of the planning schemes. </w:t>
      </w:r>
      <w:r>
        <w:t xml:space="preserve"> Through Ms Addison, it </w:t>
      </w:r>
      <w:r w:rsidRPr="00064C55">
        <w:t>suggested that Melbourne and Port Phillip become recommending referral authorities and the Minister d</w:t>
      </w:r>
      <w:r>
        <w:t>evolve</w:t>
      </w:r>
      <w:r w:rsidRPr="00064C55">
        <w:t xml:space="preserve"> his responsibilities to administer and enforce the two schemes in Fishermans Bend.</w:t>
      </w:r>
    </w:p>
    <w:p w:rsidR="00AC2E38" w:rsidRPr="00A90F8A" w:rsidRDefault="00AC2E38" w:rsidP="00064C55">
      <w:pPr>
        <w:pStyle w:val="PPVBody"/>
      </w:pPr>
      <w:r w:rsidRPr="00064C55">
        <w:t>SPURR (South Port Urban Responsible Renewal</w:t>
      </w:r>
      <w:r w:rsidRPr="00A90F8A">
        <w:t xml:space="preserve">) is a collective of 49 community groups with a combined membership of 9,500 people who live and work in and around Fishermans Bend.  Its submission to the Hearing (D235) </w:t>
      </w:r>
      <w:r>
        <w:t>highlighted the critical importance of</w:t>
      </w:r>
      <w:r w:rsidRPr="00A90F8A">
        <w:t xml:space="preserve"> funding and governance to ensure the success of Fishermans Bend</w:t>
      </w:r>
      <w:r>
        <w:t>.</w:t>
      </w:r>
      <w:r w:rsidRPr="00A90F8A">
        <w:t xml:space="preserve"> </w:t>
      </w:r>
      <w:r>
        <w:t xml:space="preserve"> It </w:t>
      </w:r>
      <w:r w:rsidRPr="00A90F8A">
        <w:t xml:space="preserve">considered </w:t>
      </w:r>
      <w:r>
        <w:t xml:space="preserve">that </w:t>
      </w:r>
      <w:r w:rsidRPr="00A90F8A">
        <w:t xml:space="preserve">a statutory authority </w:t>
      </w:r>
      <w:r>
        <w:t xml:space="preserve">should </w:t>
      </w:r>
      <w:r w:rsidRPr="00A90F8A">
        <w:t>be put in place to “</w:t>
      </w:r>
      <w:r w:rsidRPr="00A90F8A">
        <w:rPr>
          <w:i/>
        </w:rPr>
        <w:t>unite all the planning functions under one roof including oversight of the funding arrangements</w:t>
      </w:r>
      <w:r>
        <w:rPr>
          <w:i/>
        </w:rPr>
        <w:t>”</w:t>
      </w:r>
      <w:r>
        <w:t>,</w:t>
      </w:r>
      <w:r w:rsidRPr="00116160">
        <w:t xml:space="preserve"> </w:t>
      </w:r>
      <w:r w:rsidRPr="00A90F8A">
        <w:t>allow</w:t>
      </w:r>
      <w:r>
        <w:t>ing</w:t>
      </w:r>
      <w:r w:rsidRPr="00A90F8A">
        <w:t xml:space="preserve"> for consistency of decision making.</w:t>
      </w:r>
      <w:r w:rsidRPr="00820B43">
        <w:rPr>
          <w:rStyle w:val="FootnoteReference"/>
          <w:rFonts w:asciiTheme="minorHAnsi" w:hAnsiTheme="minorHAnsi"/>
        </w:rPr>
        <w:footnoteReference w:id="128"/>
      </w:r>
      <w:r w:rsidRPr="00A90F8A">
        <w:t xml:space="preserve">  In its Attachment 3, SPURR provided a suggested governance model, and noted the best option would be an independent statutory authority constituted by an Act of Parliament.</w:t>
      </w:r>
    </w:p>
    <w:p w:rsidR="00AC2E38" w:rsidRPr="00A90F8A" w:rsidRDefault="00AC2E38" w:rsidP="00AC2E38">
      <w:pPr>
        <w:pStyle w:val="PPVBody"/>
        <w:rPr>
          <w:rFonts w:asciiTheme="minorHAnsi" w:hAnsiTheme="minorHAnsi"/>
        </w:rPr>
      </w:pPr>
      <w:r w:rsidRPr="00A90F8A">
        <w:rPr>
          <w:rFonts w:asciiTheme="minorHAnsi" w:hAnsiTheme="minorHAnsi"/>
        </w:rPr>
        <w:t>Ms Heggen discussed the challenge of governance</w:t>
      </w:r>
      <w:r w:rsidRPr="00116160">
        <w:rPr>
          <w:rFonts w:asciiTheme="minorHAnsi" w:hAnsiTheme="minorHAnsi"/>
        </w:rPr>
        <w:t xml:space="preserve"> </w:t>
      </w:r>
      <w:r>
        <w:rPr>
          <w:rFonts w:asciiTheme="minorHAnsi" w:hAnsiTheme="minorHAnsi"/>
        </w:rPr>
        <w:t xml:space="preserve">in giving </w:t>
      </w:r>
      <w:r w:rsidRPr="00A90F8A">
        <w:rPr>
          <w:rFonts w:asciiTheme="minorHAnsi" w:hAnsiTheme="minorHAnsi"/>
        </w:rPr>
        <w:t>evidence for Goodman (S149)</w:t>
      </w:r>
      <w:r>
        <w:rPr>
          <w:rFonts w:asciiTheme="minorHAnsi" w:hAnsiTheme="minorHAnsi"/>
        </w:rPr>
        <w:t>.  She noted</w:t>
      </w:r>
      <w:r w:rsidRPr="00A90F8A">
        <w:rPr>
          <w:rFonts w:asciiTheme="minorHAnsi" w:hAnsiTheme="minorHAnsi"/>
        </w:rPr>
        <w:t xml:space="preserve"> “</w:t>
      </w:r>
      <w:r w:rsidRPr="00A90F8A">
        <w:rPr>
          <w:rFonts w:asciiTheme="minorHAnsi" w:hAnsiTheme="minorHAnsi"/>
          <w:i/>
        </w:rPr>
        <w:t>The importance and strategic challenge of the renewal of Fishermans Bend is reflected in its status as a Project of State significance …”.</w:t>
      </w:r>
      <w:r w:rsidRPr="00A90F8A">
        <w:rPr>
          <w:rFonts w:asciiTheme="minorHAnsi" w:hAnsiTheme="minorHAnsi"/>
        </w:rPr>
        <w:t xml:space="preserve">  She endorsed the establishment </w:t>
      </w:r>
      <w:r w:rsidRPr="00A90F8A">
        <w:rPr>
          <w:rFonts w:asciiTheme="minorHAnsi" w:hAnsiTheme="minorHAnsi"/>
        </w:rPr>
        <w:lastRenderedPageBreak/>
        <w:t>of a statutory authority with specific responsibility for delivery of the renewal project, and said:</w:t>
      </w:r>
    </w:p>
    <w:p w:rsidR="00AC2E38" w:rsidRDefault="00AC2E38" w:rsidP="00AC2E38">
      <w:pPr>
        <w:pStyle w:val="PPVQuote"/>
        <w:rPr>
          <w:rFonts w:asciiTheme="minorHAnsi" w:hAnsiTheme="minorHAnsi"/>
        </w:rPr>
      </w:pPr>
      <w:r w:rsidRPr="00A90F8A">
        <w:rPr>
          <w:rFonts w:asciiTheme="minorHAnsi" w:hAnsiTheme="minorHAnsi"/>
        </w:rPr>
        <w:t>The overarching governance body would have the requisite statutory powers</w:t>
      </w:r>
      <w:r>
        <w:rPr>
          <w:rFonts w:asciiTheme="minorHAnsi" w:hAnsiTheme="minorHAnsi"/>
        </w:rPr>
        <w:t xml:space="preserve"> to prepare the Infrastructure F</w:t>
      </w:r>
      <w:r w:rsidRPr="00A90F8A">
        <w:rPr>
          <w:rFonts w:asciiTheme="minorHAnsi" w:hAnsiTheme="minorHAnsi"/>
        </w:rPr>
        <w:t xml:space="preserve">unding Plan, the coordination and management of the timely rollout of infrastructure projects and the monitoring and review of the plan implementation amongst other responsibilities.  I consider the establishment of say a “Fishermans Bend Urban Renewal Authority” to be a fundamental plank of the successful delivery of the Fishermans Bend </w:t>
      </w:r>
      <w:r>
        <w:rPr>
          <w:rFonts w:asciiTheme="minorHAnsi" w:hAnsiTheme="minorHAnsi"/>
        </w:rPr>
        <w:t>program</w:t>
      </w:r>
      <w:r w:rsidRPr="00A90F8A">
        <w:rPr>
          <w:rFonts w:asciiTheme="minorHAnsi" w:hAnsiTheme="minorHAnsi"/>
        </w:rPr>
        <w:t>.</w:t>
      </w:r>
    </w:p>
    <w:p w:rsidR="00AC2E38" w:rsidRPr="00A90F8A" w:rsidRDefault="00AC2E38" w:rsidP="00AC2E38">
      <w:pPr>
        <w:pStyle w:val="PPVBody"/>
      </w:pPr>
      <w:r>
        <w:t>Some submitters suggested Fishermans Bend be a separate municipality.</w:t>
      </w:r>
    </w:p>
    <w:p w:rsidR="00AC2E38" w:rsidRDefault="00AC2E38" w:rsidP="00AC2E38">
      <w:pPr>
        <w:pStyle w:val="Heading2"/>
      </w:pPr>
      <w:bookmarkStart w:id="477" w:name="_Toc519271026"/>
      <w:bookmarkStart w:id="478" w:name="_Toc519710309"/>
      <w:bookmarkStart w:id="479" w:name="_Toc519766869"/>
      <w:r w:rsidRPr="00A90F8A">
        <w:t>Discussion</w:t>
      </w:r>
      <w:bookmarkEnd w:id="477"/>
      <w:bookmarkEnd w:id="478"/>
      <w:bookmarkEnd w:id="479"/>
    </w:p>
    <w:p w:rsidR="00AC2E38" w:rsidRDefault="00AC2E38" w:rsidP="00AC2E38">
      <w:pPr>
        <w:pStyle w:val="PPVBody"/>
        <w:rPr>
          <w:rFonts w:asciiTheme="minorHAnsi" w:hAnsiTheme="minorHAnsi"/>
        </w:rPr>
      </w:pPr>
      <w:r>
        <w:rPr>
          <w:rFonts w:asciiTheme="minorHAnsi" w:hAnsiTheme="minorHAnsi"/>
        </w:rPr>
        <w:t>The Review Panel considers that the appropriate inclusion of both Councils in the decision making process for Fishermans Bend is critical.  The Minister recognised the positive relationship between the Councils and himself.  The Review Panel considers that both Councils have the imprimatur to rightly be involved in the decision making process and to contribute to ensuring good development in all instances.  It supports the Councils being recommending referral authorities for all applications over 25,000 square metres.</w:t>
      </w:r>
    </w:p>
    <w:p w:rsidR="007B739A" w:rsidRDefault="007B739A" w:rsidP="007B739A">
      <w:pPr>
        <w:pStyle w:val="PPVBody"/>
        <w:rPr>
          <w:rFonts w:asciiTheme="minorHAnsi" w:hAnsiTheme="minorHAnsi"/>
        </w:rPr>
      </w:pPr>
      <w:r>
        <w:rPr>
          <w:rFonts w:asciiTheme="minorHAnsi" w:hAnsiTheme="minorHAnsi"/>
        </w:rPr>
        <w:t xml:space="preserve">The Review Panel sees merit in </w:t>
      </w:r>
      <w:r>
        <w:t>the Minister being be a determining referral authority for those matters for which the Melbourne or Port Phillip is the responsible authority.  This will guard against the council being responsible for compensation if a permit if refused on the basis that land is required for a public purpose.</w:t>
      </w:r>
    </w:p>
    <w:p w:rsidR="00AC2E38" w:rsidRPr="00A90F8A" w:rsidRDefault="00AC2E38" w:rsidP="00AC2E38">
      <w:pPr>
        <w:pStyle w:val="PPVBody"/>
        <w:rPr>
          <w:rFonts w:asciiTheme="minorHAnsi" w:hAnsiTheme="minorHAnsi"/>
        </w:rPr>
      </w:pPr>
      <w:r w:rsidRPr="00A90F8A">
        <w:rPr>
          <w:rFonts w:asciiTheme="minorHAnsi" w:hAnsiTheme="minorHAnsi"/>
        </w:rPr>
        <w:t xml:space="preserve">The Review Panel can see the benefits of a Fishermans Bend Authority or similar to implement the Vision and to integrate planning for the renewal area.  Such an authority could bring all key elements together and ensure strong leadership in a single point of contact.  </w:t>
      </w:r>
      <w:r>
        <w:rPr>
          <w:rFonts w:asciiTheme="minorHAnsi" w:hAnsiTheme="minorHAnsi"/>
        </w:rPr>
        <w:t>Examples provided that could be examined include the former Docklands Authority and Barangaroo Delivery Authority in Sydney.</w:t>
      </w:r>
    </w:p>
    <w:p w:rsidR="00AC2E38" w:rsidRDefault="00125287" w:rsidP="00AC2E38">
      <w:pPr>
        <w:pStyle w:val="PPVBody"/>
        <w:rPr>
          <w:rFonts w:asciiTheme="minorHAnsi" w:hAnsiTheme="minorHAnsi"/>
        </w:rPr>
      </w:pPr>
      <w:r>
        <w:rPr>
          <w:rFonts w:asciiTheme="minorHAnsi" w:hAnsiTheme="minorHAnsi"/>
        </w:rPr>
        <w:t>G</w:t>
      </w:r>
      <w:r w:rsidR="00AC2E38" w:rsidRPr="00A90F8A">
        <w:rPr>
          <w:rFonts w:asciiTheme="minorHAnsi" w:hAnsiTheme="minorHAnsi"/>
        </w:rPr>
        <w:t xml:space="preserve">overnance and infrastructure funding </w:t>
      </w:r>
      <w:r w:rsidR="00AC2E38">
        <w:rPr>
          <w:rFonts w:asciiTheme="minorHAnsi" w:hAnsiTheme="minorHAnsi"/>
        </w:rPr>
        <w:t>are</w:t>
      </w:r>
      <w:r w:rsidR="00AC2E38" w:rsidRPr="00A90F8A">
        <w:rPr>
          <w:rFonts w:asciiTheme="minorHAnsi" w:hAnsiTheme="minorHAnsi"/>
        </w:rPr>
        <w:t xml:space="preserve"> inextricably linked and the various submissions and evidence spoke of the need for a single body to deliver the whole of the Fishermans Bend project.  The Review Panel can see the merits in this approach.  However, it is not able to make definitive recommendation in this regard</w:t>
      </w:r>
      <w:r>
        <w:rPr>
          <w:rFonts w:asciiTheme="minorHAnsi" w:hAnsiTheme="minorHAnsi"/>
        </w:rPr>
        <w:t xml:space="preserve"> since i</w:t>
      </w:r>
      <w:r w:rsidR="00AC2E38">
        <w:rPr>
          <w:rFonts w:asciiTheme="minorHAnsi" w:hAnsiTheme="minorHAnsi"/>
        </w:rPr>
        <w:t>nsufficient material was put before the Review Panel regarding</w:t>
      </w:r>
      <w:r w:rsidR="00AC2E38" w:rsidRPr="00A90F8A">
        <w:rPr>
          <w:rFonts w:asciiTheme="minorHAnsi" w:hAnsiTheme="minorHAnsi"/>
        </w:rPr>
        <w:t xml:space="preserve"> </w:t>
      </w:r>
      <w:r w:rsidR="00AC2E38">
        <w:rPr>
          <w:rFonts w:asciiTheme="minorHAnsi" w:hAnsiTheme="minorHAnsi"/>
        </w:rPr>
        <w:t xml:space="preserve">the possible </w:t>
      </w:r>
      <w:r w:rsidR="00AC2E38" w:rsidRPr="00A90F8A">
        <w:rPr>
          <w:rFonts w:asciiTheme="minorHAnsi" w:hAnsiTheme="minorHAnsi"/>
        </w:rPr>
        <w:t>structure, role or function of such a body.</w:t>
      </w:r>
    </w:p>
    <w:p w:rsidR="00AC2E38" w:rsidRPr="00A90F8A" w:rsidRDefault="00AC2E38" w:rsidP="00AC2E38">
      <w:pPr>
        <w:pStyle w:val="PPVBody"/>
        <w:rPr>
          <w:rFonts w:asciiTheme="minorHAnsi" w:hAnsiTheme="minorHAnsi"/>
        </w:rPr>
      </w:pPr>
      <w:r>
        <w:rPr>
          <w:rFonts w:asciiTheme="minorHAnsi" w:hAnsiTheme="minorHAnsi"/>
        </w:rPr>
        <w:t>The Review Panel supports any process that assures excellent design outcomes in all aspects of development, and as part of an overarching authority for Fishermans Bend, there should be a unit that supports and ensures design excellence.</w:t>
      </w:r>
    </w:p>
    <w:p w:rsidR="00AC2E38" w:rsidRDefault="00AC2E38" w:rsidP="00AC2E38">
      <w:pPr>
        <w:pStyle w:val="Heading2"/>
      </w:pPr>
      <w:bookmarkStart w:id="480" w:name="_Toc519271027"/>
      <w:bookmarkStart w:id="481" w:name="_Toc519710310"/>
      <w:bookmarkStart w:id="482" w:name="_Toc519766870"/>
      <w:r>
        <w:t>Findings</w:t>
      </w:r>
      <w:r w:rsidRPr="00A90F8A">
        <w:t xml:space="preserve"> and recommendations</w:t>
      </w:r>
      <w:bookmarkEnd w:id="480"/>
      <w:bookmarkEnd w:id="481"/>
      <w:bookmarkEnd w:id="482"/>
    </w:p>
    <w:p w:rsidR="00AC2E38" w:rsidRPr="00A90F8A" w:rsidRDefault="00AC2E38" w:rsidP="00AC2E38">
      <w:pPr>
        <w:pStyle w:val="PPVBody"/>
        <w:rPr>
          <w:rFonts w:asciiTheme="minorHAnsi" w:hAnsiTheme="minorHAnsi"/>
        </w:rPr>
      </w:pPr>
      <w:r>
        <w:rPr>
          <w:rFonts w:asciiTheme="minorHAnsi" w:hAnsiTheme="minorHAnsi"/>
        </w:rPr>
        <w:t>The Review Panel finds</w:t>
      </w:r>
      <w:r w:rsidRPr="00A90F8A">
        <w:rPr>
          <w:rFonts w:asciiTheme="minorHAnsi" w:hAnsiTheme="minorHAnsi"/>
        </w:rPr>
        <w:t>:</w:t>
      </w:r>
    </w:p>
    <w:p w:rsidR="00AC2E38" w:rsidRDefault="00AC2E38" w:rsidP="00AC2E38">
      <w:pPr>
        <w:pStyle w:val="PPVBullet1"/>
      </w:pPr>
      <w:r>
        <w:t>As the Councils have a significant stake in all aspects of the planning and delivery of Fishermans Bend, they should be listed as a recommending referral authority for matters over the 25,000 square metres threshold, as should the Minister for Planning for all matters below the threshold.</w:t>
      </w:r>
    </w:p>
    <w:p w:rsidR="00AC2E38" w:rsidRDefault="00AC2E38" w:rsidP="00AC2E38">
      <w:pPr>
        <w:pStyle w:val="PPVBullet1"/>
      </w:pPr>
      <w:r>
        <w:t>T</w:t>
      </w:r>
      <w:r w:rsidRPr="00A90F8A">
        <w:t>he long</w:t>
      </w:r>
      <w:r>
        <w:t>-</w:t>
      </w:r>
      <w:r w:rsidRPr="00A90F8A">
        <w:t>term benefits of an alternative governance arrangement for implementing the Vision of Fishermans Bend through a single agency or statutory authority should be considered going forward</w:t>
      </w:r>
      <w:r>
        <w:t>.</w:t>
      </w:r>
    </w:p>
    <w:p w:rsidR="00AC2E38" w:rsidRPr="00A90F8A" w:rsidRDefault="00AC2E38" w:rsidP="00AC2E38">
      <w:pPr>
        <w:pStyle w:val="PPVBullet1"/>
      </w:pPr>
      <w:r>
        <w:lastRenderedPageBreak/>
        <w:t xml:space="preserve">Part of this arrangement </w:t>
      </w:r>
      <w:r w:rsidR="00A448F3">
        <w:t xml:space="preserve">could </w:t>
      </w:r>
      <w:r>
        <w:t>include a separate unit to assess and provide input in relation to design excellence.</w:t>
      </w:r>
    </w:p>
    <w:p w:rsidR="00AC2E38" w:rsidRPr="002057A3" w:rsidRDefault="00AC2E38" w:rsidP="00AC2E38">
      <w:pPr>
        <w:pStyle w:val="PPVBody"/>
        <w:rPr>
          <w:b/>
        </w:rPr>
      </w:pPr>
      <w:r w:rsidRPr="002057A3">
        <w:rPr>
          <w:b/>
        </w:rPr>
        <w:t>The Review Panel recommends the following changes to other planning controls:</w:t>
      </w:r>
    </w:p>
    <w:p w:rsidR="00AC2E38" w:rsidRPr="00181298" w:rsidRDefault="00AC2E38" w:rsidP="00AC2E38">
      <w:pPr>
        <w:pStyle w:val="PPVRecommendationDrafting"/>
      </w:pPr>
      <w:r w:rsidRPr="00181298">
        <w:t xml:space="preserve">In Clause 66.04, include Melbourne </w:t>
      </w:r>
      <w:r w:rsidR="00125287">
        <w:t>or</w:t>
      </w:r>
      <w:r w:rsidRPr="00181298">
        <w:t xml:space="preserve"> Port Phillip as a recommending referral authority for all applica</w:t>
      </w:r>
      <w:r>
        <w:t>tions over 25,000 square metres</w:t>
      </w:r>
      <w:r w:rsidRPr="00181298">
        <w:t xml:space="preserve"> </w:t>
      </w:r>
      <w:r w:rsidR="007B739A">
        <w:t>(</w:t>
      </w:r>
      <w:r w:rsidRPr="00181298">
        <w:t>and the Minister for Planning as a</w:t>
      </w:r>
      <w:r w:rsidR="007B739A">
        <w:t xml:space="preserve"> determining</w:t>
      </w:r>
      <w:r w:rsidRPr="00181298">
        <w:t xml:space="preserve"> referral authority for all matters below 25,000 square metres</w:t>
      </w:r>
      <w:r>
        <w:t>)</w:t>
      </w:r>
      <w:r w:rsidR="00125287">
        <w:t xml:space="preserve"> in the relevant municipality.</w:t>
      </w:r>
    </w:p>
    <w:p w:rsidR="008E6605" w:rsidRPr="00A90F8A" w:rsidRDefault="008E6605" w:rsidP="008B68A1">
      <w:pPr>
        <w:pStyle w:val="Heading1"/>
        <w:rPr>
          <w:rFonts w:asciiTheme="minorHAnsi" w:hAnsiTheme="minorHAnsi"/>
        </w:rPr>
      </w:pPr>
      <w:bookmarkStart w:id="483" w:name="_Toc519710311"/>
      <w:bookmarkStart w:id="484" w:name="_Toc519766871"/>
      <w:bookmarkEnd w:id="471"/>
      <w:r w:rsidRPr="00A90F8A">
        <w:rPr>
          <w:rFonts w:asciiTheme="minorHAnsi" w:hAnsiTheme="minorHAnsi"/>
        </w:rPr>
        <w:lastRenderedPageBreak/>
        <w:t xml:space="preserve">Infrastructure </w:t>
      </w:r>
      <w:bookmarkEnd w:id="483"/>
      <w:r w:rsidR="00363FB4">
        <w:rPr>
          <w:rFonts w:asciiTheme="minorHAnsi" w:hAnsiTheme="minorHAnsi"/>
        </w:rPr>
        <w:t>f</w:t>
      </w:r>
      <w:r w:rsidRPr="00A90F8A">
        <w:rPr>
          <w:rFonts w:asciiTheme="minorHAnsi" w:hAnsiTheme="minorHAnsi"/>
        </w:rPr>
        <w:t>unding</w:t>
      </w:r>
      <w:bookmarkEnd w:id="484"/>
    </w:p>
    <w:p w:rsidR="00FE3348" w:rsidRDefault="00FE3348" w:rsidP="00DD6314">
      <w:pPr>
        <w:pStyle w:val="Heading2"/>
      </w:pPr>
      <w:bookmarkStart w:id="485" w:name="_Toc519710312"/>
      <w:bookmarkStart w:id="486" w:name="_Toc519766872"/>
      <w:r>
        <w:t xml:space="preserve">Context </w:t>
      </w:r>
      <w:r w:rsidR="0078675A">
        <w:t>and key issues</w:t>
      </w:r>
      <w:bookmarkEnd w:id="485"/>
      <w:bookmarkEnd w:id="486"/>
    </w:p>
    <w:p w:rsidR="00AC2E38" w:rsidRPr="00A90F8A" w:rsidRDefault="00AC2E38" w:rsidP="00AC2E38">
      <w:pPr>
        <w:pStyle w:val="PPVBody"/>
        <w:rPr>
          <w:rFonts w:asciiTheme="minorHAnsi" w:hAnsiTheme="minorHAnsi"/>
        </w:rPr>
      </w:pPr>
      <w:r>
        <w:t xml:space="preserve">Significant infrastructure is needed to service the future population of Fishermans Bend, including </w:t>
      </w:r>
      <w:r w:rsidRPr="002D1D6D">
        <w:t>key public transport infrastructure such as trains and trams</w:t>
      </w:r>
      <w:r>
        <w:t xml:space="preserve">, new roads </w:t>
      </w:r>
      <w:r w:rsidRPr="00A90F8A">
        <w:t xml:space="preserve">or upgrades to </w:t>
      </w:r>
      <w:r>
        <w:t xml:space="preserve">existing </w:t>
      </w:r>
      <w:r w:rsidRPr="00A90F8A">
        <w:t>roads</w:t>
      </w:r>
      <w:r>
        <w:t>, new l</w:t>
      </w:r>
      <w:r w:rsidRPr="00A90F8A">
        <w:t>ocal streets and laneways</w:t>
      </w:r>
      <w:r>
        <w:t>, o</w:t>
      </w:r>
      <w:r w:rsidRPr="00A90F8A">
        <w:t>pen space</w:t>
      </w:r>
      <w:r>
        <w:t xml:space="preserve"> and recreation, education and c</w:t>
      </w:r>
      <w:r w:rsidRPr="00A90F8A">
        <w:t>ommunity facilities</w:t>
      </w:r>
      <w:r>
        <w:t>.</w:t>
      </w:r>
      <w:r w:rsidR="002D647C">
        <w:t xml:space="preserve"> </w:t>
      </w:r>
      <w:r w:rsidRPr="00742B8B">
        <w:rPr>
          <w:rFonts w:asciiTheme="minorHAnsi" w:hAnsiTheme="minorHAnsi"/>
        </w:rPr>
        <w:t xml:space="preserve"> </w:t>
      </w:r>
      <w:r w:rsidRPr="00A90F8A">
        <w:rPr>
          <w:rFonts w:asciiTheme="minorHAnsi" w:hAnsiTheme="minorHAnsi"/>
        </w:rPr>
        <w:t>Other critical infrastructure such</w:t>
      </w:r>
      <w:r>
        <w:rPr>
          <w:rFonts w:asciiTheme="minorHAnsi" w:hAnsiTheme="minorHAnsi"/>
        </w:rPr>
        <w:t xml:space="preserve"> as power, water, sewerage and </w:t>
      </w:r>
      <w:r w:rsidRPr="00A90F8A">
        <w:rPr>
          <w:rFonts w:asciiTheme="minorHAnsi" w:hAnsiTheme="minorHAnsi"/>
        </w:rPr>
        <w:t>drainage is provided through well-established planning and funding regimes which are not addressed here.</w:t>
      </w:r>
    </w:p>
    <w:p w:rsidR="00AC2E38" w:rsidRPr="00A90F8A" w:rsidRDefault="00AC2E38" w:rsidP="00AC2E38">
      <w:pPr>
        <w:pStyle w:val="PPVBody"/>
        <w:rPr>
          <w:rFonts w:asciiTheme="minorHAnsi" w:hAnsiTheme="minorHAnsi"/>
        </w:rPr>
      </w:pPr>
      <w:r w:rsidRPr="00A90F8A">
        <w:rPr>
          <w:rFonts w:asciiTheme="minorHAnsi" w:hAnsiTheme="minorHAnsi"/>
        </w:rPr>
        <w:t>There are a number of well-established funding mechanisms and sources currently available which can be or are being used to provide funding for infr</w:t>
      </w:r>
      <w:r>
        <w:rPr>
          <w:rFonts w:asciiTheme="minorHAnsi" w:hAnsiTheme="minorHAnsi"/>
        </w:rPr>
        <w:t>astructure in Fishermans Bend, including</w:t>
      </w:r>
      <w:r w:rsidRPr="00A90F8A">
        <w:rPr>
          <w:rFonts w:asciiTheme="minorHAnsi" w:hAnsiTheme="minorHAnsi"/>
        </w:rPr>
        <w:t>:</w:t>
      </w:r>
    </w:p>
    <w:p w:rsidR="00AC2E38" w:rsidRPr="00A90F8A" w:rsidRDefault="00AC2E38" w:rsidP="00AC2E38">
      <w:pPr>
        <w:pStyle w:val="PPVBullet1"/>
      </w:pPr>
      <w:r w:rsidRPr="00A90F8A">
        <w:rPr>
          <w:rFonts w:asciiTheme="minorHAnsi" w:hAnsiTheme="minorHAnsi"/>
        </w:rPr>
        <w:t>budget allocati</w:t>
      </w:r>
      <w:r>
        <w:rPr>
          <w:rFonts w:asciiTheme="minorHAnsi" w:hAnsiTheme="minorHAnsi"/>
        </w:rPr>
        <w:t xml:space="preserve">ons by the State Government </w:t>
      </w:r>
      <w:r w:rsidRPr="00A90F8A">
        <w:rPr>
          <w:rFonts w:asciiTheme="minorHAnsi" w:hAnsiTheme="minorHAnsi"/>
        </w:rPr>
        <w:t>or Melbourne and Port Phillip</w:t>
      </w:r>
      <w:r>
        <w:rPr>
          <w:rFonts w:asciiTheme="minorHAnsi" w:hAnsiTheme="minorHAnsi"/>
        </w:rPr>
        <w:t xml:space="preserve"> Councils</w:t>
      </w:r>
    </w:p>
    <w:p w:rsidR="00785416" w:rsidRDefault="00AC2E38" w:rsidP="00AC2E38">
      <w:pPr>
        <w:pStyle w:val="PPVBullet1"/>
      </w:pPr>
      <w:r w:rsidRPr="00A90F8A">
        <w:t xml:space="preserve">interim development contributions from developers which are currently being secured through </w:t>
      </w:r>
      <w:r>
        <w:t xml:space="preserve">section 173 </w:t>
      </w:r>
      <w:r w:rsidRPr="00A90F8A">
        <w:t>agreements</w:t>
      </w:r>
    </w:p>
    <w:p w:rsidR="00AC2E38" w:rsidRPr="00A90F8A" w:rsidRDefault="00AC2E38" w:rsidP="00AC2E38">
      <w:pPr>
        <w:pStyle w:val="PPVBullet1"/>
      </w:pPr>
      <w:r w:rsidRPr="00A90F8A">
        <w:t>contributions to ope</w:t>
      </w:r>
      <w:r>
        <w:t>n space secured under C</w:t>
      </w:r>
      <w:r w:rsidRPr="00A90F8A">
        <w:t xml:space="preserve">lause 52.01 of the </w:t>
      </w:r>
      <w:r>
        <w:t>p</w:t>
      </w:r>
      <w:r w:rsidRPr="00A90F8A">
        <w:t xml:space="preserve">lanning </w:t>
      </w:r>
      <w:r>
        <w:t>s</w:t>
      </w:r>
      <w:r w:rsidRPr="00A90F8A">
        <w:t>chemes</w:t>
      </w:r>
    </w:p>
    <w:p w:rsidR="00AC2E38" w:rsidRDefault="00AC2E38" w:rsidP="00AC2E38">
      <w:pPr>
        <w:pStyle w:val="PPVBullet1"/>
      </w:pPr>
      <w:r w:rsidRPr="00A90F8A">
        <w:t>works undertaken by developers as a condition on permit.</w:t>
      </w:r>
    </w:p>
    <w:p w:rsidR="00AC2E38" w:rsidRPr="00A90F8A" w:rsidRDefault="00AC2E38" w:rsidP="00AC2E38">
      <w:pPr>
        <w:pStyle w:val="PPVBody"/>
      </w:pPr>
      <w:r>
        <w:t>Interim development contributions are being collected at the rate of $15,900 per dwelling and equivalent for non-residential uses.  Total contributions forecast to be collected by June 2019 total $7 million.</w:t>
      </w:r>
      <w:r w:rsidRPr="00820B43">
        <w:rPr>
          <w:rStyle w:val="FootnoteReference"/>
        </w:rPr>
        <w:footnoteReference w:id="129"/>
      </w:r>
    </w:p>
    <w:p w:rsidR="00AC2E38" w:rsidRPr="00A90F8A" w:rsidRDefault="00AC2E38" w:rsidP="00AC2E38">
      <w:pPr>
        <w:pStyle w:val="PPVBody"/>
        <w:rPr>
          <w:rFonts w:asciiTheme="minorHAnsi" w:hAnsiTheme="minorHAnsi"/>
        </w:rPr>
      </w:pPr>
      <w:r>
        <w:rPr>
          <w:rFonts w:asciiTheme="minorHAnsi" w:hAnsiTheme="minorHAnsi"/>
        </w:rPr>
        <w:t>The key issues to be addressed are:</w:t>
      </w:r>
    </w:p>
    <w:p w:rsidR="00AC2E38" w:rsidRDefault="00AC2E38" w:rsidP="00AC2E38">
      <w:pPr>
        <w:pStyle w:val="PPVBullet1"/>
      </w:pPr>
      <w:r>
        <w:t>infrastructure provision</w:t>
      </w:r>
    </w:p>
    <w:p w:rsidR="00AC2E38" w:rsidRDefault="00AC2E38" w:rsidP="00AC2E38">
      <w:pPr>
        <w:pStyle w:val="PPVBullet1"/>
      </w:pPr>
      <w:r>
        <w:t>infrastructure funding</w:t>
      </w:r>
    </w:p>
    <w:p w:rsidR="00AC2E38" w:rsidRDefault="00AC2E38" w:rsidP="00AC2E38">
      <w:pPr>
        <w:pStyle w:val="PPVBullet1"/>
      </w:pPr>
      <w:r>
        <w:t xml:space="preserve">the use of </w:t>
      </w:r>
      <w:r w:rsidR="002D647C">
        <w:t>FAU</w:t>
      </w:r>
      <w:r>
        <w:t xml:space="preserve"> to deliver infrastructure</w:t>
      </w:r>
    </w:p>
    <w:p w:rsidR="00AC2E38" w:rsidRPr="00A90F8A" w:rsidRDefault="00AC2E38" w:rsidP="00AC2E38">
      <w:pPr>
        <w:pStyle w:val="PPVBullet1"/>
      </w:pPr>
      <w:r>
        <w:t>the use of an ICP to deliver infrastructure.</w:t>
      </w:r>
    </w:p>
    <w:p w:rsidR="00AC2E38" w:rsidRPr="00A90F8A" w:rsidRDefault="00AC2E38" w:rsidP="00AC2E38">
      <w:pPr>
        <w:pStyle w:val="Heading2"/>
      </w:pPr>
      <w:bookmarkStart w:id="487" w:name="_Toc519271030"/>
      <w:bookmarkStart w:id="488" w:name="_Toc519710313"/>
      <w:bookmarkStart w:id="489" w:name="_Toc519766873"/>
      <w:r w:rsidRPr="00903CCF">
        <w:t>Infrastructure</w:t>
      </w:r>
      <w:r w:rsidRPr="00A90F8A">
        <w:t xml:space="preserve"> provision</w:t>
      </w:r>
      <w:bookmarkEnd w:id="487"/>
      <w:bookmarkEnd w:id="488"/>
      <w:bookmarkEnd w:id="489"/>
    </w:p>
    <w:p w:rsidR="00AC2E38" w:rsidRDefault="00AC2E38" w:rsidP="00AC2E38">
      <w:pPr>
        <w:pStyle w:val="Heading4"/>
        <w:rPr>
          <w:rFonts w:asciiTheme="minorHAnsi" w:hAnsiTheme="minorHAnsi"/>
        </w:rPr>
      </w:pPr>
      <w:r w:rsidRPr="00A90F8A">
        <w:rPr>
          <w:rFonts w:asciiTheme="minorHAnsi" w:hAnsiTheme="minorHAnsi"/>
        </w:rPr>
        <w:t>Context</w:t>
      </w:r>
    </w:p>
    <w:p w:rsidR="00AC2E38" w:rsidRPr="00A90F8A" w:rsidRDefault="00AC2E38" w:rsidP="00AC2E38">
      <w:pPr>
        <w:pStyle w:val="PPVBody"/>
        <w:rPr>
          <w:rFonts w:asciiTheme="minorHAnsi" w:hAnsiTheme="minorHAnsi"/>
        </w:rPr>
      </w:pPr>
      <w:r w:rsidRPr="00A90F8A">
        <w:rPr>
          <w:rFonts w:asciiTheme="minorHAnsi" w:hAnsiTheme="minorHAnsi"/>
        </w:rPr>
        <w:t>Clause 19 of the Planning Scheme states in part:</w:t>
      </w:r>
    </w:p>
    <w:p w:rsidR="00AC2E38" w:rsidRPr="00A90F8A" w:rsidRDefault="00AC2E38" w:rsidP="00AC2E38">
      <w:pPr>
        <w:pStyle w:val="PPVQuote"/>
        <w:rPr>
          <w:rFonts w:asciiTheme="minorHAnsi" w:hAnsiTheme="minorHAnsi"/>
        </w:rPr>
      </w:pPr>
      <w:r w:rsidRPr="00A90F8A">
        <w:rPr>
          <w:rFonts w:asciiTheme="minorHAnsi" w:hAnsiTheme="minorHAnsi"/>
        </w:rPr>
        <w:t>Planning for development of social and physical infrastructure should enable it to be provided in a way that is efficient, equitable, accessible and timely.</w:t>
      </w:r>
    </w:p>
    <w:p w:rsidR="00AC2E38" w:rsidRPr="00A90F8A" w:rsidRDefault="00AC2E38" w:rsidP="00AC2E38">
      <w:pPr>
        <w:pStyle w:val="PPVQuote"/>
        <w:rPr>
          <w:rFonts w:asciiTheme="minorHAnsi" w:hAnsiTheme="minorHAnsi"/>
        </w:rPr>
      </w:pPr>
      <w:r w:rsidRPr="00A90F8A">
        <w:rPr>
          <w:rFonts w:asciiTheme="minorHAnsi" w:hAnsiTheme="minorHAnsi"/>
        </w:rPr>
        <w:t>Growth and redevelopment of settlements should be planned in a manner that allows for the logical and efficient provision and maintenance of infrastructure, including the setting aside of land for the construction of future transport routes</w:t>
      </w:r>
      <w:r>
        <w:rPr>
          <w:rFonts w:asciiTheme="minorHAnsi" w:hAnsiTheme="minorHAnsi"/>
        </w:rPr>
        <w:t>.</w:t>
      </w:r>
    </w:p>
    <w:p w:rsidR="00AC2E38" w:rsidRDefault="00AC2E38" w:rsidP="00AC2E38">
      <w:pPr>
        <w:pStyle w:val="Heading4"/>
        <w:rPr>
          <w:rFonts w:asciiTheme="minorHAnsi" w:hAnsiTheme="minorHAnsi"/>
        </w:rPr>
      </w:pPr>
      <w:r w:rsidRPr="00A90F8A">
        <w:rPr>
          <w:rFonts w:asciiTheme="minorHAnsi" w:hAnsiTheme="minorHAnsi"/>
        </w:rPr>
        <w:t>Submissions and evidence</w:t>
      </w:r>
    </w:p>
    <w:p w:rsidR="00AC2E38" w:rsidRPr="002D1D6D" w:rsidRDefault="00AC2E38" w:rsidP="00AC2E38">
      <w:pPr>
        <w:pStyle w:val="PPVBody"/>
        <w:rPr>
          <w:rFonts w:asciiTheme="minorHAnsi" w:hAnsiTheme="minorHAnsi"/>
        </w:rPr>
      </w:pPr>
      <w:r w:rsidRPr="00A90F8A">
        <w:rPr>
          <w:rFonts w:asciiTheme="minorHAnsi" w:hAnsiTheme="minorHAnsi"/>
        </w:rPr>
        <w:t>The Minister’s Part A submission quotes the Vision as stating</w:t>
      </w:r>
      <w:r>
        <w:rPr>
          <w:rFonts w:asciiTheme="minorHAnsi" w:hAnsiTheme="minorHAnsi"/>
        </w:rPr>
        <w:t xml:space="preserve"> that an integrated infrastructure plan is to be developed.</w:t>
      </w:r>
      <w:r w:rsidRPr="00820B43">
        <w:rPr>
          <w:rStyle w:val="FootnoteReference"/>
          <w:rFonts w:asciiTheme="minorHAnsi" w:hAnsiTheme="minorHAnsi"/>
        </w:rPr>
        <w:footnoteReference w:id="130"/>
      </w:r>
      <w:r>
        <w:rPr>
          <w:rFonts w:asciiTheme="minorHAnsi" w:hAnsiTheme="minorHAnsi"/>
        </w:rPr>
        <w:t xml:space="preserve">  </w:t>
      </w:r>
      <w:r w:rsidRPr="00A90F8A">
        <w:rPr>
          <w:rFonts w:asciiTheme="minorHAnsi" w:hAnsiTheme="minorHAnsi"/>
        </w:rPr>
        <w:t>There is no reference to its timing</w:t>
      </w:r>
      <w:r>
        <w:rPr>
          <w:rFonts w:asciiTheme="minorHAnsi" w:hAnsiTheme="minorHAnsi"/>
        </w:rPr>
        <w:t xml:space="preserve">.  </w:t>
      </w:r>
      <w:r w:rsidRPr="00A90F8A">
        <w:rPr>
          <w:rFonts w:asciiTheme="minorHAnsi" w:hAnsiTheme="minorHAnsi"/>
        </w:rPr>
        <w:t xml:space="preserve">In his Part B </w:t>
      </w:r>
      <w:r w:rsidRPr="00A90F8A">
        <w:rPr>
          <w:rFonts w:asciiTheme="minorHAnsi" w:hAnsiTheme="minorHAnsi"/>
        </w:rPr>
        <w:lastRenderedPageBreak/>
        <w:t xml:space="preserve">submission, </w:t>
      </w:r>
      <w:r w:rsidR="002D647C">
        <w:rPr>
          <w:rFonts w:asciiTheme="minorHAnsi" w:hAnsiTheme="minorHAnsi"/>
        </w:rPr>
        <w:t xml:space="preserve">the Minister </w:t>
      </w:r>
      <w:r w:rsidRPr="00A90F8A">
        <w:rPr>
          <w:rFonts w:asciiTheme="minorHAnsi" w:hAnsiTheme="minorHAnsi"/>
        </w:rPr>
        <w:t>acknowledged</w:t>
      </w:r>
      <w:r>
        <w:rPr>
          <w:rFonts w:asciiTheme="minorHAnsi" w:hAnsiTheme="minorHAnsi"/>
        </w:rPr>
        <w:t xml:space="preserve"> “</w:t>
      </w:r>
      <w:r w:rsidRPr="00493043">
        <w:rPr>
          <w:rFonts w:asciiTheme="minorHAnsi" w:hAnsiTheme="minorHAnsi"/>
          <w:i/>
        </w:rPr>
        <w:t>evidence and submissions to the effect that early delivery of transport infrastructure will be a key driver of development in Fishermans Bend”.</w:t>
      </w:r>
      <w:r w:rsidRPr="00820B43">
        <w:rPr>
          <w:rStyle w:val="FootnoteReference"/>
          <w:rFonts w:asciiTheme="minorHAnsi" w:hAnsiTheme="minorHAnsi"/>
        </w:rPr>
        <w:footnoteReference w:id="131"/>
      </w:r>
      <w:r>
        <w:rPr>
          <w:rFonts w:asciiTheme="minorHAnsi" w:hAnsiTheme="minorHAnsi"/>
        </w:rPr>
        <w:t xml:space="preserve">  He</w:t>
      </w:r>
      <w:r w:rsidRPr="00A90F8A">
        <w:rPr>
          <w:rFonts w:asciiTheme="minorHAnsi" w:hAnsiTheme="minorHAnsi"/>
        </w:rPr>
        <w:t xml:space="preserve"> </w:t>
      </w:r>
      <w:r>
        <w:rPr>
          <w:rFonts w:asciiTheme="minorHAnsi" w:hAnsiTheme="minorHAnsi"/>
        </w:rPr>
        <w:t>noted</w:t>
      </w:r>
      <w:r w:rsidRPr="00A90F8A">
        <w:rPr>
          <w:rFonts w:asciiTheme="minorHAnsi" w:hAnsiTheme="minorHAnsi"/>
        </w:rPr>
        <w:t xml:space="preserve"> that key projects for infrastructure delivery, including major parks, community infrastructure and public transport (tram and potential rail) are identified in the draft Framework.</w:t>
      </w:r>
      <w:r>
        <w:rPr>
          <w:rFonts w:asciiTheme="minorHAnsi" w:hAnsiTheme="minorHAnsi"/>
        </w:rPr>
        <w:t xml:space="preserve">  He submitted that the State Government supports the recommendations in </w:t>
      </w:r>
      <w:r w:rsidRPr="002D1D6D">
        <w:rPr>
          <w:rFonts w:asciiTheme="minorHAnsi" w:hAnsiTheme="minorHAnsi"/>
          <w:i/>
        </w:rPr>
        <w:t>Infrastructure Victoria’s 30 Year Strategy</w:t>
      </w:r>
      <w:r>
        <w:rPr>
          <w:rFonts w:asciiTheme="minorHAnsi" w:hAnsiTheme="minorHAnsi"/>
        </w:rPr>
        <w:t xml:space="preserve"> for tram and rail services in Fishermans Bend but noted that the delivery timeframes are beyond the budget window.</w:t>
      </w:r>
      <w:r w:rsidRPr="002D1D6D">
        <w:rPr>
          <w:rStyle w:val="FootnoteReference"/>
          <w:rFonts w:asciiTheme="minorHAnsi" w:hAnsiTheme="minorHAnsi"/>
        </w:rPr>
        <w:footnoteReference w:id="132"/>
      </w:r>
    </w:p>
    <w:p w:rsidR="00AC2E38" w:rsidRPr="00A90F8A" w:rsidRDefault="00AC2E38" w:rsidP="00AC2E38">
      <w:pPr>
        <w:pStyle w:val="PPVBody"/>
        <w:rPr>
          <w:rFonts w:asciiTheme="minorHAnsi" w:hAnsiTheme="minorHAnsi"/>
        </w:rPr>
      </w:pPr>
      <w:r w:rsidRPr="00A90F8A">
        <w:rPr>
          <w:rFonts w:asciiTheme="minorHAnsi" w:hAnsiTheme="minorHAnsi"/>
        </w:rPr>
        <w:t xml:space="preserve">The MAC </w:t>
      </w:r>
      <w:r>
        <w:rPr>
          <w:rFonts w:asciiTheme="minorHAnsi" w:hAnsiTheme="minorHAnsi"/>
        </w:rPr>
        <w:t>R</w:t>
      </w:r>
      <w:r w:rsidRPr="00A90F8A">
        <w:rPr>
          <w:rFonts w:asciiTheme="minorHAnsi" w:hAnsiTheme="minorHAnsi"/>
        </w:rPr>
        <w:t xml:space="preserve">eport </w:t>
      </w:r>
      <w:r>
        <w:rPr>
          <w:rFonts w:asciiTheme="minorHAnsi" w:hAnsiTheme="minorHAnsi"/>
        </w:rPr>
        <w:t xml:space="preserve">No. 1 </w:t>
      </w:r>
      <w:r w:rsidRPr="00A90F8A">
        <w:rPr>
          <w:rFonts w:asciiTheme="minorHAnsi" w:hAnsiTheme="minorHAnsi"/>
        </w:rPr>
        <w:t>released in October 2015 recommended:</w:t>
      </w:r>
    </w:p>
    <w:p w:rsidR="00AC2E38" w:rsidRPr="00A90F8A" w:rsidRDefault="00AC2E38" w:rsidP="00AC2E38">
      <w:pPr>
        <w:pStyle w:val="PPVQuote"/>
        <w:rPr>
          <w:rFonts w:asciiTheme="minorHAnsi" w:hAnsiTheme="minorHAnsi"/>
        </w:rPr>
      </w:pPr>
      <w:r w:rsidRPr="00A90F8A">
        <w:rPr>
          <w:rFonts w:asciiTheme="minorHAnsi" w:hAnsiTheme="minorHAnsi"/>
        </w:rPr>
        <w:t>Infrastructure Plan – A two phase approach to preparing an infrastructure plan should be adopted:</w:t>
      </w:r>
    </w:p>
    <w:p w:rsidR="00AC2E38" w:rsidRPr="00A90F8A" w:rsidRDefault="00AC2E38" w:rsidP="00AC2E38">
      <w:pPr>
        <w:pStyle w:val="PPVQuoteBullet1"/>
        <w:tabs>
          <w:tab w:val="num" w:pos="644"/>
        </w:tabs>
        <w:rPr>
          <w:rFonts w:asciiTheme="minorHAnsi" w:hAnsiTheme="minorHAnsi"/>
        </w:rPr>
      </w:pPr>
      <w:r>
        <w:rPr>
          <w:rFonts w:asciiTheme="minorHAnsi" w:hAnsiTheme="minorHAnsi"/>
        </w:rPr>
        <w:t>a</w:t>
      </w:r>
      <w:r w:rsidRPr="00A90F8A">
        <w:rPr>
          <w:rFonts w:asciiTheme="minorHAnsi" w:hAnsiTheme="minorHAnsi"/>
        </w:rPr>
        <w:t xml:space="preserve"> high level Infrastructure Plan prepared to accompany the recast Strategic Framework Plan, with indicative costings on key transport infrastructure</w:t>
      </w:r>
    </w:p>
    <w:p w:rsidR="00AC2E38" w:rsidRPr="00A90F8A" w:rsidRDefault="00AC2E38" w:rsidP="00AC2E38">
      <w:pPr>
        <w:pStyle w:val="PPVQuoteBullet1"/>
        <w:tabs>
          <w:tab w:val="num" w:pos="644"/>
        </w:tabs>
        <w:rPr>
          <w:rFonts w:asciiTheme="minorHAnsi" w:hAnsiTheme="minorHAnsi"/>
        </w:rPr>
      </w:pPr>
      <w:r>
        <w:rPr>
          <w:rFonts w:asciiTheme="minorHAnsi" w:hAnsiTheme="minorHAnsi"/>
        </w:rPr>
        <w:t>d</w:t>
      </w:r>
      <w:r w:rsidRPr="00A90F8A">
        <w:rPr>
          <w:rFonts w:asciiTheme="minorHAnsi" w:hAnsiTheme="minorHAnsi"/>
        </w:rPr>
        <w:t xml:space="preserve">etailed Infrastructure Plan/s with detailed costing and funding strategies identified for all infrastructure (community and physical), developed in conjunction with the detailed </w:t>
      </w:r>
      <w:r w:rsidR="00FC563B">
        <w:rPr>
          <w:rFonts w:asciiTheme="minorHAnsi" w:hAnsiTheme="minorHAnsi"/>
        </w:rPr>
        <w:t>Precinct Plans</w:t>
      </w:r>
      <w:r>
        <w:rPr>
          <w:rFonts w:asciiTheme="minorHAnsi" w:hAnsiTheme="minorHAnsi"/>
        </w:rPr>
        <w:t>.</w:t>
      </w:r>
      <w:r w:rsidRPr="00820B43">
        <w:rPr>
          <w:rStyle w:val="FootnoteReference"/>
          <w:rFonts w:asciiTheme="minorHAnsi" w:hAnsiTheme="minorHAnsi"/>
          <w:i w:val="0"/>
        </w:rPr>
        <w:footnoteReference w:id="133"/>
      </w:r>
    </w:p>
    <w:p w:rsidR="00AC2E38" w:rsidRPr="00A90F8A" w:rsidRDefault="00AC2E38" w:rsidP="00AC2E38">
      <w:pPr>
        <w:pStyle w:val="PPVBody"/>
        <w:rPr>
          <w:rFonts w:asciiTheme="minorHAnsi" w:hAnsiTheme="minorHAnsi"/>
        </w:rPr>
      </w:pPr>
      <w:r w:rsidRPr="00A90F8A">
        <w:rPr>
          <w:rFonts w:asciiTheme="minorHAnsi" w:hAnsiTheme="minorHAnsi"/>
        </w:rPr>
        <w:t>Melbourne relied on the evidence of including Mr Milner who stated:</w:t>
      </w:r>
    </w:p>
    <w:p w:rsidR="00AC2E38" w:rsidRPr="00A90F8A" w:rsidRDefault="00AC2E38" w:rsidP="00AC2E38">
      <w:pPr>
        <w:pStyle w:val="PPVQuote"/>
        <w:rPr>
          <w:rFonts w:asciiTheme="minorHAnsi" w:hAnsiTheme="minorHAnsi"/>
        </w:rPr>
      </w:pPr>
      <w:r w:rsidRPr="00A90F8A">
        <w:rPr>
          <w:rFonts w:asciiTheme="minorHAnsi" w:hAnsiTheme="minorHAnsi"/>
        </w:rPr>
        <w:t>A principal concern with Amendment GC81 is that it could be about to repeat some of the same mistakes of the immediate past, by progressing principally built form planning provisions (with some potential to capture some public benefits), ahead of being sure how the whole package of necessary public and private works can be delivered in an integrated, effective and timely manner.</w:t>
      </w:r>
      <w:r w:rsidRPr="00820B43">
        <w:rPr>
          <w:rStyle w:val="FootnoteReference"/>
          <w:rFonts w:asciiTheme="minorHAnsi" w:hAnsiTheme="minorHAnsi"/>
          <w:i w:val="0"/>
        </w:rPr>
        <w:footnoteReference w:id="134"/>
      </w:r>
    </w:p>
    <w:p w:rsidR="00AC2E38" w:rsidRPr="00A90F8A" w:rsidRDefault="00AC2E38" w:rsidP="00AC2E38">
      <w:pPr>
        <w:pStyle w:val="PPVBody"/>
        <w:rPr>
          <w:rFonts w:asciiTheme="minorHAnsi" w:hAnsiTheme="minorHAnsi"/>
        </w:rPr>
      </w:pPr>
      <w:r w:rsidRPr="00A90F8A">
        <w:rPr>
          <w:rFonts w:asciiTheme="minorHAnsi" w:hAnsiTheme="minorHAnsi"/>
        </w:rPr>
        <w:t xml:space="preserve">Port Phillip submitted that the </w:t>
      </w:r>
      <w:r>
        <w:rPr>
          <w:rFonts w:asciiTheme="minorHAnsi" w:hAnsiTheme="minorHAnsi"/>
        </w:rPr>
        <w:t>draft Framework</w:t>
      </w:r>
      <w:r w:rsidRPr="00A90F8A">
        <w:rPr>
          <w:rFonts w:asciiTheme="minorHAnsi" w:hAnsiTheme="minorHAnsi"/>
        </w:rPr>
        <w:t xml:space="preserve"> should include an infrastructure plan.</w:t>
      </w:r>
    </w:p>
    <w:p w:rsidR="00AC2E38" w:rsidRDefault="00AC2E38" w:rsidP="00AC2E38">
      <w:pPr>
        <w:pStyle w:val="PPVBody"/>
        <w:rPr>
          <w:rFonts w:asciiTheme="minorHAnsi" w:hAnsiTheme="minorHAnsi"/>
        </w:rPr>
      </w:pPr>
      <w:r w:rsidRPr="00A90F8A">
        <w:rPr>
          <w:rFonts w:asciiTheme="minorHAnsi" w:hAnsiTheme="minorHAnsi"/>
        </w:rPr>
        <w:t xml:space="preserve">A number of </w:t>
      </w:r>
      <w:r>
        <w:rPr>
          <w:rFonts w:asciiTheme="minorHAnsi" w:hAnsiTheme="minorHAnsi"/>
        </w:rPr>
        <w:t xml:space="preserve">other </w:t>
      </w:r>
      <w:r w:rsidRPr="00A90F8A">
        <w:rPr>
          <w:rFonts w:asciiTheme="minorHAnsi" w:hAnsiTheme="minorHAnsi"/>
        </w:rPr>
        <w:t xml:space="preserve">submitters and experts raised </w:t>
      </w:r>
      <w:r>
        <w:rPr>
          <w:rFonts w:asciiTheme="minorHAnsi" w:hAnsiTheme="minorHAnsi"/>
        </w:rPr>
        <w:t xml:space="preserve">concerns over </w:t>
      </w:r>
      <w:r w:rsidRPr="00A90F8A">
        <w:rPr>
          <w:rFonts w:asciiTheme="minorHAnsi" w:hAnsiTheme="minorHAnsi"/>
        </w:rPr>
        <w:t xml:space="preserve">the lack of an </w:t>
      </w:r>
      <w:r>
        <w:rPr>
          <w:rFonts w:asciiTheme="minorHAnsi" w:hAnsiTheme="minorHAnsi"/>
        </w:rPr>
        <w:t>i</w:t>
      </w:r>
      <w:r w:rsidRPr="00A90F8A">
        <w:rPr>
          <w:rFonts w:asciiTheme="minorHAnsi" w:hAnsiTheme="minorHAnsi"/>
        </w:rPr>
        <w:t xml:space="preserve">nfrastructure </w:t>
      </w:r>
      <w:r>
        <w:rPr>
          <w:rFonts w:asciiTheme="minorHAnsi" w:hAnsiTheme="minorHAnsi"/>
        </w:rPr>
        <w:t>p</w:t>
      </w:r>
      <w:r w:rsidRPr="00A90F8A">
        <w:rPr>
          <w:rFonts w:asciiTheme="minorHAnsi" w:hAnsiTheme="minorHAnsi"/>
        </w:rPr>
        <w:t xml:space="preserve">lan accompanying the </w:t>
      </w:r>
      <w:r>
        <w:rPr>
          <w:rFonts w:asciiTheme="minorHAnsi" w:hAnsiTheme="minorHAnsi"/>
        </w:rPr>
        <w:t xml:space="preserve">draft </w:t>
      </w:r>
      <w:r w:rsidRPr="00A90F8A">
        <w:rPr>
          <w:rFonts w:asciiTheme="minorHAnsi" w:hAnsiTheme="minorHAnsi"/>
        </w:rPr>
        <w:t>Framework</w:t>
      </w:r>
      <w:r>
        <w:rPr>
          <w:rFonts w:asciiTheme="minorHAnsi" w:hAnsiTheme="minorHAnsi"/>
        </w:rPr>
        <w:t>, and the</w:t>
      </w:r>
      <w:r w:rsidRPr="00A90F8A">
        <w:rPr>
          <w:rFonts w:asciiTheme="minorHAnsi" w:hAnsiTheme="minorHAnsi"/>
        </w:rPr>
        <w:t xml:space="preserve"> lack of a plan for funding that infrastructure</w:t>
      </w:r>
      <w:r>
        <w:rPr>
          <w:rFonts w:asciiTheme="minorHAnsi" w:hAnsiTheme="minorHAnsi"/>
        </w:rPr>
        <w:t xml:space="preserve">.  </w:t>
      </w:r>
      <w:r w:rsidR="00064C55">
        <w:rPr>
          <w:rFonts w:asciiTheme="minorHAnsi" w:hAnsiTheme="minorHAnsi"/>
        </w:rPr>
        <w:t>Mr Tweedie and the UDIA (S215), amongst</w:t>
      </w:r>
      <w:r w:rsidRPr="00A90F8A">
        <w:rPr>
          <w:rFonts w:asciiTheme="minorHAnsi" w:hAnsiTheme="minorHAnsi"/>
        </w:rPr>
        <w:t xml:space="preserve"> other</w:t>
      </w:r>
      <w:r>
        <w:rPr>
          <w:rFonts w:asciiTheme="minorHAnsi" w:hAnsiTheme="minorHAnsi"/>
        </w:rPr>
        <w:t>s,</w:t>
      </w:r>
      <w:r w:rsidRPr="00A90F8A">
        <w:rPr>
          <w:rFonts w:asciiTheme="minorHAnsi" w:hAnsiTheme="minorHAnsi"/>
        </w:rPr>
        <w:t xml:space="preserve"> w</w:t>
      </w:r>
      <w:r w:rsidR="00064C55">
        <w:rPr>
          <w:rFonts w:asciiTheme="minorHAnsi" w:hAnsiTheme="minorHAnsi"/>
        </w:rPr>
        <w:t>ere</w:t>
      </w:r>
      <w:r w:rsidRPr="00A90F8A">
        <w:rPr>
          <w:rFonts w:asciiTheme="minorHAnsi" w:hAnsiTheme="minorHAnsi"/>
        </w:rPr>
        <w:t xml:space="preserve"> critical of ther</w:t>
      </w:r>
      <w:r>
        <w:rPr>
          <w:rFonts w:asciiTheme="minorHAnsi" w:hAnsiTheme="minorHAnsi"/>
        </w:rPr>
        <w:t xml:space="preserve">e being no firm commitments by </w:t>
      </w:r>
      <w:r w:rsidR="0079402A">
        <w:rPr>
          <w:rFonts w:asciiTheme="minorHAnsi" w:hAnsiTheme="minorHAnsi"/>
        </w:rPr>
        <w:t>g</w:t>
      </w:r>
      <w:r w:rsidRPr="00A90F8A">
        <w:rPr>
          <w:rFonts w:asciiTheme="minorHAnsi" w:hAnsiTheme="minorHAnsi"/>
        </w:rPr>
        <w:t xml:space="preserve">overnment to </w:t>
      </w:r>
      <w:r>
        <w:rPr>
          <w:rFonts w:asciiTheme="minorHAnsi" w:hAnsiTheme="minorHAnsi"/>
        </w:rPr>
        <w:t>deliver</w:t>
      </w:r>
      <w:r w:rsidRPr="00A90F8A">
        <w:rPr>
          <w:rFonts w:asciiTheme="minorHAnsi" w:hAnsiTheme="minorHAnsi"/>
        </w:rPr>
        <w:t xml:space="preserve"> essential infrastructure.</w:t>
      </w:r>
    </w:p>
    <w:p w:rsidR="00AC2E38" w:rsidRDefault="00AC2E38" w:rsidP="00AC2E38">
      <w:pPr>
        <w:pStyle w:val="PPVBody"/>
        <w:rPr>
          <w:rFonts w:asciiTheme="minorHAnsi" w:hAnsiTheme="minorHAnsi"/>
        </w:rPr>
      </w:pPr>
      <w:r>
        <w:rPr>
          <w:rFonts w:asciiTheme="minorHAnsi" w:hAnsiTheme="minorHAnsi"/>
        </w:rPr>
        <w:t xml:space="preserve">Other submissions spoke of the provision of infrastructure in a broader sense.  </w:t>
      </w:r>
      <w:r w:rsidRPr="00C47149">
        <w:rPr>
          <w:rFonts w:asciiTheme="minorHAnsi" w:hAnsiTheme="minorHAnsi"/>
        </w:rPr>
        <w:t>The Father Bob Maguire Foundation submitted</w:t>
      </w:r>
      <w:r>
        <w:rPr>
          <w:rFonts w:asciiTheme="minorHAnsi" w:hAnsiTheme="minorHAnsi"/>
        </w:rPr>
        <w:t xml:space="preserve"> that </w:t>
      </w:r>
      <w:r w:rsidR="00125287">
        <w:rPr>
          <w:rFonts w:asciiTheme="minorHAnsi" w:hAnsiTheme="minorHAnsi"/>
        </w:rPr>
        <w:t xml:space="preserve">it </w:t>
      </w:r>
      <w:r>
        <w:rPr>
          <w:rFonts w:asciiTheme="minorHAnsi" w:hAnsiTheme="minorHAnsi"/>
        </w:rPr>
        <w:t>wished to develop a ‘futures centre’</w:t>
      </w:r>
      <w:r w:rsidRPr="00C47149">
        <w:rPr>
          <w:rFonts w:asciiTheme="minorHAnsi" w:hAnsiTheme="minorHAnsi"/>
        </w:rPr>
        <w:t xml:space="preserve"> which integrates a range of housing and community services “</w:t>
      </w:r>
      <w:r w:rsidRPr="00C47149">
        <w:rPr>
          <w:rStyle w:val="PPVQuoteChar"/>
        </w:rPr>
        <w:t>with particular emphasis on helping socially excluded individual and families experiencing socio</w:t>
      </w:r>
      <w:r>
        <w:rPr>
          <w:rStyle w:val="PPVQuoteChar"/>
        </w:rPr>
        <w:t>economic</w:t>
      </w:r>
      <w:r w:rsidRPr="00C47149">
        <w:rPr>
          <w:rStyle w:val="PPVQuoteChar"/>
        </w:rPr>
        <w:t xml:space="preserve"> disadvantage and financial vulnerability</w:t>
      </w:r>
      <w:r w:rsidRPr="00C47149">
        <w:rPr>
          <w:rFonts w:asciiTheme="minorHAnsi" w:hAnsiTheme="minorHAnsi"/>
        </w:rPr>
        <w:t>”</w:t>
      </w:r>
      <w:r>
        <w:rPr>
          <w:rFonts w:asciiTheme="minorHAnsi" w:hAnsiTheme="minorHAnsi"/>
        </w:rPr>
        <w:t>.</w:t>
      </w:r>
      <w:r w:rsidRPr="00820B43">
        <w:rPr>
          <w:rStyle w:val="FootnoteReference"/>
          <w:rFonts w:asciiTheme="minorHAnsi" w:hAnsiTheme="minorHAnsi"/>
        </w:rPr>
        <w:footnoteReference w:id="135"/>
      </w:r>
    </w:p>
    <w:p w:rsidR="00AC2E38" w:rsidRPr="00A90F8A" w:rsidRDefault="00AC2E38" w:rsidP="00AC2E38">
      <w:pPr>
        <w:pStyle w:val="PPVBody"/>
        <w:rPr>
          <w:rFonts w:asciiTheme="minorHAnsi" w:hAnsiTheme="minorHAnsi"/>
        </w:rPr>
      </w:pPr>
      <w:r w:rsidRPr="00C47149">
        <w:rPr>
          <w:rFonts w:asciiTheme="minorHAnsi" w:hAnsiTheme="minorHAnsi"/>
        </w:rPr>
        <w:t>The St Kilda Cycling Club submitted that there was an opportunity for a dedicated cycling facility and outlined the community and health advantages which it would generate.  Water Polo Victoria submitted the need for a water polo suited pool in the area and the Port Melbourne Soccer Club submitted that there was a need for extra soccer pitches to accommodate women’s teams and stadium upgrades to accommodate related activities.</w:t>
      </w:r>
    </w:p>
    <w:p w:rsidR="00AC2E38" w:rsidRDefault="00AC2E38" w:rsidP="00AC2E38">
      <w:pPr>
        <w:pStyle w:val="Heading4"/>
        <w:rPr>
          <w:rFonts w:asciiTheme="minorHAnsi" w:hAnsiTheme="minorHAnsi"/>
        </w:rPr>
      </w:pPr>
      <w:r w:rsidRPr="00A90F8A">
        <w:rPr>
          <w:rFonts w:asciiTheme="minorHAnsi" w:hAnsiTheme="minorHAnsi"/>
        </w:rPr>
        <w:lastRenderedPageBreak/>
        <w:t>Discussion</w:t>
      </w:r>
    </w:p>
    <w:p w:rsidR="00785416" w:rsidRDefault="00AC2E38" w:rsidP="00AC2E38">
      <w:pPr>
        <w:pStyle w:val="PPVBody"/>
        <w:rPr>
          <w:rFonts w:asciiTheme="minorHAnsi" w:hAnsiTheme="minorHAnsi"/>
        </w:rPr>
      </w:pPr>
      <w:r>
        <w:rPr>
          <w:rFonts w:asciiTheme="minorHAnsi" w:hAnsiTheme="minorHAnsi"/>
        </w:rPr>
        <w:t>The Review Panel notes the Minister’s commitment to providing an infrastructure plan.  It</w:t>
      </w:r>
      <w:r w:rsidRPr="00A90F8A">
        <w:rPr>
          <w:rFonts w:asciiTheme="minorHAnsi" w:hAnsiTheme="minorHAnsi"/>
        </w:rPr>
        <w:t xml:space="preserve"> </w:t>
      </w:r>
      <w:r>
        <w:rPr>
          <w:rFonts w:asciiTheme="minorHAnsi" w:hAnsiTheme="minorHAnsi"/>
        </w:rPr>
        <w:t>is</w:t>
      </w:r>
      <w:r w:rsidRPr="00A90F8A">
        <w:rPr>
          <w:rFonts w:asciiTheme="minorHAnsi" w:hAnsiTheme="minorHAnsi"/>
        </w:rPr>
        <w:t xml:space="preserve"> unfortunate that an </w:t>
      </w:r>
      <w:r>
        <w:rPr>
          <w:rFonts w:asciiTheme="minorHAnsi" w:hAnsiTheme="minorHAnsi"/>
        </w:rPr>
        <w:t>i</w:t>
      </w:r>
      <w:r w:rsidRPr="00A90F8A">
        <w:rPr>
          <w:rFonts w:asciiTheme="minorHAnsi" w:hAnsiTheme="minorHAnsi"/>
        </w:rPr>
        <w:t xml:space="preserve">nfrastructure </w:t>
      </w:r>
      <w:r>
        <w:rPr>
          <w:rFonts w:asciiTheme="minorHAnsi" w:hAnsiTheme="minorHAnsi"/>
        </w:rPr>
        <w:t>p</w:t>
      </w:r>
      <w:r w:rsidRPr="00A90F8A">
        <w:rPr>
          <w:rFonts w:asciiTheme="minorHAnsi" w:hAnsiTheme="minorHAnsi"/>
        </w:rPr>
        <w:t xml:space="preserve">lan is not </w:t>
      </w:r>
      <w:r>
        <w:rPr>
          <w:rFonts w:asciiTheme="minorHAnsi" w:hAnsiTheme="minorHAnsi"/>
        </w:rPr>
        <w:t xml:space="preserve">yet </w:t>
      </w:r>
      <w:r w:rsidRPr="00A90F8A">
        <w:rPr>
          <w:rFonts w:asciiTheme="minorHAnsi" w:hAnsiTheme="minorHAnsi"/>
        </w:rPr>
        <w:t xml:space="preserve">available. </w:t>
      </w:r>
      <w:r>
        <w:rPr>
          <w:rFonts w:asciiTheme="minorHAnsi" w:hAnsiTheme="minorHAnsi"/>
        </w:rPr>
        <w:t xml:space="preserve"> </w:t>
      </w:r>
      <w:r w:rsidRPr="00A90F8A">
        <w:rPr>
          <w:rFonts w:asciiTheme="minorHAnsi" w:hAnsiTheme="minorHAnsi"/>
        </w:rPr>
        <w:t xml:space="preserve">Having said this, broad detail of at least some of the major infrastructure is </w:t>
      </w:r>
      <w:r>
        <w:rPr>
          <w:rFonts w:asciiTheme="minorHAnsi" w:hAnsiTheme="minorHAnsi"/>
        </w:rPr>
        <w:t xml:space="preserve">identified in </w:t>
      </w:r>
      <w:r w:rsidRPr="00A90F8A">
        <w:rPr>
          <w:rFonts w:asciiTheme="minorHAnsi" w:hAnsiTheme="minorHAnsi"/>
        </w:rPr>
        <w:t xml:space="preserve">the </w:t>
      </w:r>
      <w:r>
        <w:rPr>
          <w:rFonts w:asciiTheme="minorHAnsi" w:hAnsiTheme="minorHAnsi"/>
        </w:rPr>
        <w:t xml:space="preserve">draft Framework, which was no doubt informed by </w:t>
      </w:r>
      <w:r w:rsidRPr="00A90F8A">
        <w:rPr>
          <w:rFonts w:asciiTheme="minorHAnsi" w:hAnsiTheme="minorHAnsi"/>
        </w:rPr>
        <w:t>the various background documents</w:t>
      </w:r>
      <w:r>
        <w:rPr>
          <w:rFonts w:asciiTheme="minorHAnsi" w:hAnsiTheme="minorHAnsi"/>
        </w:rPr>
        <w:t>.  These documents could</w:t>
      </w:r>
      <w:r w:rsidRPr="00A90F8A">
        <w:rPr>
          <w:rFonts w:asciiTheme="minorHAnsi" w:hAnsiTheme="minorHAnsi"/>
        </w:rPr>
        <w:t xml:space="preserve"> form the basis of the high level infrastructure plan referred to in the MAC </w:t>
      </w:r>
      <w:r>
        <w:rPr>
          <w:rFonts w:asciiTheme="minorHAnsi" w:hAnsiTheme="minorHAnsi"/>
        </w:rPr>
        <w:t>R</w:t>
      </w:r>
      <w:r w:rsidRPr="00A90F8A">
        <w:rPr>
          <w:rFonts w:asciiTheme="minorHAnsi" w:hAnsiTheme="minorHAnsi"/>
        </w:rPr>
        <w:t>eport</w:t>
      </w:r>
      <w:r>
        <w:rPr>
          <w:rFonts w:asciiTheme="minorHAnsi" w:hAnsiTheme="minorHAnsi"/>
        </w:rPr>
        <w:t xml:space="preserve"> No. 1</w:t>
      </w:r>
      <w:r w:rsidRPr="00A90F8A">
        <w:rPr>
          <w:rFonts w:asciiTheme="minorHAnsi" w:hAnsiTheme="minorHAnsi"/>
        </w:rPr>
        <w:t>.</w:t>
      </w:r>
    </w:p>
    <w:p w:rsidR="00AC2E38" w:rsidRDefault="00AC2E38" w:rsidP="00AC2E38">
      <w:pPr>
        <w:pStyle w:val="PPVBody"/>
        <w:rPr>
          <w:rFonts w:asciiTheme="minorHAnsi" w:hAnsiTheme="minorHAnsi"/>
        </w:rPr>
      </w:pPr>
      <w:r w:rsidRPr="00A90F8A">
        <w:rPr>
          <w:rFonts w:asciiTheme="minorHAnsi" w:hAnsiTheme="minorHAnsi"/>
        </w:rPr>
        <w:t>The Review Panel accepts that the tram in particular will be a key driver of development in Fishermans Bend and assumes that commitments to it are likely to be made in the context of future State budgets in the time frames which are mentioned in the Minister’s submission.</w:t>
      </w:r>
    </w:p>
    <w:p w:rsidR="00AC2E38" w:rsidRPr="00A90F8A" w:rsidRDefault="00AC2E38" w:rsidP="00AC2E38">
      <w:pPr>
        <w:pStyle w:val="PPVBody"/>
        <w:rPr>
          <w:rFonts w:asciiTheme="minorHAnsi" w:hAnsiTheme="minorHAnsi"/>
        </w:rPr>
      </w:pPr>
      <w:r w:rsidRPr="00C47149">
        <w:rPr>
          <w:rFonts w:asciiTheme="minorHAnsi" w:hAnsiTheme="minorHAnsi"/>
        </w:rPr>
        <w:t>The submissions which focus</w:t>
      </w:r>
      <w:r>
        <w:rPr>
          <w:rFonts w:asciiTheme="minorHAnsi" w:hAnsiTheme="minorHAnsi"/>
        </w:rPr>
        <w:t>ed</w:t>
      </w:r>
      <w:r w:rsidRPr="00C47149">
        <w:rPr>
          <w:rFonts w:asciiTheme="minorHAnsi" w:hAnsiTheme="minorHAnsi"/>
        </w:rPr>
        <w:t xml:space="preserve"> on </w:t>
      </w:r>
      <w:r>
        <w:rPr>
          <w:rFonts w:asciiTheme="minorHAnsi" w:hAnsiTheme="minorHAnsi"/>
        </w:rPr>
        <w:t>providing</w:t>
      </w:r>
      <w:r w:rsidRPr="00C47149">
        <w:rPr>
          <w:rFonts w:asciiTheme="minorHAnsi" w:hAnsiTheme="minorHAnsi"/>
        </w:rPr>
        <w:t xml:space="preserve"> specific sporting and community infrastructure are </w:t>
      </w:r>
      <w:r>
        <w:rPr>
          <w:rFonts w:asciiTheme="minorHAnsi" w:hAnsiTheme="minorHAnsi"/>
        </w:rPr>
        <w:t xml:space="preserve">somewhat </w:t>
      </w:r>
      <w:r w:rsidRPr="00C47149">
        <w:rPr>
          <w:rFonts w:asciiTheme="minorHAnsi" w:hAnsiTheme="minorHAnsi"/>
        </w:rPr>
        <w:t>premature</w:t>
      </w:r>
      <w:r>
        <w:rPr>
          <w:rFonts w:asciiTheme="minorHAnsi" w:hAnsiTheme="minorHAnsi"/>
        </w:rPr>
        <w:t>,</w:t>
      </w:r>
      <w:r w:rsidRPr="00C47149">
        <w:rPr>
          <w:rFonts w:asciiTheme="minorHAnsi" w:hAnsiTheme="minorHAnsi"/>
        </w:rPr>
        <w:t xml:space="preserve"> in the sense that this process is not designating spaces for specific uses.  This will come at a later stage of the process</w:t>
      </w:r>
      <w:r>
        <w:rPr>
          <w:rFonts w:asciiTheme="minorHAnsi" w:hAnsiTheme="minorHAnsi"/>
        </w:rPr>
        <w:t>, primarily the Precinct planning phase, which will involve more detailed planning for t</w:t>
      </w:r>
      <w:r w:rsidRPr="00C47149">
        <w:rPr>
          <w:rFonts w:asciiTheme="minorHAnsi" w:hAnsiTheme="minorHAnsi"/>
        </w:rPr>
        <w:t>he various hubs.  The Father Bob Maguire proposal may possibly integrate with planned community hubs, for example.  It is not the role of the Review Panel to make specific recommendation</w:t>
      </w:r>
      <w:r>
        <w:rPr>
          <w:rFonts w:asciiTheme="minorHAnsi" w:hAnsiTheme="minorHAnsi"/>
        </w:rPr>
        <w:t>s</w:t>
      </w:r>
      <w:r w:rsidRPr="00C47149">
        <w:rPr>
          <w:rFonts w:asciiTheme="minorHAnsi" w:hAnsiTheme="minorHAnsi"/>
        </w:rPr>
        <w:t xml:space="preserve"> on this.</w:t>
      </w:r>
    </w:p>
    <w:p w:rsidR="00AC2E38" w:rsidRPr="00A90F8A" w:rsidRDefault="00AC2E38" w:rsidP="00AC2E38">
      <w:pPr>
        <w:pStyle w:val="Heading4"/>
        <w:rPr>
          <w:rFonts w:asciiTheme="minorHAnsi" w:hAnsiTheme="minorHAnsi"/>
        </w:rPr>
      </w:pPr>
      <w:r w:rsidRPr="00A90F8A">
        <w:rPr>
          <w:rFonts w:asciiTheme="minorHAnsi" w:hAnsiTheme="minorHAnsi"/>
        </w:rPr>
        <w:t>Findings</w:t>
      </w:r>
    </w:p>
    <w:p w:rsidR="00AC2E38" w:rsidRDefault="00AC2E38" w:rsidP="00AC2E38">
      <w:pPr>
        <w:pStyle w:val="PPVBody"/>
        <w:rPr>
          <w:rFonts w:asciiTheme="minorHAnsi" w:hAnsiTheme="minorHAnsi"/>
        </w:rPr>
      </w:pPr>
      <w:r>
        <w:rPr>
          <w:rFonts w:asciiTheme="minorHAnsi" w:hAnsiTheme="minorHAnsi"/>
        </w:rPr>
        <w:t>The Review Panel finds:</w:t>
      </w:r>
    </w:p>
    <w:p w:rsidR="00AC2E38" w:rsidRPr="00A90F8A" w:rsidRDefault="00AC2E38" w:rsidP="00AC2E38">
      <w:pPr>
        <w:pStyle w:val="PPVBullet1"/>
      </w:pPr>
      <w:r>
        <w:t xml:space="preserve">preparation of an </w:t>
      </w:r>
      <w:r w:rsidRPr="003505DC">
        <w:t>infrastructure plan should</w:t>
      </w:r>
      <w:r>
        <w:t xml:space="preserve"> not hold up the progress of the draft Amendment</w:t>
      </w:r>
    </w:p>
    <w:p w:rsidR="00AC2E38" w:rsidRDefault="00AC2E38" w:rsidP="00AC2E38">
      <w:pPr>
        <w:pStyle w:val="PPVBullet1"/>
      </w:pPr>
      <w:r w:rsidRPr="003505DC">
        <w:t>an infrastructure plan should</w:t>
      </w:r>
      <w:r>
        <w:t>, however,</w:t>
      </w:r>
      <w:r w:rsidRPr="003505DC">
        <w:t xml:space="preserve"> be prepared and released</w:t>
      </w:r>
      <w:r>
        <w:t xml:space="preserve"> in a timely manner</w:t>
      </w:r>
      <w:r w:rsidRPr="003505DC">
        <w:t xml:space="preserve">, preferably ahead of or </w:t>
      </w:r>
      <w:r>
        <w:t xml:space="preserve">in conjunction </w:t>
      </w:r>
      <w:r w:rsidRPr="003505DC">
        <w:t xml:space="preserve">with the </w:t>
      </w:r>
      <w:r w:rsidR="00FC563B">
        <w:t>Precinct Plans</w:t>
      </w:r>
      <w:r>
        <w:t>.</w:t>
      </w:r>
    </w:p>
    <w:p w:rsidR="00AC2E38" w:rsidRPr="00A90F8A" w:rsidRDefault="00AC2E38" w:rsidP="00AC2E38">
      <w:pPr>
        <w:pStyle w:val="Heading2"/>
      </w:pPr>
      <w:bookmarkStart w:id="490" w:name="_Toc519271031"/>
      <w:bookmarkStart w:id="491" w:name="_Toc519710314"/>
      <w:bookmarkStart w:id="492" w:name="_Toc519766874"/>
      <w:r w:rsidRPr="00903CCF">
        <w:t>Infrastructure</w:t>
      </w:r>
      <w:r w:rsidRPr="00A90F8A">
        <w:t xml:space="preserve"> funding</w:t>
      </w:r>
      <w:bookmarkEnd w:id="490"/>
      <w:bookmarkEnd w:id="491"/>
      <w:bookmarkEnd w:id="492"/>
    </w:p>
    <w:p w:rsidR="00AC2E38" w:rsidRDefault="00AC2E38" w:rsidP="00AC2E38">
      <w:pPr>
        <w:pStyle w:val="Heading4"/>
        <w:rPr>
          <w:rFonts w:asciiTheme="minorHAnsi" w:hAnsiTheme="minorHAnsi"/>
        </w:rPr>
      </w:pPr>
      <w:r w:rsidRPr="00A90F8A">
        <w:rPr>
          <w:rFonts w:asciiTheme="minorHAnsi" w:hAnsiTheme="minorHAnsi"/>
        </w:rPr>
        <w:t>Submissions and evidence</w:t>
      </w:r>
    </w:p>
    <w:p w:rsidR="00AC2E38" w:rsidRDefault="00AC2E38" w:rsidP="00AC2E38">
      <w:pPr>
        <w:pStyle w:val="PPVBody"/>
        <w:rPr>
          <w:rFonts w:asciiTheme="minorHAnsi" w:hAnsiTheme="minorHAnsi"/>
        </w:rPr>
      </w:pPr>
      <w:r w:rsidRPr="00A90F8A">
        <w:rPr>
          <w:rFonts w:asciiTheme="minorHAnsi" w:hAnsiTheme="minorHAnsi"/>
        </w:rPr>
        <w:t>A D</w:t>
      </w:r>
      <w:r w:rsidR="00346B0A">
        <w:rPr>
          <w:rFonts w:asciiTheme="minorHAnsi" w:hAnsiTheme="minorHAnsi"/>
        </w:rPr>
        <w:t>CPO</w:t>
      </w:r>
      <w:r>
        <w:rPr>
          <w:rFonts w:asciiTheme="minorHAnsi" w:hAnsiTheme="minorHAnsi"/>
        </w:rPr>
        <w:t xml:space="preserve"> applies </w:t>
      </w:r>
      <w:r w:rsidRPr="00A90F8A">
        <w:rPr>
          <w:rFonts w:asciiTheme="minorHAnsi" w:hAnsiTheme="minorHAnsi"/>
        </w:rPr>
        <w:t>over Fishermans Bend</w:t>
      </w:r>
      <w:r>
        <w:rPr>
          <w:rFonts w:asciiTheme="minorHAnsi" w:hAnsiTheme="minorHAnsi"/>
        </w:rPr>
        <w:t>.  A</w:t>
      </w:r>
      <w:r w:rsidRPr="00A90F8A">
        <w:rPr>
          <w:rFonts w:asciiTheme="minorHAnsi" w:hAnsiTheme="minorHAnsi"/>
        </w:rPr>
        <w:t xml:space="preserve"> draft </w:t>
      </w:r>
      <w:r w:rsidR="002D647C">
        <w:rPr>
          <w:rFonts w:asciiTheme="minorHAnsi" w:hAnsiTheme="minorHAnsi"/>
        </w:rPr>
        <w:t>DCP</w:t>
      </w:r>
      <w:r w:rsidRPr="00A90F8A">
        <w:rPr>
          <w:rFonts w:asciiTheme="minorHAnsi" w:hAnsiTheme="minorHAnsi"/>
        </w:rPr>
        <w:t xml:space="preserve"> was prepared but not implemented.  </w:t>
      </w:r>
      <w:r>
        <w:rPr>
          <w:rFonts w:asciiTheme="minorHAnsi" w:hAnsiTheme="minorHAnsi"/>
        </w:rPr>
        <w:t>An interim contribution currently applies.</w:t>
      </w:r>
    </w:p>
    <w:p w:rsidR="00AC2E38" w:rsidRDefault="00AC2E38" w:rsidP="00AC2E38">
      <w:pPr>
        <w:pStyle w:val="PPVBody"/>
        <w:rPr>
          <w:rFonts w:asciiTheme="minorHAnsi" w:hAnsiTheme="minorHAnsi"/>
        </w:rPr>
      </w:pPr>
      <w:r>
        <w:rPr>
          <w:rFonts w:asciiTheme="minorHAnsi" w:hAnsiTheme="minorHAnsi"/>
        </w:rPr>
        <w:t>Interim contributions have been used to fund (in part) the Montague Park land purchase.  The Minister submitted that the State Government has provided funding through the budget for tram and bus capacity upgrades and tram stop improvements, Montague Park improvements, the South Melbourne Primary School and part purchase of the former GMH site in the Employment Precinct.</w:t>
      </w:r>
    </w:p>
    <w:p w:rsidR="00AC2E38" w:rsidRDefault="00AC2E38" w:rsidP="00AC2E38">
      <w:pPr>
        <w:pStyle w:val="PPVBody"/>
        <w:rPr>
          <w:rFonts w:asciiTheme="minorHAnsi" w:hAnsiTheme="minorHAnsi"/>
        </w:rPr>
      </w:pPr>
      <w:r w:rsidRPr="00A90F8A">
        <w:rPr>
          <w:rFonts w:asciiTheme="minorHAnsi" w:hAnsiTheme="minorHAnsi"/>
        </w:rPr>
        <w:t>The MAC</w:t>
      </w:r>
      <w:r>
        <w:rPr>
          <w:rFonts w:asciiTheme="minorHAnsi" w:hAnsiTheme="minorHAnsi"/>
        </w:rPr>
        <w:t xml:space="preserve"> </w:t>
      </w:r>
      <w:r w:rsidRPr="00A90F8A">
        <w:rPr>
          <w:rFonts w:asciiTheme="minorHAnsi" w:hAnsiTheme="minorHAnsi"/>
        </w:rPr>
        <w:t>Report</w:t>
      </w:r>
      <w:r>
        <w:rPr>
          <w:rFonts w:asciiTheme="minorHAnsi" w:hAnsiTheme="minorHAnsi"/>
        </w:rPr>
        <w:t xml:space="preserve"> No. 1 (2015) i</w:t>
      </w:r>
      <w:r w:rsidRPr="00A90F8A">
        <w:rPr>
          <w:rFonts w:asciiTheme="minorHAnsi" w:hAnsiTheme="minorHAnsi"/>
        </w:rPr>
        <w:t>dentified the need for</w:t>
      </w:r>
      <w:r w:rsidR="007B739A">
        <w:rPr>
          <w:rFonts w:asciiTheme="minorHAnsi" w:hAnsiTheme="minorHAnsi"/>
        </w:rPr>
        <w:t>:</w:t>
      </w:r>
    </w:p>
    <w:p w:rsidR="00AC2E38" w:rsidRPr="00A90F8A" w:rsidRDefault="00AC2E38" w:rsidP="00AC2E38">
      <w:pPr>
        <w:pStyle w:val="PPVQuote"/>
      </w:pPr>
      <w:r>
        <w:t>…</w:t>
      </w:r>
      <w:r w:rsidR="002D647C">
        <w:t xml:space="preserve"> </w:t>
      </w:r>
      <w:r w:rsidRPr="00A90F8A">
        <w:t>a short, medium and long</w:t>
      </w:r>
      <w:r>
        <w:t>-</w:t>
      </w:r>
      <w:r w:rsidRPr="00A90F8A">
        <w:t>term financial plan for the development of Fishermans Bend which considers all potential sources of funding</w:t>
      </w:r>
      <w:r w:rsidR="002D647C">
        <w:t xml:space="preserve"> </w:t>
      </w:r>
      <w:r w:rsidRPr="00A90F8A">
        <w:t>… the Taskforce, in consultation with central government agencies and local government is well advanced in developing the funding plan</w:t>
      </w:r>
      <w:r w:rsidR="002D647C">
        <w:t xml:space="preserve"> </w:t>
      </w:r>
      <w:r w:rsidRPr="00A90F8A">
        <w:t>….</w:t>
      </w:r>
      <w:r>
        <w:t xml:space="preserve">  </w:t>
      </w:r>
      <w:r w:rsidRPr="00A90F8A">
        <w:t xml:space="preserve">Fishermans Bend’s combination of scale, defined boundaries and investment requirements creates a unique opportunity for new and innovative approaches to funding the </w:t>
      </w:r>
      <w:r>
        <w:t>a</w:t>
      </w:r>
      <w:r w:rsidRPr="00A90F8A">
        <w:t>rea’s redevelopment.</w:t>
      </w:r>
      <w:r w:rsidRPr="00820B43">
        <w:rPr>
          <w:rStyle w:val="FootnoteReference"/>
          <w:rFonts w:asciiTheme="minorHAnsi" w:hAnsiTheme="minorHAnsi"/>
          <w:i w:val="0"/>
        </w:rPr>
        <w:footnoteReference w:id="136"/>
      </w:r>
    </w:p>
    <w:p w:rsidR="00AC2E38" w:rsidRPr="00A90F8A" w:rsidRDefault="00AC2E38" w:rsidP="00AC2E38">
      <w:pPr>
        <w:pStyle w:val="PPVBody"/>
        <w:rPr>
          <w:rFonts w:asciiTheme="minorHAnsi" w:hAnsiTheme="minorHAnsi"/>
        </w:rPr>
      </w:pPr>
      <w:r w:rsidRPr="00A90F8A">
        <w:rPr>
          <w:rFonts w:asciiTheme="minorHAnsi" w:hAnsiTheme="minorHAnsi"/>
        </w:rPr>
        <w:lastRenderedPageBreak/>
        <w:t xml:space="preserve">Melbourne relied on the evidence of </w:t>
      </w:r>
      <w:r>
        <w:rPr>
          <w:rFonts w:asciiTheme="minorHAnsi" w:hAnsiTheme="minorHAnsi"/>
        </w:rPr>
        <w:t xml:space="preserve">Mr Shipp who </w:t>
      </w:r>
      <w:r w:rsidRPr="00A90F8A">
        <w:rPr>
          <w:rFonts w:asciiTheme="minorHAnsi" w:hAnsiTheme="minorHAnsi"/>
        </w:rPr>
        <w:t xml:space="preserve">undertook his assessment of funding mechanisms </w:t>
      </w:r>
      <w:r>
        <w:rPr>
          <w:rFonts w:asciiTheme="minorHAnsi" w:hAnsiTheme="minorHAnsi"/>
        </w:rPr>
        <w:t xml:space="preserve">assuming </w:t>
      </w:r>
      <w:r w:rsidRPr="00A90F8A">
        <w:rPr>
          <w:rFonts w:asciiTheme="minorHAnsi" w:hAnsiTheme="minorHAnsi"/>
        </w:rPr>
        <w:t>that a DCP or an ICP would be implemented for Fishermans Bend</w:t>
      </w:r>
      <w:r>
        <w:rPr>
          <w:rFonts w:asciiTheme="minorHAnsi" w:hAnsiTheme="minorHAnsi"/>
        </w:rPr>
        <w:t xml:space="preserve">.  He noted </w:t>
      </w:r>
      <w:r w:rsidRPr="00A90F8A">
        <w:rPr>
          <w:rFonts w:asciiTheme="minorHAnsi" w:hAnsiTheme="minorHAnsi"/>
        </w:rPr>
        <w:t>that the draft Framework does not provide any clear indication of whether a DCP is proposed.  Mr Milner proposed a DCP to fund the acquisition of land and related necessary infrastructure.</w:t>
      </w:r>
    </w:p>
    <w:p w:rsidR="00AC2E38" w:rsidRPr="00064C55" w:rsidRDefault="00AC2E38" w:rsidP="00064C55">
      <w:pPr>
        <w:pStyle w:val="PPVBody"/>
      </w:pPr>
      <w:r w:rsidRPr="00A90F8A">
        <w:t xml:space="preserve">Port Phillip urged expedited work on the preparation of an infrastructure funding strategy </w:t>
      </w:r>
      <w:r>
        <w:t xml:space="preserve">and </w:t>
      </w:r>
      <w:r w:rsidRPr="00A90F8A">
        <w:t>a DCP</w:t>
      </w:r>
      <w:r>
        <w:t>,</w:t>
      </w:r>
      <w:r w:rsidRPr="00A90F8A">
        <w:t xml:space="preserve"> and expressed concern that the existing interim contribution levy was inadequate</w:t>
      </w:r>
      <w:r>
        <w:t>.  It submitted</w:t>
      </w:r>
      <w:r w:rsidRPr="00A90F8A">
        <w:t xml:space="preserve"> that both the interim development contributions and the open space contribution be raised immediately.  </w:t>
      </w:r>
      <w:r>
        <w:t xml:space="preserve">It </w:t>
      </w:r>
      <w:r w:rsidRPr="00A90F8A">
        <w:t xml:space="preserve">tabled detailed infrastructure planning and costing work </w:t>
      </w:r>
      <w:r>
        <w:t xml:space="preserve">prepared by Mesh Consultants </w:t>
      </w:r>
      <w:r w:rsidRPr="00A90F8A">
        <w:t>for a couple of major infrastructure projects</w:t>
      </w:r>
      <w:r>
        <w:t xml:space="preserve"> </w:t>
      </w:r>
      <w:r w:rsidRPr="002563B6">
        <w:t>(D</w:t>
      </w:r>
      <w:r w:rsidR="002563B6" w:rsidRPr="002563B6">
        <w:t>76b</w:t>
      </w:r>
      <w:r w:rsidRPr="00064C55">
        <w:t>), to demonstrate the magnitude of the likely underfunding and the risk to Council in being potentially responsible for any funding shortfall.</w:t>
      </w:r>
    </w:p>
    <w:p w:rsidR="00064C55" w:rsidRPr="00064C55" w:rsidRDefault="00064C55" w:rsidP="00064C55">
      <w:pPr>
        <w:pStyle w:val="PPVBody"/>
      </w:pPr>
      <w:r w:rsidRPr="00064C55">
        <w:t>Similarly, the UDIA expressed frustration that an Infrastructure funding model did not form a part of the draft Framework planning proc</w:t>
      </w:r>
      <w:r>
        <w:t>ess and had yet to be developed, and Ms Addison noted</w:t>
      </w:r>
    </w:p>
    <w:p w:rsidR="00064C55" w:rsidRPr="00064C55" w:rsidRDefault="00064C55" w:rsidP="00064C55">
      <w:pPr>
        <w:pStyle w:val="PPVQuote"/>
      </w:pPr>
      <w:r w:rsidRPr="00064C55">
        <w:t>While there has been constant reassurance that a funding model will be released imminently, the lack of such a model makes it difficult for UDIA to assess the merit of this Framework as there is no indication of how the Framework</w:t>
      </w:r>
      <w:r>
        <w:t xml:space="preserve"> will be financially supported.</w:t>
      </w:r>
      <w:r>
        <w:rPr>
          <w:rStyle w:val="FootnoteReference"/>
        </w:rPr>
        <w:footnoteReference w:id="137"/>
      </w:r>
    </w:p>
    <w:p w:rsidR="00785416" w:rsidRDefault="00AC2E38" w:rsidP="00064C55">
      <w:pPr>
        <w:pStyle w:val="PPVBody"/>
      </w:pPr>
      <w:r w:rsidRPr="00064C55">
        <w:t>An innovative approach raised during the Hearing was the use of value capture mechanisms to capture some of the uplift in property values to part fund the required infrastructure.  The State Government’s</w:t>
      </w:r>
      <w:r w:rsidRPr="00A90F8A">
        <w:t xml:space="preserve"> </w:t>
      </w:r>
      <w:r w:rsidRPr="00A90F8A">
        <w:rPr>
          <w:i/>
        </w:rPr>
        <w:t>Victoria’s Value Capture and Creation Framework</w:t>
      </w:r>
      <w:r>
        <w:rPr>
          <w:i/>
        </w:rPr>
        <w:t xml:space="preserve"> </w:t>
      </w:r>
      <w:r>
        <w:t>released in September 2017 notes that the</w:t>
      </w:r>
      <w:r w:rsidRPr="00A90F8A">
        <w:t xml:space="preserve"> uplift in values usually results from rezoning, infrastructure development or other government policy.  The </w:t>
      </w:r>
      <w:r w:rsidR="002D647C">
        <w:t>MAC Report No. 2</w:t>
      </w:r>
      <w:r w:rsidRPr="00A90F8A">
        <w:t xml:space="preserve"> stated</w:t>
      </w:r>
      <w:r>
        <w:t xml:space="preserve"> that “</w:t>
      </w:r>
      <w:r w:rsidRPr="00E06389">
        <w:rPr>
          <w:i/>
        </w:rPr>
        <w:t>Fishermans Bend presents a unique opportunity to embrace value capture mechanisms</w:t>
      </w:r>
      <w:r w:rsidRPr="00E06389">
        <w:t>”</w:t>
      </w:r>
      <w:r w:rsidRPr="00E06389">
        <w:rPr>
          <w:rStyle w:val="FootnoteReference"/>
          <w:rFonts w:asciiTheme="minorHAnsi" w:hAnsiTheme="minorHAnsi"/>
        </w:rPr>
        <w:footnoteReference w:id="138"/>
      </w:r>
      <w:r>
        <w:t xml:space="preserve"> </w:t>
      </w:r>
      <w:r w:rsidR="00125287">
        <w:t>and</w:t>
      </w:r>
      <w:r>
        <w:t xml:space="preserve"> </w:t>
      </w:r>
      <w:r w:rsidR="00125287">
        <w:t xml:space="preserve">both it and Mr Milner </w:t>
      </w:r>
      <w:r w:rsidRPr="00A90F8A">
        <w:t>noted that the opportunity for value capture resulting from rezoning had already been lost</w:t>
      </w:r>
      <w:r>
        <w:t>.</w:t>
      </w:r>
    </w:p>
    <w:p w:rsidR="00AC2E38" w:rsidRPr="00A90F8A" w:rsidRDefault="00AC2E38" w:rsidP="00AC2E38">
      <w:pPr>
        <w:pStyle w:val="PPVBody"/>
        <w:rPr>
          <w:rFonts w:asciiTheme="minorHAnsi" w:hAnsiTheme="minorHAnsi"/>
        </w:rPr>
      </w:pPr>
      <w:r w:rsidRPr="00A90F8A">
        <w:rPr>
          <w:rFonts w:asciiTheme="minorHAnsi" w:hAnsiTheme="minorHAnsi"/>
        </w:rPr>
        <w:t xml:space="preserve">In his evidence, Mr Biacsi agreed with the MAC that Fishermans Bend is a </w:t>
      </w:r>
      <w:r>
        <w:rPr>
          <w:rFonts w:asciiTheme="minorHAnsi" w:hAnsiTheme="minorHAnsi"/>
        </w:rPr>
        <w:t>“</w:t>
      </w:r>
      <w:r w:rsidRPr="00F31F51">
        <w:rPr>
          <w:rFonts w:asciiTheme="minorHAnsi" w:hAnsiTheme="minorHAnsi"/>
          <w:i/>
        </w:rPr>
        <w:t>specific candidate</w:t>
      </w:r>
      <w:r>
        <w:rPr>
          <w:rFonts w:asciiTheme="minorHAnsi" w:hAnsiTheme="minorHAnsi"/>
          <w:i/>
        </w:rPr>
        <w:t>”</w:t>
      </w:r>
      <w:r w:rsidRPr="00A90F8A">
        <w:rPr>
          <w:rFonts w:asciiTheme="minorHAnsi" w:hAnsiTheme="minorHAnsi"/>
        </w:rPr>
        <w:t xml:space="preserve"> for the mechanisms proposed under the State </w:t>
      </w:r>
      <w:r>
        <w:rPr>
          <w:rFonts w:asciiTheme="minorHAnsi" w:hAnsiTheme="minorHAnsi"/>
        </w:rPr>
        <w:t>G</w:t>
      </w:r>
      <w:r w:rsidRPr="00A90F8A">
        <w:rPr>
          <w:rFonts w:asciiTheme="minorHAnsi" w:hAnsiTheme="minorHAnsi"/>
        </w:rPr>
        <w:t>overnment</w:t>
      </w:r>
      <w:r>
        <w:rPr>
          <w:rFonts w:asciiTheme="minorHAnsi" w:hAnsiTheme="minorHAnsi"/>
        </w:rPr>
        <w:t>’s</w:t>
      </w:r>
      <w:r w:rsidRPr="00A90F8A">
        <w:rPr>
          <w:rFonts w:asciiTheme="minorHAnsi" w:hAnsiTheme="minorHAnsi"/>
        </w:rPr>
        <w:t xml:space="preserve"> </w:t>
      </w:r>
      <w:r>
        <w:rPr>
          <w:rFonts w:asciiTheme="minorHAnsi" w:hAnsiTheme="minorHAnsi"/>
        </w:rPr>
        <w:t xml:space="preserve">value capture </w:t>
      </w:r>
      <w:r w:rsidRPr="00A90F8A">
        <w:rPr>
          <w:rFonts w:asciiTheme="minorHAnsi" w:hAnsiTheme="minorHAnsi"/>
        </w:rPr>
        <w:t>framework</w:t>
      </w:r>
      <w:r>
        <w:rPr>
          <w:rFonts w:asciiTheme="minorHAnsi" w:hAnsiTheme="minorHAnsi"/>
        </w:rPr>
        <w:t>,</w:t>
      </w:r>
      <w:r w:rsidRPr="00A90F8A">
        <w:rPr>
          <w:rFonts w:asciiTheme="minorHAnsi" w:hAnsiTheme="minorHAnsi"/>
        </w:rPr>
        <w:t xml:space="preserve"> but stated that the Fishermans Bend </w:t>
      </w:r>
      <w:r>
        <w:rPr>
          <w:rFonts w:asciiTheme="minorHAnsi" w:hAnsiTheme="minorHAnsi"/>
        </w:rPr>
        <w:t>draft Framework</w:t>
      </w:r>
      <w:r w:rsidRPr="00A90F8A">
        <w:rPr>
          <w:rFonts w:asciiTheme="minorHAnsi" w:hAnsiTheme="minorHAnsi"/>
        </w:rPr>
        <w:t xml:space="preserve"> </w:t>
      </w:r>
      <w:r w:rsidRPr="00A90F8A">
        <w:rPr>
          <w:rStyle w:val="PPVQuoteChar"/>
          <w:rFonts w:asciiTheme="minorHAnsi" w:hAnsiTheme="minorHAnsi"/>
        </w:rPr>
        <w:t xml:space="preserve">“could hardly be said to constitute a project specific </w:t>
      </w:r>
      <w:r w:rsidR="00F34EE4">
        <w:rPr>
          <w:rStyle w:val="PPVQuoteChar"/>
          <w:rFonts w:asciiTheme="minorHAnsi" w:hAnsiTheme="minorHAnsi"/>
        </w:rPr>
        <w:t xml:space="preserve">[Value Capture Plan] </w:t>
      </w:r>
      <w:r w:rsidRPr="00A90F8A">
        <w:rPr>
          <w:rStyle w:val="PPVQuoteChar"/>
          <w:rFonts w:asciiTheme="minorHAnsi" w:hAnsiTheme="minorHAnsi"/>
        </w:rPr>
        <w:t xml:space="preserve">Plan of the type contemplated by the </w:t>
      </w:r>
      <w:r w:rsidR="00F34EE4">
        <w:rPr>
          <w:rStyle w:val="PPVQuoteChar"/>
          <w:rFonts w:asciiTheme="minorHAnsi" w:hAnsiTheme="minorHAnsi"/>
        </w:rPr>
        <w:t>[</w:t>
      </w:r>
      <w:r w:rsidR="00F34EE4" w:rsidRPr="00A90F8A">
        <w:rPr>
          <w:i/>
        </w:rPr>
        <w:t>Value Capture and Creation Framewor</w:t>
      </w:r>
      <w:r w:rsidR="00F34EE4">
        <w:rPr>
          <w:i/>
        </w:rPr>
        <w:t>k]</w:t>
      </w:r>
      <w:r w:rsidR="00A90D8B">
        <w:rPr>
          <w:rStyle w:val="PPVQuoteChar"/>
          <w:rFonts w:asciiTheme="minorHAnsi" w:hAnsiTheme="minorHAnsi"/>
        </w:rPr>
        <w:t>”</w:t>
      </w:r>
      <w:r w:rsidR="00A90D8B">
        <w:rPr>
          <w:rFonts w:asciiTheme="minorHAnsi" w:hAnsiTheme="minorHAnsi"/>
        </w:rPr>
        <w:t>.</w:t>
      </w:r>
    </w:p>
    <w:p w:rsidR="00AC2E38" w:rsidRDefault="00AC2E38" w:rsidP="00AC2E38">
      <w:pPr>
        <w:pStyle w:val="PPVBody"/>
        <w:rPr>
          <w:rFonts w:asciiTheme="minorHAnsi" w:hAnsiTheme="minorHAnsi"/>
        </w:rPr>
      </w:pPr>
      <w:r w:rsidRPr="00A90F8A">
        <w:rPr>
          <w:rFonts w:asciiTheme="minorHAnsi" w:hAnsiTheme="minorHAnsi"/>
        </w:rPr>
        <w:t xml:space="preserve">Mr Tweedie </w:t>
      </w:r>
      <w:r>
        <w:rPr>
          <w:rFonts w:asciiTheme="minorHAnsi" w:hAnsiTheme="minorHAnsi"/>
        </w:rPr>
        <w:t xml:space="preserve">submitted </w:t>
      </w:r>
      <w:r w:rsidRPr="00A90F8A">
        <w:rPr>
          <w:rFonts w:asciiTheme="minorHAnsi" w:hAnsiTheme="minorHAnsi"/>
        </w:rPr>
        <w:t>that the r</w:t>
      </w:r>
      <w:r w:rsidR="002D647C">
        <w:rPr>
          <w:rFonts w:asciiTheme="minorHAnsi" w:hAnsiTheme="minorHAnsi"/>
        </w:rPr>
        <w:t>ezoning which occurred in 2012 “</w:t>
      </w:r>
      <w:r w:rsidR="002D647C" w:rsidRPr="002D647C">
        <w:rPr>
          <w:rFonts w:asciiTheme="minorHAnsi" w:hAnsiTheme="minorHAnsi"/>
          <w:i/>
        </w:rPr>
        <w:t>unlocked value</w:t>
      </w:r>
      <w:r w:rsidR="002D647C">
        <w:rPr>
          <w:rFonts w:asciiTheme="minorHAnsi" w:hAnsiTheme="minorHAnsi"/>
        </w:rPr>
        <w:t>”</w:t>
      </w:r>
      <w:r w:rsidRPr="00A90F8A">
        <w:rPr>
          <w:rFonts w:asciiTheme="minorHAnsi" w:hAnsiTheme="minorHAnsi"/>
        </w:rPr>
        <w:t xml:space="preserve"> which </w:t>
      </w:r>
      <w:r>
        <w:rPr>
          <w:rFonts w:asciiTheme="minorHAnsi" w:hAnsiTheme="minorHAnsi"/>
        </w:rPr>
        <w:t xml:space="preserve">the draft Amendment </w:t>
      </w:r>
      <w:r w:rsidRPr="00A90F8A">
        <w:rPr>
          <w:rFonts w:asciiTheme="minorHAnsi" w:hAnsiTheme="minorHAnsi"/>
        </w:rPr>
        <w:t xml:space="preserve">would take away.  Mr Wren made reference to the MacroPlan Dimasi report prepared in 2012 which addressed the issue of value capture and explored its </w:t>
      </w:r>
      <w:r>
        <w:rPr>
          <w:rFonts w:asciiTheme="minorHAnsi" w:hAnsiTheme="minorHAnsi"/>
        </w:rPr>
        <w:t>potential applications</w:t>
      </w:r>
      <w:r w:rsidRPr="00A90F8A">
        <w:rPr>
          <w:rFonts w:asciiTheme="minorHAnsi" w:hAnsiTheme="minorHAnsi"/>
        </w:rPr>
        <w:t>.</w:t>
      </w:r>
    </w:p>
    <w:p w:rsidR="00AC2E38" w:rsidRPr="00A90F8A" w:rsidRDefault="00AC2E38" w:rsidP="00AC2E38">
      <w:pPr>
        <w:pStyle w:val="PPVBody"/>
        <w:rPr>
          <w:rFonts w:asciiTheme="minorHAnsi" w:hAnsiTheme="minorHAnsi"/>
        </w:rPr>
      </w:pPr>
      <w:r w:rsidRPr="00A90F8A">
        <w:rPr>
          <w:rFonts w:asciiTheme="minorHAnsi" w:hAnsiTheme="minorHAnsi"/>
        </w:rPr>
        <w:t xml:space="preserve">The Minister made no specific reference to value capture except in </w:t>
      </w:r>
      <w:r>
        <w:rPr>
          <w:rFonts w:asciiTheme="minorHAnsi" w:hAnsiTheme="minorHAnsi"/>
        </w:rPr>
        <w:t>his</w:t>
      </w:r>
      <w:r w:rsidRPr="00A90F8A">
        <w:rPr>
          <w:rFonts w:asciiTheme="minorHAnsi" w:hAnsiTheme="minorHAnsi"/>
        </w:rPr>
        <w:t xml:space="preserve"> closing submission and then in response to Mr Morris’s submissions </w:t>
      </w:r>
      <w:r w:rsidR="007B739A">
        <w:rPr>
          <w:rFonts w:asciiTheme="minorHAnsi" w:hAnsiTheme="minorHAnsi"/>
        </w:rPr>
        <w:t>about</w:t>
      </w:r>
      <w:r w:rsidRPr="00A90F8A">
        <w:rPr>
          <w:rFonts w:asciiTheme="minorHAnsi" w:hAnsiTheme="minorHAnsi"/>
        </w:rPr>
        <w:t xml:space="preserve"> the ICP.  Neither Council made direct reference</w:t>
      </w:r>
      <w:r>
        <w:rPr>
          <w:rFonts w:asciiTheme="minorHAnsi" w:hAnsiTheme="minorHAnsi"/>
        </w:rPr>
        <w:t>.</w:t>
      </w:r>
    </w:p>
    <w:p w:rsidR="00AC2E38" w:rsidRDefault="00AC2E38" w:rsidP="00AC2E38">
      <w:pPr>
        <w:pStyle w:val="Heading4"/>
        <w:rPr>
          <w:rFonts w:asciiTheme="minorHAnsi" w:hAnsiTheme="minorHAnsi"/>
        </w:rPr>
      </w:pPr>
      <w:r w:rsidRPr="00A90F8A">
        <w:rPr>
          <w:rFonts w:asciiTheme="minorHAnsi" w:hAnsiTheme="minorHAnsi"/>
        </w:rPr>
        <w:lastRenderedPageBreak/>
        <w:t>Discussion</w:t>
      </w:r>
    </w:p>
    <w:p w:rsidR="007B739A" w:rsidRPr="00A90F8A" w:rsidRDefault="007B739A" w:rsidP="007B739A">
      <w:pPr>
        <w:pStyle w:val="PPVBody"/>
        <w:rPr>
          <w:rFonts w:asciiTheme="minorHAnsi" w:hAnsiTheme="minorHAnsi"/>
        </w:rPr>
      </w:pPr>
      <w:r>
        <w:rPr>
          <w:rFonts w:asciiTheme="minorHAnsi" w:hAnsiTheme="minorHAnsi"/>
        </w:rPr>
        <w:t>Infrastructure funding h</w:t>
      </w:r>
      <w:r w:rsidRPr="00A90F8A">
        <w:rPr>
          <w:rFonts w:asciiTheme="minorHAnsi" w:hAnsiTheme="minorHAnsi"/>
        </w:rPr>
        <w:t xml:space="preserve">as been a significant </w:t>
      </w:r>
      <w:r>
        <w:rPr>
          <w:rFonts w:asciiTheme="minorHAnsi" w:hAnsiTheme="minorHAnsi"/>
        </w:rPr>
        <w:t>issue</w:t>
      </w:r>
      <w:r w:rsidRPr="00A90F8A">
        <w:rPr>
          <w:rFonts w:asciiTheme="minorHAnsi" w:hAnsiTheme="minorHAnsi"/>
        </w:rPr>
        <w:t xml:space="preserve"> for the Review Panel.  It is clear that at least in the early stages the MAC had envisaged a high level infrastructure and funding plan being developed and released in tandem </w:t>
      </w:r>
      <w:r>
        <w:rPr>
          <w:rFonts w:asciiTheme="minorHAnsi" w:hAnsiTheme="minorHAnsi"/>
        </w:rPr>
        <w:t>with</w:t>
      </w:r>
      <w:r w:rsidRPr="00A90F8A">
        <w:rPr>
          <w:rFonts w:asciiTheme="minorHAnsi" w:hAnsiTheme="minorHAnsi"/>
        </w:rPr>
        <w:t xml:space="preserve"> the </w:t>
      </w:r>
      <w:r>
        <w:rPr>
          <w:rFonts w:asciiTheme="minorHAnsi" w:hAnsiTheme="minorHAnsi"/>
        </w:rPr>
        <w:t xml:space="preserve">draft </w:t>
      </w:r>
      <w:r w:rsidRPr="00A90F8A">
        <w:rPr>
          <w:rFonts w:asciiTheme="minorHAnsi" w:hAnsiTheme="minorHAnsi"/>
        </w:rPr>
        <w:t xml:space="preserve">Framework.  </w:t>
      </w:r>
      <w:r>
        <w:rPr>
          <w:rFonts w:asciiTheme="minorHAnsi" w:hAnsiTheme="minorHAnsi"/>
        </w:rPr>
        <w:t xml:space="preserve">The exhibition of an </w:t>
      </w:r>
      <w:r w:rsidRPr="00A90F8A">
        <w:rPr>
          <w:rFonts w:asciiTheme="minorHAnsi" w:hAnsiTheme="minorHAnsi"/>
        </w:rPr>
        <w:t xml:space="preserve">infrastructure and funding plan </w:t>
      </w:r>
      <w:r>
        <w:rPr>
          <w:rFonts w:asciiTheme="minorHAnsi" w:hAnsiTheme="minorHAnsi"/>
        </w:rPr>
        <w:t xml:space="preserve">with the draft Amendment would have been preferable, and </w:t>
      </w:r>
      <w:r w:rsidRPr="00A90F8A">
        <w:rPr>
          <w:rFonts w:asciiTheme="minorHAnsi" w:hAnsiTheme="minorHAnsi"/>
        </w:rPr>
        <w:t xml:space="preserve">it </w:t>
      </w:r>
      <w:r>
        <w:rPr>
          <w:rFonts w:asciiTheme="minorHAnsi" w:hAnsiTheme="minorHAnsi"/>
        </w:rPr>
        <w:t>c</w:t>
      </w:r>
      <w:r w:rsidRPr="00A90F8A">
        <w:rPr>
          <w:rFonts w:asciiTheme="minorHAnsi" w:hAnsiTheme="minorHAnsi"/>
        </w:rPr>
        <w:t xml:space="preserve">ould have taken a lot of </w:t>
      </w:r>
      <w:r>
        <w:rPr>
          <w:rFonts w:asciiTheme="minorHAnsi" w:hAnsiTheme="minorHAnsi"/>
        </w:rPr>
        <w:t>debate</w:t>
      </w:r>
      <w:r w:rsidRPr="00A90F8A">
        <w:rPr>
          <w:rFonts w:asciiTheme="minorHAnsi" w:hAnsiTheme="minorHAnsi"/>
        </w:rPr>
        <w:t xml:space="preserve"> out of this Hearing if there had been certainty around funding issues.</w:t>
      </w:r>
      <w:r>
        <w:rPr>
          <w:rFonts w:asciiTheme="minorHAnsi" w:hAnsiTheme="minorHAnsi"/>
        </w:rPr>
        <w:t xml:space="preserve">  Based on the indications of the likely costs of infrastructure in Fishermans Bend, indicated in material such as the Mesh reports produced by Port Phillip</w:t>
      </w:r>
      <w:r>
        <w:rPr>
          <w:rStyle w:val="FootnoteReference"/>
          <w:rFonts w:asciiTheme="minorHAnsi" w:hAnsiTheme="minorHAnsi"/>
        </w:rPr>
        <w:footnoteReference w:id="139"/>
      </w:r>
      <w:r>
        <w:rPr>
          <w:rFonts w:asciiTheme="minorHAnsi" w:hAnsiTheme="minorHAnsi"/>
        </w:rPr>
        <w:t>, the current DCP rate is likely to result in a funding shortfall.</w:t>
      </w:r>
    </w:p>
    <w:p w:rsidR="00785416" w:rsidRDefault="007B739A" w:rsidP="007B739A">
      <w:pPr>
        <w:pStyle w:val="PPVBody"/>
        <w:rPr>
          <w:rFonts w:asciiTheme="minorHAnsi" w:hAnsiTheme="minorHAnsi"/>
        </w:rPr>
      </w:pPr>
      <w:r w:rsidRPr="00A90F8A">
        <w:rPr>
          <w:rFonts w:asciiTheme="minorHAnsi" w:hAnsiTheme="minorHAnsi"/>
        </w:rPr>
        <w:t xml:space="preserve">The Review Panel was assured that work on </w:t>
      </w:r>
      <w:r>
        <w:rPr>
          <w:rFonts w:asciiTheme="minorHAnsi" w:hAnsiTheme="minorHAnsi"/>
        </w:rPr>
        <w:t xml:space="preserve">the infrastructure and funding plans </w:t>
      </w:r>
      <w:r w:rsidRPr="00A90F8A">
        <w:rPr>
          <w:rFonts w:asciiTheme="minorHAnsi" w:hAnsiTheme="minorHAnsi"/>
        </w:rPr>
        <w:t>is advancing.  However</w:t>
      </w:r>
      <w:r>
        <w:rPr>
          <w:rFonts w:asciiTheme="minorHAnsi" w:hAnsiTheme="minorHAnsi"/>
        </w:rPr>
        <w:t>,</w:t>
      </w:r>
      <w:r w:rsidRPr="00A90F8A">
        <w:rPr>
          <w:rFonts w:asciiTheme="minorHAnsi" w:hAnsiTheme="minorHAnsi"/>
        </w:rPr>
        <w:t xml:space="preserve"> it is not entirely surprising that the two have not been advanced together.  </w:t>
      </w:r>
      <w:r>
        <w:rPr>
          <w:rFonts w:asciiTheme="minorHAnsi" w:hAnsiTheme="minorHAnsi"/>
        </w:rPr>
        <w:t xml:space="preserve">In </w:t>
      </w:r>
      <w:r w:rsidRPr="00A90F8A">
        <w:rPr>
          <w:rFonts w:asciiTheme="minorHAnsi" w:hAnsiTheme="minorHAnsi"/>
        </w:rPr>
        <w:t xml:space="preserve">growth area </w:t>
      </w:r>
      <w:r>
        <w:rPr>
          <w:rFonts w:asciiTheme="minorHAnsi" w:hAnsiTheme="minorHAnsi"/>
        </w:rPr>
        <w:t>planning</w:t>
      </w:r>
      <w:r w:rsidRPr="00A90F8A">
        <w:rPr>
          <w:rFonts w:asciiTheme="minorHAnsi" w:hAnsiTheme="minorHAnsi"/>
        </w:rPr>
        <w:t xml:space="preserve">, </w:t>
      </w:r>
      <w:r>
        <w:rPr>
          <w:rFonts w:asciiTheme="minorHAnsi" w:hAnsiTheme="minorHAnsi"/>
        </w:rPr>
        <w:t>while it is usual for a Precinct Structure Plan</w:t>
      </w:r>
      <w:r w:rsidRPr="00A90F8A">
        <w:rPr>
          <w:rFonts w:asciiTheme="minorHAnsi" w:hAnsiTheme="minorHAnsi"/>
        </w:rPr>
        <w:t xml:space="preserve"> and a DCP to </w:t>
      </w:r>
      <w:r>
        <w:rPr>
          <w:rFonts w:asciiTheme="minorHAnsi" w:hAnsiTheme="minorHAnsi"/>
        </w:rPr>
        <w:t>be</w:t>
      </w:r>
      <w:r w:rsidRPr="00A90F8A">
        <w:rPr>
          <w:rFonts w:asciiTheme="minorHAnsi" w:hAnsiTheme="minorHAnsi"/>
        </w:rPr>
        <w:t xml:space="preserve"> exhibited together</w:t>
      </w:r>
      <w:r>
        <w:rPr>
          <w:rFonts w:asciiTheme="minorHAnsi" w:hAnsiTheme="minorHAnsi"/>
        </w:rPr>
        <w:t>,</w:t>
      </w:r>
      <w:r w:rsidRPr="00A90F8A">
        <w:rPr>
          <w:rFonts w:asciiTheme="minorHAnsi" w:hAnsiTheme="minorHAnsi"/>
        </w:rPr>
        <w:t xml:space="preserve"> it is not unknown for there to be a disconnect between </w:t>
      </w:r>
      <w:r>
        <w:rPr>
          <w:rFonts w:asciiTheme="minorHAnsi" w:hAnsiTheme="minorHAnsi"/>
        </w:rPr>
        <w:t>the two</w:t>
      </w:r>
      <w:r w:rsidRPr="00A90F8A">
        <w:rPr>
          <w:rFonts w:asciiTheme="minorHAnsi" w:hAnsiTheme="minorHAnsi"/>
        </w:rPr>
        <w:t>.</w:t>
      </w:r>
    </w:p>
    <w:p w:rsidR="007B739A" w:rsidRPr="00A90F8A" w:rsidRDefault="007B739A" w:rsidP="007B739A">
      <w:pPr>
        <w:pStyle w:val="PPVBody"/>
        <w:rPr>
          <w:rFonts w:asciiTheme="minorHAnsi" w:hAnsiTheme="minorHAnsi"/>
        </w:rPr>
      </w:pPr>
      <w:r w:rsidRPr="00A90F8A">
        <w:rPr>
          <w:rFonts w:asciiTheme="minorHAnsi" w:hAnsiTheme="minorHAnsi"/>
        </w:rPr>
        <w:t xml:space="preserve">The Review Panel understands Port Phillip’s concerns about there being no certainty about either the cost of infrastructure or who would be responsible for various infrastructure categories.  Councils have a responsibility to ensure that their ratepayers are not left with </w:t>
      </w:r>
      <w:r>
        <w:rPr>
          <w:rFonts w:asciiTheme="minorHAnsi" w:hAnsiTheme="minorHAnsi"/>
        </w:rPr>
        <w:t>unacceptable</w:t>
      </w:r>
      <w:r w:rsidRPr="00A90F8A">
        <w:rPr>
          <w:rFonts w:asciiTheme="minorHAnsi" w:hAnsiTheme="minorHAnsi"/>
        </w:rPr>
        <w:t xml:space="preserve"> burdens either as a result of directly funding infrastructure or debt servicing for its provision.</w:t>
      </w:r>
    </w:p>
    <w:p w:rsidR="007B739A" w:rsidRDefault="007B739A" w:rsidP="007B739A">
      <w:pPr>
        <w:pStyle w:val="PPVBody"/>
        <w:rPr>
          <w:rFonts w:asciiTheme="minorHAnsi" w:hAnsiTheme="minorHAnsi"/>
        </w:rPr>
      </w:pPr>
      <w:r>
        <w:rPr>
          <w:rFonts w:asciiTheme="minorHAnsi" w:hAnsiTheme="minorHAnsi"/>
        </w:rPr>
        <w:t xml:space="preserve">Provision of public transport infrastructure </w:t>
      </w:r>
      <w:r w:rsidRPr="00A90F8A">
        <w:rPr>
          <w:rFonts w:asciiTheme="minorHAnsi" w:hAnsiTheme="minorHAnsi"/>
        </w:rPr>
        <w:t xml:space="preserve">is </w:t>
      </w:r>
      <w:r>
        <w:rPr>
          <w:rFonts w:asciiTheme="minorHAnsi" w:hAnsiTheme="minorHAnsi"/>
        </w:rPr>
        <w:t>a State responsibility</w:t>
      </w:r>
      <w:r w:rsidRPr="00A90F8A">
        <w:rPr>
          <w:rFonts w:asciiTheme="minorHAnsi" w:hAnsiTheme="minorHAnsi"/>
        </w:rPr>
        <w:t>, subject to normal budget processes</w:t>
      </w:r>
      <w:r>
        <w:rPr>
          <w:rFonts w:asciiTheme="minorHAnsi" w:hAnsiTheme="minorHAnsi"/>
        </w:rPr>
        <w:t>.  The lack of a s</w:t>
      </w:r>
      <w:r w:rsidRPr="00A90F8A">
        <w:rPr>
          <w:rFonts w:asciiTheme="minorHAnsi" w:hAnsiTheme="minorHAnsi"/>
        </w:rPr>
        <w:t xml:space="preserve">pecific budget commitment </w:t>
      </w:r>
      <w:r>
        <w:rPr>
          <w:rFonts w:asciiTheme="minorHAnsi" w:hAnsiTheme="minorHAnsi"/>
        </w:rPr>
        <w:t xml:space="preserve">at this stage </w:t>
      </w:r>
      <w:r w:rsidRPr="00A90F8A">
        <w:rPr>
          <w:rFonts w:asciiTheme="minorHAnsi" w:hAnsiTheme="minorHAnsi"/>
        </w:rPr>
        <w:t>is not surprising given the five to ten year time frame proposed for provision</w:t>
      </w:r>
      <w:r>
        <w:rPr>
          <w:rFonts w:asciiTheme="minorHAnsi" w:hAnsiTheme="minorHAnsi"/>
        </w:rPr>
        <w:t xml:space="preserve"> of the trams (and the longer time frame proposed for the provision of the Metro extension).</w:t>
      </w:r>
    </w:p>
    <w:p w:rsidR="00785416" w:rsidRDefault="007B739A" w:rsidP="007B739A">
      <w:pPr>
        <w:pStyle w:val="PPVBody"/>
        <w:rPr>
          <w:rFonts w:asciiTheme="minorHAnsi" w:hAnsiTheme="minorHAnsi"/>
        </w:rPr>
      </w:pPr>
      <w:r w:rsidRPr="00A90F8A">
        <w:rPr>
          <w:rFonts w:asciiTheme="minorHAnsi" w:hAnsiTheme="minorHAnsi"/>
        </w:rPr>
        <w:t xml:space="preserve">While there is no infrastructure plan in place and no clear indication of who will be responsible for the costs of various infrastructure types, the Review Panel notes that </w:t>
      </w:r>
      <w:r>
        <w:rPr>
          <w:rFonts w:asciiTheme="minorHAnsi" w:hAnsiTheme="minorHAnsi"/>
        </w:rPr>
        <w:t xml:space="preserve">there </w:t>
      </w:r>
      <w:r w:rsidRPr="00A90F8A">
        <w:rPr>
          <w:rFonts w:asciiTheme="minorHAnsi" w:hAnsiTheme="minorHAnsi"/>
        </w:rPr>
        <w:t>are well</w:t>
      </w:r>
      <w:r>
        <w:rPr>
          <w:rFonts w:asciiTheme="minorHAnsi" w:hAnsiTheme="minorHAnsi"/>
        </w:rPr>
        <w:t>-</w:t>
      </w:r>
      <w:r w:rsidRPr="00A90F8A">
        <w:rPr>
          <w:rFonts w:asciiTheme="minorHAnsi" w:hAnsiTheme="minorHAnsi"/>
        </w:rPr>
        <w:t>established conventions for</w:t>
      </w:r>
      <w:r>
        <w:rPr>
          <w:rFonts w:asciiTheme="minorHAnsi" w:hAnsiTheme="minorHAnsi"/>
        </w:rPr>
        <w:t xml:space="preserve"> infrastructure funding.  T</w:t>
      </w:r>
      <w:r w:rsidRPr="00A90F8A">
        <w:rPr>
          <w:rFonts w:asciiTheme="minorHAnsi" w:hAnsiTheme="minorHAnsi"/>
        </w:rPr>
        <w:t>he debate i</w:t>
      </w:r>
      <w:r>
        <w:rPr>
          <w:rFonts w:asciiTheme="minorHAnsi" w:hAnsiTheme="minorHAnsi"/>
        </w:rPr>
        <w:t>s</w:t>
      </w:r>
      <w:r w:rsidRPr="00A90F8A">
        <w:rPr>
          <w:rFonts w:asciiTheme="minorHAnsi" w:hAnsiTheme="minorHAnsi"/>
        </w:rPr>
        <w:t xml:space="preserve"> likely to be </w:t>
      </w:r>
      <w:r>
        <w:rPr>
          <w:rFonts w:asciiTheme="minorHAnsi" w:hAnsiTheme="minorHAnsi"/>
        </w:rPr>
        <w:t>on a limited number of nevertheless significant issues.</w:t>
      </w:r>
    </w:p>
    <w:p w:rsidR="007B739A" w:rsidRDefault="007B739A" w:rsidP="007B739A">
      <w:pPr>
        <w:pStyle w:val="PPVBody"/>
        <w:rPr>
          <w:rFonts w:asciiTheme="minorHAnsi" w:hAnsiTheme="minorHAnsi"/>
        </w:rPr>
      </w:pPr>
      <w:r w:rsidRPr="00A90F8A">
        <w:rPr>
          <w:rFonts w:asciiTheme="minorHAnsi" w:hAnsiTheme="minorHAnsi"/>
        </w:rPr>
        <w:t xml:space="preserve">The Review Panel is a little surprised at the lack of reference </w:t>
      </w:r>
      <w:r>
        <w:rPr>
          <w:rFonts w:asciiTheme="minorHAnsi" w:hAnsiTheme="minorHAnsi"/>
        </w:rPr>
        <w:t xml:space="preserve">in the draft Framework </w:t>
      </w:r>
      <w:r w:rsidRPr="00A90F8A">
        <w:rPr>
          <w:rFonts w:asciiTheme="minorHAnsi" w:hAnsiTheme="minorHAnsi"/>
        </w:rPr>
        <w:t xml:space="preserve">to </w:t>
      </w:r>
      <w:r w:rsidRPr="002D1D6D">
        <w:rPr>
          <w:rFonts w:asciiTheme="minorHAnsi" w:hAnsiTheme="minorHAnsi"/>
          <w:i/>
        </w:rPr>
        <w:t>Victoria’s</w:t>
      </w:r>
      <w:r w:rsidRPr="00A90F8A">
        <w:rPr>
          <w:rFonts w:asciiTheme="minorHAnsi" w:hAnsiTheme="minorHAnsi"/>
          <w:i/>
        </w:rPr>
        <w:t xml:space="preserve"> Value Creation and Capture Framework</w:t>
      </w:r>
      <w:r w:rsidRPr="00A90F8A">
        <w:rPr>
          <w:rFonts w:asciiTheme="minorHAnsi" w:hAnsiTheme="minorHAnsi"/>
        </w:rPr>
        <w:t xml:space="preserve">.  The Review Panel agrees with the MAC that Fishermans Bend would seem to be an ideal project for exploring the use of the new framework.  In making this comment the Review Panel is aware that mechanisms such as </w:t>
      </w:r>
      <w:r>
        <w:rPr>
          <w:rFonts w:asciiTheme="minorHAnsi" w:hAnsiTheme="minorHAnsi"/>
        </w:rPr>
        <w:t>using</w:t>
      </w:r>
      <w:r w:rsidRPr="00A90F8A">
        <w:rPr>
          <w:rFonts w:asciiTheme="minorHAnsi" w:hAnsiTheme="minorHAnsi"/>
        </w:rPr>
        <w:t xml:space="preserve"> the FAU to provide social housing could fall under the value capture umbrella</w:t>
      </w:r>
      <w:r>
        <w:rPr>
          <w:rFonts w:asciiTheme="minorHAnsi" w:hAnsiTheme="minorHAnsi"/>
        </w:rPr>
        <w:t xml:space="preserve"> to a small degree</w:t>
      </w:r>
      <w:r w:rsidRPr="00A90F8A">
        <w:rPr>
          <w:rFonts w:asciiTheme="minorHAnsi" w:hAnsiTheme="minorHAnsi"/>
        </w:rPr>
        <w:t>.</w:t>
      </w:r>
    </w:p>
    <w:p w:rsidR="00785416" w:rsidRDefault="007B739A" w:rsidP="007B739A">
      <w:pPr>
        <w:pStyle w:val="PPVBody"/>
        <w:rPr>
          <w:rFonts w:asciiTheme="minorHAnsi" w:hAnsiTheme="minorHAnsi"/>
        </w:rPr>
      </w:pPr>
      <w:r w:rsidRPr="00A90F8A">
        <w:rPr>
          <w:rFonts w:asciiTheme="minorHAnsi" w:hAnsiTheme="minorHAnsi"/>
        </w:rPr>
        <w:t>The Review Panel is aware that value capture has been used in a number of overseas jurisdictions</w:t>
      </w:r>
      <w:r>
        <w:rPr>
          <w:rFonts w:asciiTheme="minorHAnsi" w:hAnsiTheme="minorHAnsi"/>
        </w:rPr>
        <w:t xml:space="preserve"> and </w:t>
      </w:r>
      <w:r w:rsidRPr="00A90F8A">
        <w:rPr>
          <w:rFonts w:asciiTheme="minorHAnsi" w:hAnsiTheme="minorHAnsi"/>
        </w:rPr>
        <w:t>sometimes account</w:t>
      </w:r>
      <w:r>
        <w:rPr>
          <w:rFonts w:asciiTheme="minorHAnsi" w:hAnsiTheme="minorHAnsi"/>
        </w:rPr>
        <w:t>s</w:t>
      </w:r>
      <w:r w:rsidRPr="00A90F8A">
        <w:rPr>
          <w:rFonts w:asciiTheme="minorHAnsi" w:hAnsiTheme="minorHAnsi"/>
        </w:rPr>
        <w:t xml:space="preserve"> for significant parts of the infrastructure</w:t>
      </w:r>
      <w:r>
        <w:rPr>
          <w:rFonts w:asciiTheme="minorHAnsi" w:hAnsiTheme="minorHAnsi"/>
        </w:rPr>
        <w:t xml:space="preserve"> cost</w:t>
      </w:r>
      <w:r w:rsidRPr="00A90F8A">
        <w:rPr>
          <w:rFonts w:asciiTheme="minorHAnsi" w:hAnsiTheme="minorHAnsi"/>
        </w:rPr>
        <w:t>.</w:t>
      </w:r>
      <w:r>
        <w:rPr>
          <w:rFonts w:asciiTheme="minorHAnsi" w:hAnsiTheme="minorHAnsi"/>
        </w:rPr>
        <w:t xml:space="preserve">  </w:t>
      </w:r>
      <w:r w:rsidRPr="00A90F8A">
        <w:rPr>
          <w:rFonts w:asciiTheme="minorHAnsi" w:hAnsiTheme="minorHAnsi"/>
        </w:rPr>
        <w:t>Well know</w:t>
      </w:r>
      <w:r>
        <w:rPr>
          <w:rFonts w:asciiTheme="minorHAnsi" w:hAnsiTheme="minorHAnsi"/>
        </w:rPr>
        <w:t>n examples include Hong Kong’s M</w:t>
      </w:r>
      <w:r w:rsidRPr="00A90F8A">
        <w:rPr>
          <w:rFonts w:asciiTheme="minorHAnsi" w:hAnsiTheme="minorHAnsi"/>
        </w:rPr>
        <w:t>etro</w:t>
      </w:r>
      <w:r>
        <w:rPr>
          <w:rFonts w:asciiTheme="minorHAnsi" w:hAnsiTheme="minorHAnsi"/>
        </w:rPr>
        <w:t>,</w:t>
      </w:r>
      <w:r w:rsidRPr="00A90F8A">
        <w:rPr>
          <w:rFonts w:asciiTheme="minorHAnsi" w:hAnsiTheme="minorHAnsi"/>
        </w:rPr>
        <w:t xml:space="preserve"> and CrossRail 1 in London</w:t>
      </w:r>
      <w:r>
        <w:rPr>
          <w:rFonts w:asciiTheme="minorHAnsi" w:hAnsiTheme="minorHAnsi"/>
        </w:rPr>
        <w:t>,</w:t>
      </w:r>
      <w:r w:rsidRPr="00A90F8A">
        <w:rPr>
          <w:rFonts w:asciiTheme="minorHAnsi" w:hAnsiTheme="minorHAnsi"/>
        </w:rPr>
        <w:t xml:space="preserve"> where all development within a set distance of the new stations is charged a levy on the redevelopment of the site in order to capture part of the uplift in value that has occurred because of proximity to the new station.</w:t>
      </w:r>
    </w:p>
    <w:p w:rsidR="007B739A" w:rsidRPr="00A90F8A" w:rsidRDefault="007B739A" w:rsidP="007B739A">
      <w:pPr>
        <w:pStyle w:val="PPVBody"/>
        <w:rPr>
          <w:rFonts w:asciiTheme="minorHAnsi" w:hAnsiTheme="minorHAnsi"/>
        </w:rPr>
      </w:pPr>
      <w:r w:rsidRPr="00C47149">
        <w:rPr>
          <w:rFonts w:asciiTheme="minorHAnsi" w:hAnsiTheme="minorHAnsi"/>
        </w:rPr>
        <w:t xml:space="preserve">The Review Panel </w:t>
      </w:r>
      <w:r>
        <w:rPr>
          <w:rFonts w:asciiTheme="minorHAnsi" w:hAnsiTheme="minorHAnsi"/>
        </w:rPr>
        <w:t>notes</w:t>
      </w:r>
      <w:r w:rsidRPr="00C47149">
        <w:rPr>
          <w:rFonts w:asciiTheme="minorHAnsi" w:hAnsiTheme="minorHAnsi"/>
        </w:rPr>
        <w:t xml:space="preserve"> the </w:t>
      </w:r>
      <w:r>
        <w:rPr>
          <w:rFonts w:asciiTheme="minorHAnsi" w:hAnsiTheme="minorHAnsi"/>
        </w:rPr>
        <w:t xml:space="preserve">Victorian Planning Authority </w:t>
      </w:r>
      <w:r w:rsidRPr="00C47149">
        <w:rPr>
          <w:rFonts w:asciiTheme="minorHAnsi" w:hAnsiTheme="minorHAnsi"/>
        </w:rPr>
        <w:t xml:space="preserve">is the collecting agency for interim </w:t>
      </w:r>
      <w:r>
        <w:rPr>
          <w:rFonts w:asciiTheme="minorHAnsi" w:hAnsiTheme="minorHAnsi"/>
        </w:rPr>
        <w:t xml:space="preserve">developer </w:t>
      </w:r>
      <w:r w:rsidRPr="00C47149">
        <w:rPr>
          <w:rFonts w:asciiTheme="minorHAnsi" w:hAnsiTheme="minorHAnsi"/>
        </w:rPr>
        <w:t xml:space="preserve">contributions.  This appears to be an historical anachronism and based on little current logic.  This should be reconsidered and the collecting agency be </w:t>
      </w:r>
      <w:r>
        <w:rPr>
          <w:rFonts w:asciiTheme="minorHAnsi" w:hAnsiTheme="minorHAnsi"/>
        </w:rPr>
        <w:t>one</w:t>
      </w:r>
      <w:r w:rsidRPr="00C47149">
        <w:rPr>
          <w:rFonts w:asciiTheme="minorHAnsi" w:hAnsiTheme="minorHAnsi"/>
        </w:rPr>
        <w:t xml:space="preserve"> with some </w:t>
      </w:r>
      <w:r w:rsidRPr="00C47149">
        <w:rPr>
          <w:rFonts w:asciiTheme="minorHAnsi" w:hAnsiTheme="minorHAnsi"/>
        </w:rPr>
        <w:lastRenderedPageBreak/>
        <w:t>responsibility for planning and development in Fishermans Bend.  This is likely dependent o</w:t>
      </w:r>
      <w:r>
        <w:rPr>
          <w:rFonts w:asciiTheme="minorHAnsi" w:hAnsiTheme="minorHAnsi"/>
        </w:rPr>
        <w:t>n</w:t>
      </w:r>
      <w:r w:rsidRPr="00C47149">
        <w:rPr>
          <w:rFonts w:asciiTheme="minorHAnsi" w:hAnsiTheme="minorHAnsi"/>
        </w:rPr>
        <w:t xml:space="preserve"> proposed governance arrangements</w:t>
      </w:r>
      <w:r>
        <w:rPr>
          <w:rFonts w:asciiTheme="minorHAnsi" w:hAnsiTheme="minorHAnsi"/>
        </w:rPr>
        <w:t xml:space="preserve"> which are implemented.</w:t>
      </w:r>
    </w:p>
    <w:p w:rsidR="007B739A" w:rsidRPr="00A90F8A" w:rsidRDefault="007B739A" w:rsidP="007B739A">
      <w:pPr>
        <w:pStyle w:val="Heading4"/>
        <w:rPr>
          <w:rFonts w:asciiTheme="minorHAnsi" w:hAnsiTheme="minorHAnsi"/>
        </w:rPr>
      </w:pPr>
      <w:r w:rsidRPr="00A90F8A">
        <w:rPr>
          <w:rFonts w:asciiTheme="minorHAnsi" w:hAnsiTheme="minorHAnsi"/>
        </w:rPr>
        <w:t>Findings</w:t>
      </w:r>
    </w:p>
    <w:p w:rsidR="007B739A" w:rsidRDefault="007B739A" w:rsidP="007B739A">
      <w:pPr>
        <w:pStyle w:val="PPVBody"/>
        <w:rPr>
          <w:rFonts w:asciiTheme="minorHAnsi" w:hAnsiTheme="minorHAnsi"/>
        </w:rPr>
      </w:pPr>
      <w:r>
        <w:rPr>
          <w:rFonts w:asciiTheme="minorHAnsi" w:hAnsiTheme="minorHAnsi"/>
        </w:rPr>
        <w:t>The Panel finds:</w:t>
      </w:r>
    </w:p>
    <w:p w:rsidR="007B739A" w:rsidRPr="00C47149" w:rsidRDefault="00A448F3" w:rsidP="007B739A">
      <w:pPr>
        <w:pStyle w:val="PPVBullet1"/>
      </w:pPr>
      <w:r>
        <w:t xml:space="preserve">There </w:t>
      </w:r>
      <w:r w:rsidR="007B739A">
        <w:t xml:space="preserve">is a well acknowledged need for an </w:t>
      </w:r>
      <w:r w:rsidR="00827876">
        <w:t>I</w:t>
      </w:r>
      <w:r w:rsidR="007B739A">
        <w:t xml:space="preserve">nfrastructure </w:t>
      </w:r>
      <w:r w:rsidR="00827876">
        <w:t>F</w:t>
      </w:r>
      <w:r w:rsidR="007B739A">
        <w:t xml:space="preserve">unding </w:t>
      </w:r>
      <w:r w:rsidR="00827876">
        <w:t>P</w:t>
      </w:r>
      <w:r w:rsidR="007B739A">
        <w:t xml:space="preserve">lan to be </w:t>
      </w:r>
      <w:r w:rsidR="007B739A" w:rsidRPr="00C47149">
        <w:t>developed and released</w:t>
      </w:r>
      <w:r w:rsidR="007B739A">
        <w:t xml:space="preserve">, preferably together with the </w:t>
      </w:r>
      <w:r w:rsidR="00FC563B">
        <w:t>Precinct Plans</w:t>
      </w:r>
      <w:r w:rsidR="007B739A">
        <w:t>.  This should be progressed as a priority, particularly if it is the case that the interim developer contribution rates are likely to result in a funding shortfall.</w:t>
      </w:r>
    </w:p>
    <w:p w:rsidR="007B739A" w:rsidRDefault="007B739A" w:rsidP="007B739A">
      <w:pPr>
        <w:pStyle w:val="Heading2"/>
      </w:pPr>
      <w:bookmarkStart w:id="493" w:name="_Toc519710315"/>
      <w:bookmarkStart w:id="494" w:name="_Toc519766875"/>
      <w:r>
        <w:t>The use of floor area ratio to deliver infrastructure</w:t>
      </w:r>
      <w:bookmarkEnd w:id="493"/>
      <w:bookmarkEnd w:id="494"/>
    </w:p>
    <w:p w:rsidR="007B739A" w:rsidRDefault="007B739A" w:rsidP="007B739A">
      <w:pPr>
        <w:pStyle w:val="Heading4"/>
      </w:pPr>
      <w:r>
        <w:t>Context</w:t>
      </w:r>
    </w:p>
    <w:p w:rsidR="00785416" w:rsidRDefault="007B739A" w:rsidP="007B739A">
      <w:pPr>
        <w:pStyle w:val="PPVBody"/>
        <w:rPr>
          <w:rFonts w:asciiTheme="minorHAnsi" w:hAnsiTheme="minorHAnsi"/>
        </w:rPr>
      </w:pPr>
      <w:r>
        <w:rPr>
          <w:rFonts w:asciiTheme="minorHAnsi" w:hAnsiTheme="minorHAnsi"/>
        </w:rPr>
        <w:t xml:space="preserve">In the exhibited version of the controls, streets, roads and laneways and </w:t>
      </w:r>
      <w:r w:rsidRPr="00A90F8A">
        <w:rPr>
          <w:rFonts w:asciiTheme="minorHAnsi" w:hAnsiTheme="minorHAnsi"/>
        </w:rPr>
        <w:t>open space</w:t>
      </w:r>
      <w:r>
        <w:rPr>
          <w:rFonts w:asciiTheme="minorHAnsi" w:hAnsiTheme="minorHAnsi"/>
        </w:rPr>
        <w:t xml:space="preserve"> were required to be transferred to the relevant authority at no cost pursuant to provisions in the CCZ Schedule.  The Minister initially submitted that this was a fair and equitable mechanism for delivering infrastructure in Fishermans Bend, because the affected landowners were still able to develop their full FAR entitlement on the balance of their land</w:t>
      </w:r>
      <w:r w:rsidRPr="00A90F8A">
        <w:rPr>
          <w:rFonts w:asciiTheme="minorHAnsi" w:hAnsiTheme="minorHAnsi"/>
        </w:rPr>
        <w:t>.</w:t>
      </w:r>
    </w:p>
    <w:p w:rsidR="00785416" w:rsidRDefault="007B739A" w:rsidP="007B739A">
      <w:pPr>
        <w:pStyle w:val="PPVBody"/>
        <w:rPr>
          <w:rFonts w:asciiTheme="minorHAnsi" w:hAnsiTheme="minorHAnsi"/>
        </w:rPr>
      </w:pPr>
      <w:r>
        <w:rPr>
          <w:rFonts w:asciiTheme="minorHAnsi" w:hAnsiTheme="minorHAnsi"/>
        </w:rPr>
        <w:t xml:space="preserve">As described in </w:t>
      </w:r>
      <w:r w:rsidRPr="008F042D">
        <w:t>Chapter 1.6(vi),</w:t>
      </w:r>
      <w:r>
        <w:t xml:space="preserve"> this was one of the most controversial aspects of the draft Amendment, and was strongly opposed by landowners.  </w:t>
      </w:r>
      <w:r>
        <w:rPr>
          <w:rFonts w:asciiTheme="minorHAnsi" w:hAnsiTheme="minorHAnsi"/>
        </w:rPr>
        <w:t>Under the Part C controls,</w:t>
      </w:r>
      <w:r>
        <w:t xml:space="preserve"> FAR was abandoned as a delivery mechanism for infrastructure.  Instead, the Minister proposes that land required for public purposes will </w:t>
      </w:r>
      <w:r>
        <w:rPr>
          <w:rFonts w:asciiTheme="minorHAnsi" w:hAnsiTheme="minorHAnsi"/>
        </w:rPr>
        <w:t xml:space="preserve">acquired and </w:t>
      </w:r>
      <w:r w:rsidRPr="00A90F8A">
        <w:rPr>
          <w:rFonts w:asciiTheme="minorHAnsi" w:hAnsiTheme="minorHAnsi"/>
        </w:rPr>
        <w:t xml:space="preserve">funded through </w:t>
      </w:r>
      <w:r>
        <w:rPr>
          <w:rFonts w:asciiTheme="minorHAnsi" w:hAnsiTheme="minorHAnsi"/>
        </w:rPr>
        <w:t xml:space="preserve">public land contributions made under </w:t>
      </w:r>
      <w:r w:rsidRPr="00A90F8A">
        <w:rPr>
          <w:rFonts w:asciiTheme="minorHAnsi" w:hAnsiTheme="minorHAnsi"/>
        </w:rPr>
        <w:t>a future I</w:t>
      </w:r>
      <w:r>
        <w:rPr>
          <w:rFonts w:asciiTheme="minorHAnsi" w:hAnsiTheme="minorHAnsi"/>
        </w:rPr>
        <w:t>CP</w:t>
      </w:r>
      <w:r w:rsidRPr="00A90F8A">
        <w:rPr>
          <w:rFonts w:asciiTheme="minorHAnsi" w:hAnsiTheme="minorHAnsi"/>
        </w:rPr>
        <w:t>.</w:t>
      </w:r>
    </w:p>
    <w:p w:rsidR="007B739A" w:rsidRDefault="007B739A" w:rsidP="007B739A">
      <w:pPr>
        <w:pStyle w:val="Heading4"/>
      </w:pPr>
      <w:r>
        <w:t>Submissions and evidence</w:t>
      </w:r>
    </w:p>
    <w:p w:rsidR="00785416" w:rsidRDefault="007B739A" w:rsidP="007B739A">
      <w:pPr>
        <w:pStyle w:val="PPVBody"/>
        <w:rPr>
          <w:rFonts w:asciiTheme="minorHAnsi" w:hAnsiTheme="minorHAnsi"/>
        </w:rPr>
      </w:pPr>
      <w:r>
        <w:rPr>
          <w:rFonts w:asciiTheme="minorHAnsi" w:hAnsiTheme="minorHAnsi"/>
        </w:rPr>
        <w:t xml:space="preserve">The MAC Report </w:t>
      </w:r>
      <w:r w:rsidRPr="0059220C">
        <w:rPr>
          <w:rFonts w:asciiTheme="minorHAnsi" w:hAnsiTheme="minorHAnsi"/>
        </w:rPr>
        <w:t>No. 2 referred</w:t>
      </w:r>
      <w:r w:rsidRPr="00A90F8A">
        <w:rPr>
          <w:rFonts w:asciiTheme="minorHAnsi" w:hAnsiTheme="minorHAnsi"/>
        </w:rPr>
        <w:t xml:space="preserve"> to the use of the FAR mechanism to set aside land for public purposes</w:t>
      </w:r>
      <w:r w:rsidRPr="00056378">
        <w:rPr>
          <w:rFonts w:asciiTheme="minorHAnsi" w:hAnsiTheme="minorHAnsi"/>
        </w:rPr>
        <w:t xml:space="preserve"> </w:t>
      </w:r>
      <w:r>
        <w:rPr>
          <w:rFonts w:asciiTheme="minorHAnsi" w:hAnsiTheme="minorHAnsi"/>
        </w:rPr>
        <w:t>as a</w:t>
      </w:r>
      <w:r w:rsidRPr="00A90F8A">
        <w:rPr>
          <w:rFonts w:asciiTheme="minorHAnsi" w:hAnsiTheme="minorHAnsi"/>
        </w:rPr>
        <w:t xml:space="preserve">n </w:t>
      </w:r>
      <w:r>
        <w:rPr>
          <w:rFonts w:asciiTheme="minorHAnsi" w:hAnsiTheme="minorHAnsi"/>
        </w:rPr>
        <w:t>“</w:t>
      </w:r>
      <w:r w:rsidRPr="0072174A">
        <w:rPr>
          <w:rFonts w:asciiTheme="minorHAnsi" w:hAnsiTheme="minorHAnsi"/>
          <w:i/>
        </w:rPr>
        <w:t>innovative approach</w:t>
      </w:r>
      <w:r>
        <w:rPr>
          <w:rFonts w:asciiTheme="minorHAnsi" w:hAnsiTheme="minorHAnsi"/>
        </w:rPr>
        <w:t>”</w:t>
      </w:r>
      <w:r w:rsidRPr="00A90F8A">
        <w:rPr>
          <w:rFonts w:asciiTheme="minorHAnsi" w:hAnsiTheme="minorHAnsi"/>
        </w:rPr>
        <w:t>.</w:t>
      </w:r>
      <w:r>
        <w:rPr>
          <w:rFonts w:asciiTheme="minorHAnsi" w:hAnsiTheme="minorHAnsi"/>
        </w:rPr>
        <w:t xml:space="preserve">  </w:t>
      </w:r>
      <w:r w:rsidRPr="00A90F8A">
        <w:rPr>
          <w:rFonts w:asciiTheme="minorHAnsi" w:hAnsiTheme="minorHAnsi"/>
        </w:rPr>
        <w:t xml:space="preserve">Melbourne submitted that it was not opposed to </w:t>
      </w:r>
      <w:r>
        <w:rPr>
          <w:rFonts w:asciiTheme="minorHAnsi" w:hAnsiTheme="minorHAnsi"/>
        </w:rPr>
        <w:t>using</w:t>
      </w:r>
      <w:r w:rsidRPr="00A90F8A">
        <w:rPr>
          <w:rFonts w:asciiTheme="minorHAnsi" w:hAnsiTheme="minorHAnsi"/>
        </w:rPr>
        <w:t xml:space="preserve"> the </w:t>
      </w:r>
      <w:r>
        <w:rPr>
          <w:rFonts w:asciiTheme="minorHAnsi" w:hAnsiTheme="minorHAnsi"/>
        </w:rPr>
        <w:t>FAR mechanism,</w:t>
      </w:r>
      <w:r w:rsidRPr="00A90F8A">
        <w:rPr>
          <w:rFonts w:asciiTheme="minorHAnsi" w:hAnsiTheme="minorHAnsi"/>
        </w:rPr>
        <w:t xml:space="preserve"> as long as it provided a high degree of certainty, was transparent for all stakeholders and was equitable.</w:t>
      </w:r>
      <w:r>
        <w:rPr>
          <w:rFonts w:asciiTheme="minorHAnsi" w:hAnsiTheme="minorHAnsi"/>
        </w:rPr>
        <w:t xml:space="preserve">  Port Phillip </w:t>
      </w:r>
      <w:r w:rsidRPr="00A90F8A">
        <w:rPr>
          <w:rFonts w:asciiTheme="minorHAnsi" w:hAnsiTheme="minorHAnsi"/>
        </w:rPr>
        <w:t>congratulated the Minister f</w:t>
      </w:r>
      <w:r>
        <w:rPr>
          <w:rFonts w:asciiTheme="minorHAnsi" w:hAnsiTheme="minorHAnsi"/>
        </w:rPr>
        <w:t xml:space="preserve">or </w:t>
      </w:r>
      <w:r w:rsidRPr="0059220C">
        <w:rPr>
          <w:rFonts w:asciiTheme="minorHAnsi" w:hAnsiTheme="minorHAnsi"/>
          <w:i/>
        </w:rPr>
        <w:t>“thinking outside the square</w:t>
      </w:r>
      <w:r>
        <w:rPr>
          <w:rFonts w:asciiTheme="minorHAnsi" w:hAnsiTheme="minorHAnsi"/>
        </w:rPr>
        <w:t>”</w:t>
      </w:r>
      <w:r w:rsidRPr="00A90F8A">
        <w:rPr>
          <w:rFonts w:asciiTheme="minorHAnsi" w:hAnsiTheme="minorHAnsi"/>
        </w:rPr>
        <w:t xml:space="preserve"> with respect to </w:t>
      </w:r>
      <w:r>
        <w:rPr>
          <w:rFonts w:asciiTheme="minorHAnsi" w:hAnsiTheme="minorHAnsi"/>
        </w:rPr>
        <w:t>his</w:t>
      </w:r>
      <w:r w:rsidRPr="00A90F8A">
        <w:rPr>
          <w:rFonts w:asciiTheme="minorHAnsi" w:hAnsiTheme="minorHAnsi"/>
        </w:rPr>
        <w:t xml:space="preserve"> innovative approach.</w:t>
      </w:r>
    </w:p>
    <w:p w:rsidR="007B739A" w:rsidRPr="00921EFF" w:rsidRDefault="007B739A" w:rsidP="007B739A">
      <w:pPr>
        <w:pStyle w:val="PPVBody"/>
        <w:rPr>
          <w:rFonts w:asciiTheme="minorHAnsi" w:hAnsiTheme="minorHAnsi"/>
        </w:rPr>
      </w:pPr>
      <w:r w:rsidRPr="00A90F8A">
        <w:rPr>
          <w:rFonts w:asciiTheme="minorHAnsi" w:hAnsiTheme="minorHAnsi"/>
        </w:rPr>
        <w:t xml:space="preserve">A number of </w:t>
      </w:r>
      <w:r>
        <w:rPr>
          <w:rFonts w:asciiTheme="minorHAnsi" w:hAnsiTheme="minorHAnsi"/>
        </w:rPr>
        <w:t xml:space="preserve">landowners </w:t>
      </w:r>
      <w:r w:rsidRPr="00A90F8A">
        <w:rPr>
          <w:rFonts w:asciiTheme="minorHAnsi" w:hAnsiTheme="minorHAnsi"/>
        </w:rPr>
        <w:t xml:space="preserve">and </w:t>
      </w:r>
      <w:r>
        <w:rPr>
          <w:rFonts w:asciiTheme="minorHAnsi" w:hAnsiTheme="minorHAnsi"/>
        </w:rPr>
        <w:t xml:space="preserve">their </w:t>
      </w:r>
      <w:r w:rsidRPr="00A90F8A">
        <w:rPr>
          <w:rFonts w:asciiTheme="minorHAnsi" w:hAnsiTheme="minorHAnsi"/>
        </w:rPr>
        <w:t xml:space="preserve">expert witnesses were critical of the use of the FAR mechanism </w:t>
      </w:r>
      <w:r w:rsidRPr="0059220C">
        <w:rPr>
          <w:rFonts w:asciiTheme="minorHAnsi" w:hAnsiTheme="minorHAnsi"/>
        </w:rPr>
        <w:t xml:space="preserve">to set aside land for public infrastructure.  Their </w:t>
      </w:r>
      <w:r>
        <w:rPr>
          <w:rFonts w:asciiTheme="minorHAnsi" w:hAnsiTheme="minorHAnsi"/>
        </w:rPr>
        <w:t xml:space="preserve">positions </w:t>
      </w:r>
      <w:r w:rsidRPr="0059220C">
        <w:rPr>
          <w:rFonts w:asciiTheme="minorHAnsi" w:hAnsiTheme="minorHAnsi"/>
        </w:rPr>
        <w:t xml:space="preserve">are set out in summary form in </w:t>
      </w:r>
      <w:r w:rsidRPr="0059220C">
        <w:t>Chapter 1.6(vi)</w:t>
      </w:r>
      <w:r w:rsidRPr="0059220C">
        <w:rPr>
          <w:rFonts w:asciiTheme="minorHAnsi" w:hAnsiTheme="minorHAnsi"/>
        </w:rPr>
        <w:t>.</w:t>
      </w:r>
    </w:p>
    <w:p w:rsidR="00785416" w:rsidRDefault="007B739A" w:rsidP="007B739A">
      <w:pPr>
        <w:pStyle w:val="PPVBody"/>
        <w:rPr>
          <w:rFonts w:asciiTheme="minorHAnsi" w:hAnsiTheme="minorHAnsi"/>
        </w:rPr>
      </w:pPr>
      <w:r w:rsidRPr="00921EFF">
        <w:rPr>
          <w:rFonts w:asciiTheme="minorHAnsi" w:hAnsiTheme="minorHAnsi"/>
        </w:rPr>
        <w:t xml:space="preserve">Mr Tweedie pursued the issue of equity in cross examination of Ms Hodyl, seeking to demonstrate that a landowner forced to set aside land for public purposes would suffer disadvantage.  If </w:t>
      </w:r>
      <w:r>
        <w:rPr>
          <w:rFonts w:asciiTheme="minorHAnsi" w:hAnsiTheme="minorHAnsi"/>
        </w:rPr>
        <w:t>the</w:t>
      </w:r>
      <w:r w:rsidRPr="00921EFF">
        <w:rPr>
          <w:rFonts w:asciiTheme="minorHAnsi" w:hAnsiTheme="minorHAnsi"/>
        </w:rPr>
        <w:t xml:space="preserve"> land was retained by the developer it could be used for purposes such as communal space which would in turn increase the value of development on the total site.</w:t>
      </w:r>
    </w:p>
    <w:p w:rsidR="007B739A" w:rsidRPr="00921EFF" w:rsidRDefault="007B739A" w:rsidP="007B739A">
      <w:pPr>
        <w:pStyle w:val="PPVBody"/>
        <w:rPr>
          <w:rFonts w:asciiTheme="minorHAnsi" w:hAnsiTheme="minorHAnsi"/>
        </w:rPr>
      </w:pPr>
      <w:r>
        <w:rPr>
          <w:rFonts w:asciiTheme="minorHAnsi" w:hAnsiTheme="minorHAnsi"/>
        </w:rPr>
        <w:t xml:space="preserve">Several experts questioned the equity and fairness of the FAR mechanism.  </w:t>
      </w:r>
      <w:r w:rsidRPr="00921EFF">
        <w:rPr>
          <w:rFonts w:asciiTheme="minorHAnsi" w:hAnsiTheme="minorHAnsi"/>
        </w:rPr>
        <w:t>Mr Milner</w:t>
      </w:r>
      <w:r>
        <w:rPr>
          <w:rFonts w:asciiTheme="minorHAnsi" w:hAnsiTheme="minorHAnsi"/>
        </w:rPr>
        <w:t xml:space="preserve"> </w:t>
      </w:r>
      <w:r w:rsidRPr="00921EFF">
        <w:rPr>
          <w:rFonts w:asciiTheme="minorHAnsi" w:hAnsiTheme="minorHAnsi"/>
        </w:rPr>
        <w:t>stated that the proposal could impact on the size, shape and configuration of the remnant land remaining for development.  Mr McGurn stated that it is inequitable that some landowners will be affected by the requirement to dedicate land for public purposes and others will not.</w:t>
      </w:r>
    </w:p>
    <w:p w:rsidR="007B739A" w:rsidRDefault="007B739A" w:rsidP="007B739A">
      <w:pPr>
        <w:pStyle w:val="PPVBody"/>
        <w:rPr>
          <w:rFonts w:asciiTheme="minorHAnsi" w:hAnsiTheme="minorHAnsi"/>
        </w:rPr>
      </w:pPr>
      <w:r>
        <w:rPr>
          <w:rFonts w:asciiTheme="minorHAnsi" w:hAnsiTheme="minorHAnsi"/>
        </w:rPr>
        <w:t xml:space="preserve">Landowners, led by </w:t>
      </w:r>
      <w:r w:rsidRPr="00921EFF">
        <w:rPr>
          <w:rFonts w:asciiTheme="minorHAnsi" w:hAnsiTheme="minorHAnsi"/>
        </w:rPr>
        <w:t>Mr Tweedie</w:t>
      </w:r>
      <w:r>
        <w:rPr>
          <w:rFonts w:asciiTheme="minorHAnsi" w:hAnsiTheme="minorHAnsi"/>
        </w:rPr>
        <w:t>,</w:t>
      </w:r>
      <w:r w:rsidRPr="00921EFF">
        <w:rPr>
          <w:rFonts w:asciiTheme="minorHAnsi" w:hAnsiTheme="minorHAnsi"/>
        </w:rPr>
        <w:t xml:space="preserve"> submitted that the setting aside of land for public purposes using the FAR mechanism </w:t>
      </w:r>
      <w:r>
        <w:rPr>
          <w:rFonts w:asciiTheme="minorHAnsi" w:hAnsiTheme="minorHAnsi"/>
        </w:rPr>
        <w:t>would</w:t>
      </w:r>
      <w:r w:rsidRPr="00921EFF">
        <w:rPr>
          <w:rFonts w:asciiTheme="minorHAnsi" w:hAnsiTheme="minorHAnsi"/>
        </w:rPr>
        <w:t xml:space="preserve"> not </w:t>
      </w:r>
      <w:r>
        <w:rPr>
          <w:rFonts w:asciiTheme="minorHAnsi" w:hAnsiTheme="minorHAnsi"/>
        </w:rPr>
        <w:t xml:space="preserve">be </w:t>
      </w:r>
      <w:r w:rsidRPr="00921EFF">
        <w:rPr>
          <w:rFonts w:asciiTheme="minorHAnsi" w:hAnsiTheme="minorHAnsi"/>
        </w:rPr>
        <w:t xml:space="preserve">legal.  Ms Collingwood </w:t>
      </w:r>
      <w:r>
        <w:rPr>
          <w:rFonts w:asciiTheme="minorHAnsi" w:hAnsiTheme="minorHAnsi"/>
        </w:rPr>
        <w:t xml:space="preserve">and </w:t>
      </w:r>
      <w:r w:rsidRPr="00921EFF">
        <w:rPr>
          <w:rFonts w:asciiTheme="minorHAnsi" w:hAnsiTheme="minorHAnsi"/>
        </w:rPr>
        <w:t>Mr Wren adopted the submissions of Mr Tweedie “</w:t>
      </w:r>
      <w:r w:rsidRPr="00921EFF">
        <w:rPr>
          <w:rFonts w:asciiTheme="minorHAnsi" w:hAnsiTheme="minorHAnsi"/>
          <w:i/>
        </w:rPr>
        <w:t>wholeheartedly</w:t>
      </w:r>
      <w:r>
        <w:rPr>
          <w:rFonts w:asciiTheme="minorHAnsi" w:hAnsiTheme="minorHAnsi"/>
        </w:rPr>
        <w:t>”</w:t>
      </w:r>
      <w:r w:rsidRPr="00921EFF">
        <w:rPr>
          <w:rFonts w:asciiTheme="minorHAnsi" w:hAnsiTheme="minorHAnsi"/>
        </w:rPr>
        <w:t>.</w:t>
      </w:r>
      <w:r>
        <w:rPr>
          <w:rFonts w:asciiTheme="minorHAnsi" w:hAnsiTheme="minorHAnsi"/>
        </w:rPr>
        <w:t xml:space="preserve">  </w:t>
      </w:r>
      <w:r w:rsidRPr="00921EFF">
        <w:rPr>
          <w:rFonts w:asciiTheme="minorHAnsi" w:hAnsiTheme="minorHAnsi"/>
        </w:rPr>
        <w:t xml:space="preserve">Mr Canavan and Mr Morris made </w:t>
      </w:r>
      <w:r w:rsidRPr="00921EFF">
        <w:rPr>
          <w:rFonts w:asciiTheme="minorHAnsi" w:hAnsiTheme="minorHAnsi"/>
        </w:rPr>
        <w:lastRenderedPageBreak/>
        <w:t xml:space="preserve">submissions </w:t>
      </w:r>
      <w:r>
        <w:rPr>
          <w:rFonts w:asciiTheme="minorHAnsi" w:hAnsiTheme="minorHAnsi"/>
        </w:rPr>
        <w:t xml:space="preserve">to the effect that there was no legal basis for </w:t>
      </w:r>
      <w:r w:rsidRPr="00921EFF">
        <w:rPr>
          <w:rFonts w:asciiTheme="minorHAnsi" w:hAnsiTheme="minorHAnsi"/>
        </w:rPr>
        <w:t>the proposed FAR mechanism</w:t>
      </w:r>
      <w:r>
        <w:rPr>
          <w:rFonts w:asciiTheme="minorHAnsi" w:hAnsiTheme="minorHAnsi"/>
        </w:rPr>
        <w:t xml:space="preserve">, and that it was </w:t>
      </w:r>
      <w:r w:rsidR="00A448F3">
        <w:rPr>
          <w:rFonts w:asciiTheme="minorHAnsi" w:hAnsiTheme="minorHAnsi"/>
        </w:rPr>
        <w:t>‘</w:t>
      </w:r>
      <w:r>
        <w:rPr>
          <w:rFonts w:asciiTheme="minorHAnsi" w:hAnsiTheme="minorHAnsi"/>
        </w:rPr>
        <w:t>not fair</w:t>
      </w:r>
      <w:r w:rsidR="00A448F3">
        <w:rPr>
          <w:rFonts w:asciiTheme="minorHAnsi" w:hAnsiTheme="minorHAnsi"/>
        </w:rPr>
        <w:t>’</w:t>
      </w:r>
      <w:r w:rsidRPr="00921EFF">
        <w:rPr>
          <w:rFonts w:asciiTheme="minorHAnsi" w:hAnsiTheme="minorHAnsi"/>
        </w:rPr>
        <w:t>.</w:t>
      </w:r>
    </w:p>
    <w:p w:rsidR="00785416" w:rsidRDefault="007B739A" w:rsidP="007B739A">
      <w:pPr>
        <w:pStyle w:val="PPVBody"/>
      </w:pPr>
      <w:r>
        <w:t>On 14 May 2018, the Minister advised the Review Panel t</w:t>
      </w:r>
      <w:r w:rsidRPr="00A90F8A">
        <w:t xml:space="preserve">hat </w:t>
      </w:r>
      <w:r>
        <w:t>he</w:t>
      </w:r>
      <w:r w:rsidRPr="00A90F8A">
        <w:t xml:space="preserve"> no longer intended to use the proposed FAR mechanism to </w:t>
      </w:r>
      <w:r>
        <w:t xml:space="preserve">deliver </w:t>
      </w:r>
      <w:r w:rsidRPr="00A90F8A">
        <w:t xml:space="preserve">public </w:t>
      </w:r>
      <w:r>
        <w:t>infrastructure in Fishermans Bend.  Instead, he proposed that infrastructure would be funded under a future ICP, and that land needed for public purposes would be acquired through the mechanisms in the soon to be operational Public Land Contributions Act</w:t>
      </w:r>
      <w:r w:rsidRPr="00A90F8A">
        <w:t>.</w:t>
      </w:r>
    </w:p>
    <w:p w:rsidR="007B739A" w:rsidRPr="00A90F8A" w:rsidRDefault="007B739A" w:rsidP="007B739A">
      <w:pPr>
        <w:pStyle w:val="Heading4"/>
      </w:pPr>
      <w:r>
        <w:t>Discussion</w:t>
      </w:r>
    </w:p>
    <w:p w:rsidR="00785416" w:rsidRDefault="007B739A" w:rsidP="007B739A">
      <w:pPr>
        <w:pStyle w:val="PPVBody"/>
        <w:rPr>
          <w:rFonts w:asciiTheme="minorHAnsi" w:hAnsiTheme="minorHAnsi"/>
        </w:rPr>
      </w:pPr>
      <w:r w:rsidRPr="007B739A">
        <w:rPr>
          <w:rFonts w:asciiTheme="minorHAnsi" w:hAnsiTheme="minorHAnsi"/>
        </w:rPr>
        <w:t>The Review Panel has some sympathy for the submissions raising concerns over the legality and equity of the proposed use of the FAR mechanism to deliver public infrastructure in Fishermans Bend.  However, given that the Minister has now abandoned this approach (albeit denying that the approach is either illegal or inequitable), the argument has become somewhat academic if the land will be acquired using the Public Land Contributions Act mechanisms as indicated by the Minister.</w:t>
      </w:r>
    </w:p>
    <w:p w:rsidR="007B739A" w:rsidRDefault="007B739A" w:rsidP="007B739A">
      <w:pPr>
        <w:pStyle w:val="PPVBody"/>
        <w:rPr>
          <w:rFonts w:asciiTheme="minorHAnsi" w:hAnsiTheme="minorHAnsi"/>
        </w:rPr>
      </w:pPr>
      <w:r w:rsidRPr="007B739A">
        <w:rPr>
          <w:rFonts w:asciiTheme="minorHAnsi" w:hAnsiTheme="minorHAnsi"/>
        </w:rPr>
        <w:t>The Review Panel considers that the Minister’s</w:t>
      </w:r>
      <w:r w:rsidRPr="00A90F8A">
        <w:rPr>
          <w:rFonts w:asciiTheme="minorHAnsi" w:hAnsiTheme="minorHAnsi"/>
        </w:rPr>
        <w:t xml:space="preserve"> decision not to proceed with </w:t>
      </w:r>
      <w:r>
        <w:rPr>
          <w:rFonts w:asciiTheme="minorHAnsi" w:hAnsiTheme="minorHAnsi"/>
        </w:rPr>
        <w:t xml:space="preserve">the FAR mechanism to deliver public infrastructure </w:t>
      </w:r>
      <w:r w:rsidRPr="00A90F8A">
        <w:rPr>
          <w:rFonts w:asciiTheme="minorHAnsi" w:hAnsiTheme="minorHAnsi"/>
        </w:rPr>
        <w:t>is an appropriate one</w:t>
      </w:r>
      <w:r>
        <w:rPr>
          <w:rFonts w:asciiTheme="minorHAnsi" w:hAnsiTheme="minorHAnsi"/>
        </w:rPr>
        <w:t>.  T</w:t>
      </w:r>
      <w:r w:rsidRPr="00A90F8A">
        <w:rPr>
          <w:rFonts w:asciiTheme="minorHAnsi" w:hAnsiTheme="minorHAnsi"/>
        </w:rPr>
        <w:t>he development and use of an ICP is a</w:t>
      </w:r>
      <w:r>
        <w:rPr>
          <w:rFonts w:asciiTheme="minorHAnsi" w:hAnsiTheme="minorHAnsi"/>
        </w:rPr>
        <w:t xml:space="preserve"> more conventional approach, albeit one that needs to be further developed and considered, particularly in urban renewal contexts such as Fishermans Bend</w:t>
      </w:r>
      <w:r w:rsidRPr="00A90F8A">
        <w:rPr>
          <w:rFonts w:asciiTheme="minorHAnsi" w:hAnsiTheme="minorHAnsi"/>
        </w:rPr>
        <w:t xml:space="preserve">.  </w:t>
      </w:r>
      <w:r>
        <w:t xml:space="preserve">The ICP and the Public Land Contributions Act are discussed in the following </w:t>
      </w:r>
      <w:r w:rsidR="0079402A">
        <w:t>C</w:t>
      </w:r>
      <w:r>
        <w:t>hapter.</w:t>
      </w:r>
    </w:p>
    <w:p w:rsidR="007B739A" w:rsidRDefault="007B739A" w:rsidP="007B739A">
      <w:pPr>
        <w:pStyle w:val="PPVBody"/>
        <w:rPr>
          <w:rFonts w:asciiTheme="minorHAnsi" w:hAnsiTheme="minorHAnsi"/>
        </w:rPr>
      </w:pPr>
      <w:r w:rsidRPr="00A90F8A">
        <w:rPr>
          <w:rFonts w:asciiTheme="minorHAnsi" w:hAnsiTheme="minorHAnsi"/>
        </w:rPr>
        <w:t>In drawing this conclusion, the Review Panel reiterates the comment</w:t>
      </w:r>
      <w:r>
        <w:rPr>
          <w:rFonts w:asciiTheme="minorHAnsi" w:hAnsiTheme="minorHAnsi"/>
        </w:rPr>
        <w:t>s</w:t>
      </w:r>
      <w:r w:rsidRPr="00A90F8A">
        <w:rPr>
          <w:rFonts w:asciiTheme="minorHAnsi" w:hAnsiTheme="minorHAnsi"/>
        </w:rPr>
        <w:t xml:space="preserve"> made at the Hearing that there should have been some forewarning </w:t>
      </w:r>
      <w:r>
        <w:rPr>
          <w:rFonts w:asciiTheme="minorHAnsi" w:hAnsiTheme="minorHAnsi"/>
        </w:rPr>
        <w:t>if</w:t>
      </w:r>
      <w:r w:rsidRPr="00A90F8A">
        <w:rPr>
          <w:rFonts w:asciiTheme="minorHAnsi" w:hAnsiTheme="minorHAnsi"/>
        </w:rPr>
        <w:t xml:space="preserve"> an alternative approach was being actively considered.  </w:t>
      </w:r>
      <w:r>
        <w:rPr>
          <w:rFonts w:asciiTheme="minorHAnsi" w:hAnsiTheme="minorHAnsi"/>
        </w:rPr>
        <w:t>I</w:t>
      </w:r>
      <w:r w:rsidRPr="00A90F8A">
        <w:rPr>
          <w:rFonts w:asciiTheme="minorHAnsi" w:hAnsiTheme="minorHAnsi"/>
        </w:rPr>
        <w:t xml:space="preserve">t is unfortunate that submitters had needlessly and perhaps at some cost, pursued arguments against </w:t>
      </w:r>
      <w:r>
        <w:rPr>
          <w:rFonts w:asciiTheme="minorHAnsi" w:hAnsiTheme="minorHAnsi"/>
        </w:rPr>
        <w:t xml:space="preserve">this aspect of </w:t>
      </w:r>
      <w:r w:rsidRPr="00A90F8A">
        <w:rPr>
          <w:rFonts w:asciiTheme="minorHAnsi" w:hAnsiTheme="minorHAnsi"/>
        </w:rPr>
        <w:t>the FAR proposal</w:t>
      </w:r>
      <w:r>
        <w:rPr>
          <w:rFonts w:asciiTheme="minorHAnsi" w:hAnsiTheme="minorHAnsi"/>
        </w:rPr>
        <w:t>.</w:t>
      </w:r>
    </w:p>
    <w:p w:rsidR="00785416" w:rsidRDefault="007B739A" w:rsidP="007B739A">
      <w:pPr>
        <w:pStyle w:val="PPVBody"/>
        <w:rPr>
          <w:rFonts w:asciiTheme="minorHAnsi" w:hAnsiTheme="minorHAnsi"/>
        </w:rPr>
      </w:pPr>
      <w:r w:rsidRPr="00A90F8A">
        <w:rPr>
          <w:rFonts w:asciiTheme="minorHAnsi" w:hAnsiTheme="minorHAnsi"/>
        </w:rPr>
        <w:t>Having said this, the Review Panel acknowledges that one of the purpose</w:t>
      </w:r>
      <w:r>
        <w:rPr>
          <w:rFonts w:asciiTheme="minorHAnsi" w:hAnsiTheme="minorHAnsi"/>
        </w:rPr>
        <w:t>s</w:t>
      </w:r>
      <w:r w:rsidRPr="00A90F8A">
        <w:rPr>
          <w:rFonts w:asciiTheme="minorHAnsi" w:hAnsiTheme="minorHAnsi"/>
        </w:rPr>
        <w:t xml:space="preserve"> of </w:t>
      </w:r>
      <w:r>
        <w:rPr>
          <w:rFonts w:asciiTheme="minorHAnsi" w:hAnsiTheme="minorHAnsi"/>
        </w:rPr>
        <w:t xml:space="preserve">an Advisory Committee </w:t>
      </w:r>
      <w:r w:rsidRPr="00A90F8A">
        <w:rPr>
          <w:rFonts w:asciiTheme="minorHAnsi" w:hAnsiTheme="minorHAnsi"/>
        </w:rPr>
        <w:t>process like this is to test proposals in a</w:t>
      </w:r>
      <w:r>
        <w:rPr>
          <w:rFonts w:asciiTheme="minorHAnsi" w:hAnsiTheme="minorHAnsi"/>
        </w:rPr>
        <w:t>n</w:t>
      </w:r>
      <w:r w:rsidRPr="00A90F8A">
        <w:rPr>
          <w:rFonts w:asciiTheme="minorHAnsi" w:hAnsiTheme="minorHAnsi"/>
        </w:rPr>
        <w:t xml:space="preserve"> open forum.</w:t>
      </w:r>
    </w:p>
    <w:p w:rsidR="00785416" w:rsidRDefault="007B739A" w:rsidP="007B739A">
      <w:pPr>
        <w:pStyle w:val="PPVBody"/>
        <w:rPr>
          <w:rFonts w:asciiTheme="minorHAnsi" w:hAnsiTheme="minorHAnsi"/>
        </w:rPr>
      </w:pPr>
      <w:r>
        <w:t xml:space="preserve">The Review Panel offers no further comment in relation to the use of FAR to deliver public infrastructure, other than to say that </w:t>
      </w:r>
      <w:r w:rsidRPr="00C47149">
        <w:t>given the</w:t>
      </w:r>
      <w:r>
        <w:t xml:space="preserve"> apparent </w:t>
      </w:r>
      <w:r w:rsidRPr="00C47149">
        <w:t xml:space="preserve">flaws in the proposed FAR mechanism, the decision </w:t>
      </w:r>
      <w:r>
        <w:t>to abandon</w:t>
      </w:r>
      <w:r w:rsidRPr="00C47149">
        <w:t xml:space="preserve"> this approach is supported</w:t>
      </w:r>
      <w:r>
        <w:rPr>
          <w:rFonts w:asciiTheme="minorHAnsi" w:hAnsiTheme="minorHAnsi"/>
        </w:rPr>
        <w:t>.</w:t>
      </w:r>
    </w:p>
    <w:p w:rsidR="007B739A" w:rsidRDefault="007B739A" w:rsidP="007B739A">
      <w:pPr>
        <w:pStyle w:val="Heading2"/>
      </w:pPr>
      <w:bookmarkStart w:id="495" w:name="_Toc519710316"/>
      <w:bookmarkStart w:id="496" w:name="_Toc519766876"/>
      <w:r>
        <w:t>The use of an ICP to deliver infrastructure</w:t>
      </w:r>
      <w:bookmarkEnd w:id="495"/>
      <w:bookmarkEnd w:id="496"/>
    </w:p>
    <w:p w:rsidR="007B739A" w:rsidRPr="004E64F5" w:rsidRDefault="007B739A" w:rsidP="007B739A">
      <w:pPr>
        <w:pStyle w:val="Heading4"/>
      </w:pPr>
      <w:r>
        <w:t>Submissions and evidence</w:t>
      </w:r>
    </w:p>
    <w:p w:rsidR="007B739A" w:rsidRPr="00A90F8A" w:rsidRDefault="007B739A" w:rsidP="007B739A">
      <w:pPr>
        <w:pStyle w:val="PPVBody"/>
        <w:rPr>
          <w:rFonts w:asciiTheme="minorHAnsi" w:hAnsiTheme="minorHAnsi"/>
        </w:rPr>
      </w:pPr>
      <w:r>
        <w:rPr>
          <w:rFonts w:asciiTheme="minorHAnsi" w:hAnsiTheme="minorHAnsi"/>
        </w:rPr>
        <w:t>O</w:t>
      </w:r>
      <w:r w:rsidRPr="00A90F8A">
        <w:rPr>
          <w:rFonts w:asciiTheme="minorHAnsi" w:hAnsiTheme="minorHAnsi"/>
        </w:rPr>
        <w:t>n 14 May</w:t>
      </w:r>
      <w:r>
        <w:rPr>
          <w:rFonts w:asciiTheme="minorHAnsi" w:hAnsiTheme="minorHAnsi"/>
        </w:rPr>
        <w:t xml:space="preserve"> 2018,</w:t>
      </w:r>
      <w:r w:rsidRPr="00A90F8A">
        <w:rPr>
          <w:rFonts w:asciiTheme="minorHAnsi" w:hAnsiTheme="minorHAnsi"/>
        </w:rPr>
        <w:t xml:space="preserve"> the Minister advised the Review Panel</w:t>
      </w:r>
      <w:r w:rsidRPr="0011461E">
        <w:rPr>
          <w:rFonts w:asciiTheme="minorHAnsi" w:hAnsiTheme="minorHAnsi"/>
        </w:rPr>
        <w:t xml:space="preserve"> </w:t>
      </w:r>
      <w:r>
        <w:rPr>
          <w:rFonts w:asciiTheme="minorHAnsi" w:hAnsiTheme="minorHAnsi"/>
        </w:rPr>
        <w:t>t</w:t>
      </w:r>
      <w:r w:rsidRPr="00A90F8A">
        <w:rPr>
          <w:rFonts w:asciiTheme="minorHAnsi" w:hAnsiTheme="minorHAnsi"/>
        </w:rPr>
        <w:t>hat:</w:t>
      </w:r>
    </w:p>
    <w:p w:rsidR="007B739A" w:rsidRPr="00A90F8A" w:rsidRDefault="007B739A" w:rsidP="007B739A">
      <w:pPr>
        <w:pStyle w:val="PPVBullet1"/>
        <w:rPr>
          <w:rFonts w:asciiTheme="minorHAnsi" w:hAnsiTheme="minorHAnsi"/>
        </w:rPr>
      </w:pPr>
      <w:r w:rsidRPr="00A90F8A">
        <w:rPr>
          <w:rFonts w:asciiTheme="minorHAnsi" w:hAnsiTheme="minorHAnsi"/>
        </w:rPr>
        <w:t>an ICP system commenced operation in Victoria on 27 October 2016, initially restricted to growth corridors but anticipated to be used more widely</w:t>
      </w:r>
    </w:p>
    <w:p w:rsidR="007B739A" w:rsidRPr="00A90F8A" w:rsidRDefault="007B739A" w:rsidP="007B739A">
      <w:pPr>
        <w:pStyle w:val="PPVBullet1"/>
        <w:rPr>
          <w:rFonts w:asciiTheme="minorHAnsi" w:hAnsiTheme="minorHAnsi"/>
        </w:rPr>
      </w:pPr>
      <w:r>
        <w:rPr>
          <w:rFonts w:asciiTheme="minorHAnsi" w:hAnsiTheme="minorHAnsi"/>
        </w:rPr>
        <w:t xml:space="preserve">the ICP system </w:t>
      </w:r>
      <w:r w:rsidRPr="00A90F8A">
        <w:rPr>
          <w:rFonts w:asciiTheme="minorHAnsi" w:hAnsiTheme="minorHAnsi"/>
        </w:rPr>
        <w:t>is used to fund community, recreation and transport infrastructure</w:t>
      </w:r>
    </w:p>
    <w:p w:rsidR="007B739A" w:rsidRPr="00A90F8A" w:rsidRDefault="007B739A" w:rsidP="007B739A">
      <w:pPr>
        <w:pStyle w:val="PPVBullet1"/>
        <w:rPr>
          <w:rFonts w:asciiTheme="minorHAnsi" w:hAnsiTheme="minorHAnsi"/>
        </w:rPr>
      </w:pPr>
      <w:r>
        <w:rPr>
          <w:rFonts w:asciiTheme="minorHAnsi" w:hAnsiTheme="minorHAnsi"/>
        </w:rPr>
        <w:t>a</w:t>
      </w:r>
      <w:r w:rsidRPr="00A90F8A">
        <w:rPr>
          <w:rFonts w:asciiTheme="minorHAnsi" w:hAnsiTheme="minorHAnsi"/>
        </w:rPr>
        <w:t xml:space="preserve">n ICP may contain a standard levy and makes provision for a supplementary levy where infrastructure requirements exceed </w:t>
      </w:r>
      <w:r>
        <w:rPr>
          <w:rFonts w:asciiTheme="minorHAnsi" w:hAnsiTheme="minorHAnsi"/>
        </w:rPr>
        <w:t xml:space="preserve">the </w:t>
      </w:r>
      <w:r w:rsidRPr="00A90F8A">
        <w:rPr>
          <w:rFonts w:asciiTheme="minorHAnsi" w:hAnsiTheme="minorHAnsi"/>
        </w:rPr>
        <w:t>standard levy</w:t>
      </w:r>
      <w:r>
        <w:rPr>
          <w:rFonts w:asciiTheme="minorHAnsi" w:hAnsiTheme="minorHAnsi"/>
        </w:rPr>
        <w:t xml:space="preserve"> provision</w:t>
      </w:r>
    </w:p>
    <w:p w:rsidR="007B739A" w:rsidRPr="00A90F8A" w:rsidRDefault="007B739A" w:rsidP="007B739A">
      <w:pPr>
        <w:pStyle w:val="PPVBullet1"/>
        <w:rPr>
          <w:rFonts w:asciiTheme="minorHAnsi" w:hAnsiTheme="minorHAnsi"/>
        </w:rPr>
      </w:pPr>
      <w:r>
        <w:rPr>
          <w:rFonts w:asciiTheme="minorHAnsi" w:hAnsiTheme="minorHAnsi"/>
        </w:rPr>
        <w:t>a</w:t>
      </w:r>
      <w:r w:rsidRPr="00A90F8A">
        <w:rPr>
          <w:rFonts w:asciiTheme="minorHAnsi" w:hAnsiTheme="minorHAnsi"/>
        </w:rPr>
        <w:t>n ICP may specify different levies for different classes of development</w:t>
      </w:r>
    </w:p>
    <w:p w:rsidR="007B739A" w:rsidRPr="00A90F8A" w:rsidRDefault="007B739A" w:rsidP="007B739A">
      <w:pPr>
        <w:pStyle w:val="PPVBullet1"/>
        <w:rPr>
          <w:rFonts w:asciiTheme="minorHAnsi" w:hAnsiTheme="minorHAnsi"/>
        </w:rPr>
      </w:pPr>
      <w:r>
        <w:rPr>
          <w:rFonts w:asciiTheme="minorHAnsi" w:hAnsiTheme="minorHAnsi"/>
        </w:rPr>
        <w:t>an</w:t>
      </w:r>
      <w:r w:rsidRPr="00A90F8A">
        <w:rPr>
          <w:rFonts w:asciiTheme="minorHAnsi" w:hAnsiTheme="minorHAnsi"/>
        </w:rPr>
        <w:t xml:space="preserve"> ICP will specify the type</w:t>
      </w:r>
      <w:r>
        <w:rPr>
          <w:rFonts w:asciiTheme="minorHAnsi" w:hAnsiTheme="minorHAnsi"/>
        </w:rPr>
        <w:t>,</w:t>
      </w:r>
      <w:r w:rsidRPr="00A90F8A">
        <w:rPr>
          <w:rFonts w:asciiTheme="minorHAnsi" w:hAnsiTheme="minorHAnsi"/>
        </w:rPr>
        <w:t xml:space="preserve"> amount and location of land</w:t>
      </w:r>
      <w:r w:rsidRPr="0011461E">
        <w:rPr>
          <w:rFonts w:asciiTheme="minorHAnsi" w:hAnsiTheme="minorHAnsi"/>
        </w:rPr>
        <w:t xml:space="preserve"> </w:t>
      </w:r>
      <w:r>
        <w:rPr>
          <w:rFonts w:asciiTheme="minorHAnsi" w:hAnsiTheme="minorHAnsi"/>
        </w:rPr>
        <w:t xml:space="preserve">required for </w:t>
      </w:r>
      <w:r w:rsidRPr="00A90F8A">
        <w:rPr>
          <w:rFonts w:asciiTheme="minorHAnsi" w:hAnsiTheme="minorHAnsi"/>
        </w:rPr>
        <w:t>public purpose</w:t>
      </w:r>
      <w:r>
        <w:rPr>
          <w:rFonts w:asciiTheme="minorHAnsi" w:hAnsiTheme="minorHAnsi"/>
        </w:rPr>
        <w:t>,</w:t>
      </w:r>
      <w:r w:rsidRPr="00A90F8A">
        <w:rPr>
          <w:rFonts w:asciiTheme="minorHAnsi" w:hAnsiTheme="minorHAnsi"/>
        </w:rPr>
        <w:t xml:space="preserve"> and the existing </w:t>
      </w:r>
      <w:r>
        <w:rPr>
          <w:rFonts w:asciiTheme="minorHAnsi" w:hAnsiTheme="minorHAnsi"/>
        </w:rPr>
        <w:t>maps</w:t>
      </w:r>
      <w:r w:rsidRPr="00A90F8A">
        <w:rPr>
          <w:rFonts w:asciiTheme="minorHAnsi" w:hAnsiTheme="minorHAnsi"/>
        </w:rPr>
        <w:t xml:space="preserve"> </w:t>
      </w:r>
      <w:r>
        <w:rPr>
          <w:rFonts w:asciiTheme="minorHAnsi" w:hAnsiTheme="minorHAnsi"/>
        </w:rPr>
        <w:t>which</w:t>
      </w:r>
      <w:r w:rsidRPr="00A90F8A">
        <w:rPr>
          <w:rFonts w:asciiTheme="minorHAnsi" w:hAnsiTheme="minorHAnsi"/>
        </w:rPr>
        <w:t xml:space="preserve"> </w:t>
      </w:r>
      <w:r>
        <w:rPr>
          <w:rFonts w:asciiTheme="minorHAnsi" w:hAnsiTheme="minorHAnsi"/>
        </w:rPr>
        <w:t>form</w:t>
      </w:r>
      <w:r w:rsidRPr="00A90F8A">
        <w:rPr>
          <w:rFonts w:asciiTheme="minorHAnsi" w:hAnsiTheme="minorHAnsi"/>
        </w:rPr>
        <w:t xml:space="preserve"> part of the proposed controls could be suitable for identifying public purpose land in Fishermans Bend</w:t>
      </w:r>
    </w:p>
    <w:p w:rsidR="007B739A" w:rsidRDefault="007B739A" w:rsidP="007B739A">
      <w:pPr>
        <w:pStyle w:val="PPVBullet1"/>
        <w:rPr>
          <w:rFonts w:asciiTheme="minorHAnsi" w:hAnsiTheme="minorHAnsi"/>
        </w:rPr>
      </w:pPr>
      <w:r w:rsidRPr="00A90F8A">
        <w:rPr>
          <w:rFonts w:asciiTheme="minorHAnsi" w:hAnsiTheme="minorHAnsi"/>
        </w:rPr>
        <w:lastRenderedPageBreak/>
        <w:t xml:space="preserve">the </w:t>
      </w:r>
      <w:r w:rsidRPr="004E64F5">
        <w:rPr>
          <w:rFonts w:asciiTheme="minorHAnsi" w:hAnsiTheme="minorHAnsi"/>
        </w:rPr>
        <w:t>Public Land Contributions</w:t>
      </w:r>
      <w:r w:rsidRPr="002D1D6D">
        <w:rPr>
          <w:rFonts w:asciiTheme="minorHAnsi" w:hAnsiTheme="minorHAnsi"/>
        </w:rPr>
        <w:t xml:space="preserve"> Act</w:t>
      </w:r>
      <w:r w:rsidRPr="00A90F8A">
        <w:rPr>
          <w:rFonts w:asciiTheme="minorHAnsi" w:hAnsiTheme="minorHAnsi"/>
        </w:rPr>
        <w:t xml:space="preserve"> will come into effect on 1 September 2018, </w:t>
      </w:r>
      <w:r>
        <w:rPr>
          <w:rFonts w:asciiTheme="minorHAnsi" w:hAnsiTheme="minorHAnsi"/>
        </w:rPr>
        <w:t>(in fact it came into operation on 2 July 2018), allowing</w:t>
      </w:r>
      <w:r w:rsidRPr="00A90F8A">
        <w:rPr>
          <w:rFonts w:asciiTheme="minorHAnsi" w:hAnsiTheme="minorHAnsi"/>
        </w:rPr>
        <w:t xml:space="preserve"> a land contribution for public purposes</w:t>
      </w:r>
    </w:p>
    <w:p w:rsidR="007B739A" w:rsidRPr="00A90F8A" w:rsidRDefault="007B739A" w:rsidP="007B739A">
      <w:pPr>
        <w:pStyle w:val="PPVBullet1"/>
        <w:rPr>
          <w:rFonts w:asciiTheme="minorHAnsi" w:hAnsiTheme="minorHAnsi"/>
        </w:rPr>
      </w:pPr>
      <w:r>
        <w:rPr>
          <w:rFonts w:asciiTheme="minorHAnsi" w:hAnsiTheme="minorHAnsi"/>
        </w:rPr>
        <w:t xml:space="preserve">the Public Land Contributions Act includes a land equalisation </w:t>
      </w:r>
      <w:r w:rsidRPr="00A90F8A">
        <w:rPr>
          <w:rFonts w:asciiTheme="minorHAnsi" w:hAnsiTheme="minorHAnsi"/>
        </w:rPr>
        <w:t>mechanism</w:t>
      </w:r>
      <w:r>
        <w:rPr>
          <w:rFonts w:asciiTheme="minorHAnsi" w:hAnsiTheme="minorHAnsi"/>
        </w:rPr>
        <w:t xml:space="preserve"> that </w:t>
      </w:r>
      <w:r w:rsidRPr="00A90F8A">
        <w:rPr>
          <w:rFonts w:asciiTheme="minorHAnsi" w:hAnsiTheme="minorHAnsi"/>
        </w:rPr>
        <w:t xml:space="preserve">will address equity issues in respect </w:t>
      </w:r>
      <w:r>
        <w:rPr>
          <w:rFonts w:asciiTheme="minorHAnsi" w:hAnsiTheme="minorHAnsi"/>
        </w:rPr>
        <w:t>of</w:t>
      </w:r>
      <w:r w:rsidRPr="00A90F8A">
        <w:rPr>
          <w:rFonts w:asciiTheme="minorHAnsi" w:hAnsiTheme="minorHAnsi"/>
        </w:rPr>
        <w:t xml:space="preserve"> the</w:t>
      </w:r>
      <w:r>
        <w:rPr>
          <w:rFonts w:asciiTheme="minorHAnsi" w:hAnsiTheme="minorHAnsi"/>
        </w:rPr>
        <w:t xml:space="preserve"> use of</w:t>
      </w:r>
      <w:r w:rsidRPr="00A90F8A">
        <w:rPr>
          <w:rFonts w:asciiTheme="minorHAnsi" w:hAnsiTheme="minorHAnsi"/>
        </w:rPr>
        <w:t xml:space="preserve"> </w:t>
      </w:r>
      <w:r>
        <w:rPr>
          <w:rFonts w:asciiTheme="minorHAnsi" w:hAnsiTheme="minorHAnsi"/>
        </w:rPr>
        <w:t xml:space="preserve">the FAR mechanism </w:t>
      </w:r>
      <w:r w:rsidRPr="00A90F8A">
        <w:rPr>
          <w:rFonts w:asciiTheme="minorHAnsi" w:hAnsiTheme="minorHAnsi"/>
        </w:rPr>
        <w:t xml:space="preserve">for setting aside </w:t>
      </w:r>
      <w:r>
        <w:rPr>
          <w:rFonts w:asciiTheme="minorHAnsi" w:hAnsiTheme="minorHAnsi"/>
        </w:rPr>
        <w:t xml:space="preserve">public purpose </w:t>
      </w:r>
      <w:r w:rsidRPr="00A90F8A">
        <w:rPr>
          <w:rFonts w:asciiTheme="minorHAnsi" w:hAnsiTheme="minorHAnsi"/>
        </w:rPr>
        <w:t>land</w:t>
      </w:r>
    </w:p>
    <w:p w:rsidR="007B739A" w:rsidRPr="00A90F8A" w:rsidRDefault="007B739A" w:rsidP="007B739A">
      <w:pPr>
        <w:pStyle w:val="PPVBullet1"/>
        <w:rPr>
          <w:rFonts w:asciiTheme="minorHAnsi" w:hAnsiTheme="minorHAnsi"/>
        </w:rPr>
      </w:pPr>
      <w:r>
        <w:rPr>
          <w:rFonts w:asciiTheme="minorHAnsi" w:hAnsiTheme="minorHAnsi"/>
        </w:rPr>
        <w:t>Amendment VC146 was</w:t>
      </w:r>
      <w:r w:rsidRPr="00A90F8A">
        <w:rPr>
          <w:rFonts w:asciiTheme="minorHAnsi" w:hAnsiTheme="minorHAnsi"/>
        </w:rPr>
        <w:t xml:space="preserve"> gazetted on 15 May 2018, introducing an </w:t>
      </w:r>
      <w:r>
        <w:rPr>
          <w:rFonts w:asciiTheme="minorHAnsi" w:hAnsiTheme="minorHAnsi"/>
        </w:rPr>
        <w:t xml:space="preserve">Infrastructure </w:t>
      </w:r>
      <w:r w:rsidRPr="00A90F8A">
        <w:rPr>
          <w:rFonts w:asciiTheme="minorHAnsi" w:hAnsiTheme="minorHAnsi"/>
        </w:rPr>
        <w:t>Contributions Overlay (ICO) into the VPP</w:t>
      </w:r>
    </w:p>
    <w:p w:rsidR="00785416" w:rsidRDefault="007B739A" w:rsidP="007B739A">
      <w:pPr>
        <w:pStyle w:val="PPVBullet1"/>
        <w:rPr>
          <w:rFonts w:asciiTheme="minorHAnsi" w:hAnsiTheme="minorHAnsi"/>
        </w:rPr>
      </w:pPr>
      <w:r>
        <w:rPr>
          <w:rFonts w:asciiTheme="minorHAnsi" w:hAnsiTheme="minorHAnsi"/>
        </w:rPr>
        <w:t>t</w:t>
      </w:r>
      <w:r w:rsidRPr="00A90F8A">
        <w:rPr>
          <w:rFonts w:asciiTheme="minorHAnsi" w:hAnsiTheme="minorHAnsi"/>
        </w:rPr>
        <w:t xml:space="preserve">he ICO is a mechanism for </w:t>
      </w:r>
      <w:r>
        <w:rPr>
          <w:rFonts w:asciiTheme="minorHAnsi" w:hAnsiTheme="minorHAnsi"/>
        </w:rPr>
        <w:t xml:space="preserve">implementing an ICP and allowing </w:t>
      </w:r>
      <w:r w:rsidRPr="00A90F8A">
        <w:rPr>
          <w:rFonts w:asciiTheme="minorHAnsi" w:hAnsiTheme="minorHAnsi"/>
        </w:rPr>
        <w:t>the identification and transfer of land required for public purposes to the relevant agency</w:t>
      </w:r>
      <w:r>
        <w:rPr>
          <w:rFonts w:asciiTheme="minorHAnsi" w:hAnsiTheme="minorHAnsi"/>
        </w:rPr>
        <w:t>.</w:t>
      </w:r>
    </w:p>
    <w:p w:rsidR="007B739A" w:rsidRPr="00A90F8A" w:rsidRDefault="007B739A" w:rsidP="007B739A">
      <w:pPr>
        <w:pStyle w:val="PPVBody"/>
        <w:rPr>
          <w:rFonts w:asciiTheme="minorHAnsi" w:hAnsiTheme="minorHAnsi"/>
        </w:rPr>
      </w:pPr>
      <w:r w:rsidRPr="00A90F8A">
        <w:rPr>
          <w:rFonts w:asciiTheme="minorHAnsi" w:hAnsiTheme="minorHAnsi"/>
        </w:rPr>
        <w:t xml:space="preserve">The Minister submitted that this approach has the following benefits and would replace the previously proposed </w:t>
      </w:r>
      <w:r>
        <w:rPr>
          <w:rFonts w:asciiTheme="minorHAnsi" w:hAnsiTheme="minorHAnsi"/>
        </w:rPr>
        <w:t xml:space="preserve">FAR </w:t>
      </w:r>
      <w:r w:rsidRPr="00A90F8A">
        <w:rPr>
          <w:rFonts w:asciiTheme="minorHAnsi" w:hAnsiTheme="minorHAnsi"/>
        </w:rPr>
        <w:t xml:space="preserve">mechanism </w:t>
      </w:r>
      <w:r>
        <w:rPr>
          <w:rFonts w:asciiTheme="minorHAnsi" w:hAnsiTheme="minorHAnsi"/>
        </w:rPr>
        <w:t>for delivering infrastructure in Fishermans Bend</w:t>
      </w:r>
      <w:r w:rsidRPr="00A90F8A">
        <w:rPr>
          <w:rFonts w:asciiTheme="minorHAnsi" w:hAnsiTheme="minorHAnsi"/>
        </w:rPr>
        <w:t>:</w:t>
      </w:r>
    </w:p>
    <w:p w:rsidR="007B739A" w:rsidRPr="00A90F8A" w:rsidRDefault="007B739A" w:rsidP="007B739A">
      <w:pPr>
        <w:pStyle w:val="PPVQuoteBullet1"/>
        <w:tabs>
          <w:tab w:val="num" w:pos="644"/>
        </w:tabs>
      </w:pPr>
      <w:r w:rsidRPr="00A90F8A">
        <w:t>secure the direct transfer of land identified as ‘public purpose land’ so that it may be used for the identified purpose</w:t>
      </w:r>
    </w:p>
    <w:p w:rsidR="007B739A" w:rsidRPr="00A90F8A" w:rsidRDefault="007B739A" w:rsidP="007B739A">
      <w:pPr>
        <w:pStyle w:val="PPVQuoteBullet1"/>
        <w:tabs>
          <w:tab w:val="num" w:pos="644"/>
        </w:tabs>
      </w:pPr>
      <w:r w:rsidRPr="00A90F8A">
        <w:t>address the concerns raised by Council as to the financial risks to the Councils posed by escalating land process over time and the potential for underfunding of infrastructure and public open space</w:t>
      </w:r>
    </w:p>
    <w:p w:rsidR="007B739A" w:rsidRPr="00A90F8A" w:rsidRDefault="007B739A" w:rsidP="007B739A">
      <w:pPr>
        <w:pStyle w:val="PPVQuoteBullet1"/>
        <w:tabs>
          <w:tab w:val="num" w:pos="644"/>
        </w:tabs>
      </w:pPr>
      <w:r w:rsidRPr="00A90F8A">
        <w:t xml:space="preserve">overcome the alleged unlawfulness </w:t>
      </w:r>
      <w:r>
        <w:t>(</w:t>
      </w:r>
      <w:r w:rsidRPr="00A90F8A">
        <w:t xml:space="preserve">which </w:t>
      </w:r>
      <w:r>
        <w:t>is not accepted by the Minister)</w:t>
      </w:r>
    </w:p>
    <w:p w:rsidR="007B739A" w:rsidRPr="00A90F8A" w:rsidRDefault="007B739A" w:rsidP="007B739A">
      <w:pPr>
        <w:pStyle w:val="PPVQuoteBullet1"/>
        <w:tabs>
          <w:tab w:val="num" w:pos="644"/>
        </w:tabs>
      </w:pPr>
      <w:r w:rsidRPr="00A90F8A">
        <w:t>ensure that the land credits and land equalisation amounts will be specified in the ICP enabling landowners to have advance notice of these costs and potential credits before they develop their land</w:t>
      </w:r>
      <w:r>
        <w:t>.</w:t>
      </w:r>
      <w:r w:rsidRPr="00820B43">
        <w:rPr>
          <w:rStyle w:val="FootnoteReference"/>
          <w:rFonts w:asciiTheme="minorHAnsi" w:hAnsiTheme="minorHAnsi"/>
          <w:i w:val="0"/>
        </w:rPr>
        <w:footnoteReference w:id="140"/>
      </w:r>
    </w:p>
    <w:p w:rsidR="00785416" w:rsidRDefault="007B739A" w:rsidP="007B739A">
      <w:pPr>
        <w:pStyle w:val="PPVBody"/>
        <w:rPr>
          <w:rFonts w:asciiTheme="minorHAnsi" w:hAnsiTheme="minorHAnsi"/>
        </w:rPr>
      </w:pPr>
      <w:r w:rsidRPr="00A90F8A">
        <w:rPr>
          <w:rFonts w:asciiTheme="minorHAnsi" w:hAnsiTheme="minorHAnsi"/>
        </w:rPr>
        <w:t xml:space="preserve">The Minister submitted that </w:t>
      </w:r>
      <w:r>
        <w:rPr>
          <w:rFonts w:asciiTheme="minorHAnsi" w:hAnsiTheme="minorHAnsi"/>
        </w:rPr>
        <w:t>the ICP</w:t>
      </w:r>
      <w:r w:rsidRPr="00A90F8A">
        <w:rPr>
          <w:rFonts w:asciiTheme="minorHAnsi" w:hAnsiTheme="minorHAnsi"/>
        </w:rPr>
        <w:t xml:space="preserve"> mechanism </w:t>
      </w:r>
      <w:r>
        <w:rPr>
          <w:rFonts w:asciiTheme="minorHAnsi" w:hAnsiTheme="minorHAnsi"/>
        </w:rPr>
        <w:t xml:space="preserve">represented an approach </w:t>
      </w:r>
      <w:r w:rsidRPr="00A90F8A">
        <w:rPr>
          <w:rFonts w:asciiTheme="minorHAnsi" w:hAnsiTheme="minorHAnsi"/>
        </w:rPr>
        <w:t>that submitters and expert witnesses had suggested was appropriate.</w:t>
      </w:r>
    </w:p>
    <w:p w:rsidR="00785416" w:rsidRDefault="007B739A" w:rsidP="007B739A">
      <w:pPr>
        <w:pStyle w:val="PPVBody"/>
        <w:rPr>
          <w:rFonts w:asciiTheme="minorHAnsi" w:hAnsiTheme="minorHAnsi"/>
        </w:rPr>
      </w:pPr>
      <w:r w:rsidRPr="00A90F8A">
        <w:rPr>
          <w:rFonts w:asciiTheme="minorHAnsi" w:hAnsiTheme="minorHAnsi"/>
        </w:rPr>
        <w:t>Given that th</w:t>
      </w:r>
      <w:r>
        <w:rPr>
          <w:rFonts w:asciiTheme="minorHAnsi" w:hAnsiTheme="minorHAnsi"/>
        </w:rPr>
        <w:t>e</w:t>
      </w:r>
      <w:r w:rsidRPr="00A90F8A">
        <w:rPr>
          <w:rFonts w:asciiTheme="minorHAnsi" w:hAnsiTheme="minorHAnsi"/>
        </w:rPr>
        <w:t xml:space="preserve"> ICP prop</w:t>
      </w:r>
      <w:r>
        <w:rPr>
          <w:rFonts w:asciiTheme="minorHAnsi" w:hAnsiTheme="minorHAnsi"/>
        </w:rPr>
        <w:t>osal was provided without forewarning in W</w:t>
      </w:r>
      <w:r w:rsidRPr="00A90F8A">
        <w:rPr>
          <w:rFonts w:asciiTheme="minorHAnsi" w:hAnsiTheme="minorHAnsi"/>
        </w:rPr>
        <w:t xml:space="preserve">eek 10 of </w:t>
      </w:r>
      <w:r>
        <w:rPr>
          <w:rFonts w:asciiTheme="minorHAnsi" w:hAnsiTheme="minorHAnsi"/>
        </w:rPr>
        <w:t>the H</w:t>
      </w:r>
      <w:r w:rsidRPr="00A90F8A">
        <w:rPr>
          <w:rFonts w:asciiTheme="minorHAnsi" w:hAnsiTheme="minorHAnsi"/>
        </w:rPr>
        <w:t>earing, submitters had little time to assess it and provide the Review Panel with considered responses</w:t>
      </w:r>
      <w:r>
        <w:rPr>
          <w:rFonts w:asciiTheme="minorHAnsi" w:hAnsiTheme="minorHAnsi"/>
        </w:rPr>
        <w:t>.</w:t>
      </w:r>
    </w:p>
    <w:p w:rsidR="007B739A" w:rsidRDefault="007B739A" w:rsidP="007B739A">
      <w:pPr>
        <w:pStyle w:val="PPVBody"/>
        <w:rPr>
          <w:rFonts w:asciiTheme="minorHAnsi" w:hAnsiTheme="minorHAnsi"/>
        </w:rPr>
      </w:pPr>
      <w:r w:rsidRPr="00A90F8A">
        <w:rPr>
          <w:rFonts w:asciiTheme="minorHAnsi" w:hAnsiTheme="minorHAnsi"/>
        </w:rPr>
        <w:t xml:space="preserve">Mr Morris submitted a number of concerns about the </w:t>
      </w:r>
      <w:r>
        <w:rPr>
          <w:rFonts w:asciiTheme="minorHAnsi" w:hAnsiTheme="minorHAnsi"/>
        </w:rPr>
        <w:t xml:space="preserve">proposed </w:t>
      </w:r>
      <w:r w:rsidRPr="00A90F8A">
        <w:rPr>
          <w:rFonts w:asciiTheme="minorHAnsi" w:hAnsiTheme="minorHAnsi"/>
        </w:rPr>
        <w:t>ICP mechanism:</w:t>
      </w:r>
    </w:p>
    <w:p w:rsidR="007B739A" w:rsidRPr="00A90F8A" w:rsidRDefault="007B739A" w:rsidP="007B739A">
      <w:pPr>
        <w:pStyle w:val="PPVBullet1"/>
        <w:rPr>
          <w:rFonts w:asciiTheme="minorHAnsi" w:hAnsiTheme="minorHAnsi"/>
        </w:rPr>
      </w:pPr>
      <w:r>
        <w:rPr>
          <w:rFonts w:asciiTheme="minorHAnsi" w:hAnsiTheme="minorHAnsi"/>
        </w:rPr>
        <w:t>T</w:t>
      </w:r>
      <w:r w:rsidRPr="00A90F8A">
        <w:rPr>
          <w:rFonts w:asciiTheme="minorHAnsi" w:hAnsiTheme="minorHAnsi"/>
        </w:rPr>
        <w:t>he extent of betterment in growth areas i</w:t>
      </w:r>
      <w:r>
        <w:rPr>
          <w:rFonts w:asciiTheme="minorHAnsi" w:hAnsiTheme="minorHAnsi"/>
        </w:rPr>
        <w:t>s</w:t>
      </w:r>
      <w:r w:rsidRPr="00A90F8A">
        <w:rPr>
          <w:rFonts w:asciiTheme="minorHAnsi" w:hAnsiTheme="minorHAnsi"/>
        </w:rPr>
        <w:t xml:space="preserve"> much greater than in Fishermans Bend and this has an impact on the fairness of an ICP substantially developed for growth areas being used in an inner urban renewal area.</w:t>
      </w:r>
    </w:p>
    <w:p w:rsidR="007B739A" w:rsidRPr="00A90F8A" w:rsidRDefault="007B739A" w:rsidP="007B739A">
      <w:pPr>
        <w:pStyle w:val="PPVBullet1"/>
        <w:rPr>
          <w:rFonts w:asciiTheme="minorHAnsi" w:hAnsiTheme="minorHAnsi"/>
        </w:rPr>
      </w:pPr>
      <w:r w:rsidRPr="00A90F8A">
        <w:rPr>
          <w:rFonts w:asciiTheme="minorHAnsi" w:hAnsiTheme="minorHAnsi"/>
        </w:rPr>
        <w:t>Land values in outer areas are relatively even, compared with an inner urban context where improvements result i</w:t>
      </w:r>
      <w:r>
        <w:rPr>
          <w:rFonts w:asciiTheme="minorHAnsi" w:hAnsiTheme="minorHAnsi"/>
        </w:rPr>
        <w:t>n</w:t>
      </w:r>
      <w:r w:rsidRPr="00A90F8A">
        <w:rPr>
          <w:rFonts w:asciiTheme="minorHAnsi" w:hAnsiTheme="minorHAnsi"/>
        </w:rPr>
        <w:t xml:space="preserve"> a much wider range of land values.  This makes the practicality of using and ICP land equalisation approach of lesser value.</w:t>
      </w:r>
    </w:p>
    <w:p w:rsidR="007B739A" w:rsidRPr="00A90F8A" w:rsidRDefault="007B739A" w:rsidP="007B739A">
      <w:pPr>
        <w:pStyle w:val="PPVBullet1"/>
        <w:rPr>
          <w:rFonts w:asciiTheme="minorHAnsi" w:hAnsiTheme="minorHAnsi"/>
        </w:rPr>
      </w:pPr>
      <w:r w:rsidRPr="00A90F8A">
        <w:rPr>
          <w:rFonts w:asciiTheme="minorHAnsi" w:hAnsiTheme="minorHAnsi"/>
        </w:rPr>
        <w:t>Development in the growth area context usually occurs in a relat</w:t>
      </w:r>
      <w:r w:rsidR="00A80B82">
        <w:rPr>
          <w:rFonts w:asciiTheme="minorHAnsi" w:hAnsiTheme="minorHAnsi"/>
        </w:rPr>
        <w:t>ively limited time window of 10–</w:t>
      </w:r>
      <w:r w:rsidRPr="00A90F8A">
        <w:rPr>
          <w:rFonts w:asciiTheme="minorHAnsi" w:hAnsiTheme="minorHAnsi"/>
        </w:rPr>
        <w:t>15 years and that a much longer development window i</w:t>
      </w:r>
      <w:r>
        <w:rPr>
          <w:rFonts w:asciiTheme="minorHAnsi" w:hAnsiTheme="minorHAnsi"/>
        </w:rPr>
        <w:t>s</w:t>
      </w:r>
      <w:r w:rsidRPr="00A90F8A">
        <w:rPr>
          <w:rFonts w:asciiTheme="minorHAnsi" w:hAnsiTheme="minorHAnsi"/>
        </w:rPr>
        <w:t xml:space="preserve"> likely in Fishermans Bend.  This makes the use of the ICP for the timely delivery of infrastructure, problematic and likely to result in compulsory acquisition which will be grossly unfair and in breach of the </w:t>
      </w:r>
      <w:r w:rsidRPr="00431492">
        <w:rPr>
          <w:rFonts w:asciiTheme="minorHAnsi" w:hAnsiTheme="minorHAnsi"/>
          <w:i/>
        </w:rPr>
        <w:t>Charter of Human Rights</w:t>
      </w:r>
      <w:r w:rsidRPr="00A90F8A">
        <w:rPr>
          <w:rFonts w:asciiTheme="minorHAnsi" w:hAnsiTheme="minorHAnsi"/>
        </w:rPr>
        <w:t>.</w:t>
      </w:r>
    </w:p>
    <w:p w:rsidR="007B739A" w:rsidRPr="00A90F8A" w:rsidRDefault="007B739A" w:rsidP="007B739A">
      <w:pPr>
        <w:pStyle w:val="PPVBullet1"/>
        <w:rPr>
          <w:rFonts w:asciiTheme="minorHAnsi" w:hAnsiTheme="minorHAnsi"/>
        </w:rPr>
      </w:pPr>
      <w:r w:rsidRPr="00A90F8A">
        <w:rPr>
          <w:rFonts w:asciiTheme="minorHAnsi" w:hAnsiTheme="minorHAnsi"/>
        </w:rPr>
        <w:t>The size of land required for public purposes in growth areas tends to be larger compared to overall land size and usually results in a fewer number o</w:t>
      </w:r>
      <w:r>
        <w:rPr>
          <w:rFonts w:asciiTheme="minorHAnsi" w:hAnsiTheme="minorHAnsi"/>
        </w:rPr>
        <w:t>f</w:t>
      </w:r>
      <w:r w:rsidRPr="00A90F8A">
        <w:rPr>
          <w:rFonts w:asciiTheme="minorHAnsi" w:hAnsiTheme="minorHAnsi"/>
        </w:rPr>
        <w:t xml:space="preserve"> land owners losing all or most of their land for public purposes. </w:t>
      </w:r>
      <w:r>
        <w:rPr>
          <w:rFonts w:asciiTheme="minorHAnsi" w:hAnsiTheme="minorHAnsi"/>
        </w:rPr>
        <w:t xml:space="preserve"> </w:t>
      </w:r>
      <w:r w:rsidRPr="00A90F8A">
        <w:rPr>
          <w:rFonts w:asciiTheme="minorHAnsi" w:hAnsiTheme="minorHAnsi"/>
        </w:rPr>
        <w:t>This contrasts with the likely situation in Fishermans Bend.</w:t>
      </w:r>
    </w:p>
    <w:p w:rsidR="007B739A" w:rsidRDefault="007B739A" w:rsidP="007B739A">
      <w:pPr>
        <w:pStyle w:val="PPVBody"/>
        <w:rPr>
          <w:rFonts w:asciiTheme="minorHAnsi" w:hAnsiTheme="minorHAnsi"/>
        </w:rPr>
      </w:pPr>
      <w:r w:rsidRPr="00A90F8A">
        <w:rPr>
          <w:rFonts w:asciiTheme="minorHAnsi" w:hAnsiTheme="minorHAnsi"/>
        </w:rPr>
        <w:lastRenderedPageBreak/>
        <w:t xml:space="preserve">At the reconvened Hearing on 20 June 2018, </w:t>
      </w:r>
      <w:r>
        <w:rPr>
          <w:rFonts w:asciiTheme="minorHAnsi" w:hAnsiTheme="minorHAnsi"/>
        </w:rPr>
        <w:t>Mr Tweedie submitted that his clients had not had the opportunity to call relevant expert evidence or to test any expert evidence that the Minister might have called in respect of this proposal.  He submitted that the Review Panel can do little other than:</w:t>
      </w:r>
    </w:p>
    <w:p w:rsidR="007B739A" w:rsidRDefault="007B739A" w:rsidP="007B739A">
      <w:pPr>
        <w:pStyle w:val="PPVQuoteBullet1"/>
        <w:tabs>
          <w:tab w:val="num" w:pos="644"/>
        </w:tabs>
      </w:pPr>
      <w:r>
        <w:t>note that the Minister has, at a very late stage in the Hearing, proposed an alternative mechanism which would include the use of an ICP</w:t>
      </w:r>
    </w:p>
    <w:p w:rsidR="007B739A" w:rsidRDefault="007B739A" w:rsidP="007B739A">
      <w:pPr>
        <w:pStyle w:val="PPVQuoteBullet1"/>
        <w:tabs>
          <w:tab w:val="num" w:pos="644"/>
        </w:tabs>
      </w:pPr>
      <w:r>
        <w:t>observe that the parties and the Review Panel have not been given a sufficient or fair opportunity to consider properly the merits of the new approach in the context of Fishermans Bend</w:t>
      </w:r>
    </w:p>
    <w:p w:rsidR="007B739A" w:rsidRPr="007B17E4" w:rsidRDefault="007B739A" w:rsidP="007B739A">
      <w:pPr>
        <w:pStyle w:val="PPVQuoteBullet1"/>
        <w:tabs>
          <w:tab w:val="num" w:pos="644"/>
        </w:tabs>
        <w:rPr>
          <w:rFonts w:asciiTheme="minorHAnsi" w:hAnsiTheme="minorHAnsi"/>
        </w:rPr>
      </w:pPr>
      <w:r>
        <w:t>recommend that, if an ICP is to form a part of any future amendment, that the future amendment be subject to exhibition, notification and independent review to allow this mechanism to be fully and fairly considered.</w:t>
      </w:r>
    </w:p>
    <w:p w:rsidR="007B739A" w:rsidRPr="00A90F8A" w:rsidRDefault="007B739A" w:rsidP="007B739A">
      <w:pPr>
        <w:pStyle w:val="PPVBody"/>
        <w:rPr>
          <w:rFonts w:asciiTheme="minorHAnsi" w:hAnsiTheme="minorHAnsi"/>
        </w:rPr>
      </w:pPr>
      <w:r>
        <w:rPr>
          <w:rFonts w:asciiTheme="minorHAnsi" w:hAnsiTheme="minorHAnsi"/>
        </w:rPr>
        <w:t>Other landowner submitters endorsed the closing submission of Mr Tweedie.</w:t>
      </w:r>
    </w:p>
    <w:p w:rsidR="007B739A" w:rsidRDefault="007B739A" w:rsidP="007B739A">
      <w:pPr>
        <w:pStyle w:val="Heading4"/>
      </w:pPr>
      <w:r>
        <w:t>Discussion</w:t>
      </w:r>
    </w:p>
    <w:p w:rsidR="00785416" w:rsidRDefault="007B739A" w:rsidP="007B739A">
      <w:pPr>
        <w:pStyle w:val="PPVBody"/>
        <w:rPr>
          <w:rFonts w:asciiTheme="minorHAnsi" w:hAnsiTheme="minorHAnsi"/>
        </w:rPr>
      </w:pPr>
      <w:r w:rsidRPr="00A90F8A">
        <w:rPr>
          <w:rFonts w:asciiTheme="minorHAnsi" w:hAnsiTheme="minorHAnsi"/>
        </w:rPr>
        <w:t xml:space="preserve">While the Review Panel is critical of the manner and timing of the ICP proposal </w:t>
      </w:r>
      <w:r>
        <w:rPr>
          <w:rFonts w:asciiTheme="minorHAnsi" w:hAnsiTheme="minorHAnsi"/>
        </w:rPr>
        <w:t xml:space="preserve">being introduced, </w:t>
      </w:r>
      <w:r w:rsidRPr="00A90F8A">
        <w:rPr>
          <w:rFonts w:asciiTheme="minorHAnsi" w:hAnsiTheme="minorHAnsi"/>
        </w:rPr>
        <w:t xml:space="preserve">it </w:t>
      </w:r>
      <w:r>
        <w:rPr>
          <w:rFonts w:asciiTheme="minorHAnsi" w:hAnsiTheme="minorHAnsi"/>
        </w:rPr>
        <w:t>considers it an appropriate tool to explore.  Although there is no particular ICP before it as part of the draft Amendment, i</w:t>
      </w:r>
      <w:r w:rsidRPr="00A90F8A">
        <w:rPr>
          <w:rFonts w:asciiTheme="minorHAnsi" w:hAnsiTheme="minorHAnsi"/>
        </w:rPr>
        <w:t>t is</w:t>
      </w:r>
      <w:r>
        <w:rPr>
          <w:rFonts w:asciiTheme="minorHAnsi" w:hAnsiTheme="minorHAnsi"/>
        </w:rPr>
        <w:t>,</w:t>
      </w:r>
      <w:r w:rsidRPr="00A90F8A">
        <w:rPr>
          <w:rFonts w:asciiTheme="minorHAnsi" w:hAnsiTheme="minorHAnsi"/>
        </w:rPr>
        <w:t xml:space="preserve"> however</w:t>
      </w:r>
      <w:r>
        <w:rPr>
          <w:rFonts w:asciiTheme="minorHAnsi" w:hAnsiTheme="minorHAnsi"/>
        </w:rPr>
        <w:t>,</w:t>
      </w:r>
      <w:r w:rsidRPr="00A90F8A">
        <w:rPr>
          <w:rFonts w:asciiTheme="minorHAnsi" w:hAnsiTheme="minorHAnsi"/>
        </w:rPr>
        <w:t xml:space="preserve"> appropriate for the Review Panel to make some general observations on the use of the ICP mechanism</w:t>
      </w:r>
      <w:r>
        <w:rPr>
          <w:rFonts w:asciiTheme="minorHAnsi" w:hAnsiTheme="minorHAnsi"/>
        </w:rPr>
        <w:t xml:space="preserve"> in principle and matters to be considered</w:t>
      </w:r>
      <w:r w:rsidRPr="00A90F8A">
        <w:rPr>
          <w:rFonts w:asciiTheme="minorHAnsi" w:hAnsiTheme="minorHAnsi"/>
        </w:rPr>
        <w:t>, based on comments and criticisms made by submitters.</w:t>
      </w:r>
    </w:p>
    <w:p w:rsidR="007B739A" w:rsidRPr="00A90F8A" w:rsidRDefault="007B739A" w:rsidP="007B739A">
      <w:pPr>
        <w:pStyle w:val="PPVBody"/>
        <w:rPr>
          <w:rFonts w:asciiTheme="minorHAnsi" w:hAnsiTheme="minorHAnsi"/>
        </w:rPr>
      </w:pPr>
      <w:r w:rsidRPr="00A90F8A">
        <w:rPr>
          <w:rFonts w:asciiTheme="minorHAnsi" w:hAnsiTheme="minorHAnsi"/>
        </w:rPr>
        <w:t xml:space="preserve">The Review Panel does not accept Mr Morris’s contention that the ICP was developed primarily for growth areas.  </w:t>
      </w:r>
      <w:r>
        <w:rPr>
          <w:rFonts w:asciiTheme="minorHAnsi" w:hAnsiTheme="minorHAnsi"/>
        </w:rPr>
        <w:t>T</w:t>
      </w:r>
      <w:r w:rsidRPr="00A90F8A">
        <w:rPr>
          <w:rFonts w:asciiTheme="minorHAnsi" w:hAnsiTheme="minorHAnsi"/>
        </w:rPr>
        <w:t xml:space="preserve">hat is where its main use </w:t>
      </w:r>
      <w:r>
        <w:rPr>
          <w:rFonts w:asciiTheme="minorHAnsi" w:hAnsiTheme="minorHAnsi"/>
        </w:rPr>
        <w:t>is expected</w:t>
      </w:r>
      <w:r w:rsidRPr="00A90F8A">
        <w:rPr>
          <w:rFonts w:asciiTheme="minorHAnsi" w:hAnsiTheme="minorHAnsi"/>
        </w:rPr>
        <w:t xml:space="preserve">, but the </w:t>
      </w:r>
      <w:r>
        <w:rPr>
          <w:rFonts w:asciiTheme="minorHAnsi" w:hAnsiTheme="minorHAnsi"/>
        </w:rPr>
        <w:t xml:space="preserve">Standard Development Contributions Advisory </w:t>
      </w:r>
      <w:r w:rsidRPr="00A90F8A">
        <w:rPr>
          <w:rFonts w:asciiTheme="minorHAnsi" w:hAnsiTheme="minorHAnsi"/>
        </w:rPr>
        <w:t>Committee which advised on its development and implementation clearly envisaged its broad use including in strategic development areas, and made recommendations accordingly.</w:t>
      </w:r>
    </w:p>
    <w:p w:rsidR="007B739A" w:rsidRPr="00A90F8A" w:rsidRDefault="007B739A" w:rsidP="007B739A">
      <w:pPr>
        <w:pStyle w:val="PPVBody"/>
        <w:rPr>
          <w:rFonts w:asciiTheme="minorHAnsi" w:hAnsiTheme="minorHAnsi"/>
        </w:rPr>
      </w:pPr>
      <w:r w:rsidRPr="00A90F8A">
        <w:rPr>
          <w:rFonts w:asciiTheme="minorHAnsi" w:hAnsiTheme="minorHAnsi"/>
        </w:rPr>
        <w:t xml:space="preserve">There are issues, some of which </w:t>
      </w:r>
      <w:r>
        <w:rPr>
          <w:rFonts w:asciiTheme="minorHAnsi" w:hAnsiTheme="minorHAnsi"/>
        </w:rPr>
        <w:t>we</w:t>
      </w:r>
      <w:r w:rsidRPr="00A90F8A">
        <w:rPr>
          <w:rFonts w:asciiTheme="minorHAnsi" w:hAnsiTheme="minorHAnsi"/>
        </w:rPr>
        <w:t>re identified by Mr Morris, which need to be resolved in the implementation of an ICP in Fishermans Bend</w:t>
      </w:r>
      <w:r>
        <w:rPr>
          <w:rFonts w:asciiTheme="minorHAnsi" w:hAnsiTheme="minorHAnsi"/>
        </w:rPr>
        <w:t xml:space="preserve">.  These </w:t>
      </w:r>
      <w:r w:rsidRPr="00A90F8A">
        <w:rPr>
          <w:rFonts w:asciiTheme="minorHAnsi" w:hAnsiTheme="minorHAnsi"/>
        </w:rPr>
        <w:t>includ</w:t>
      </w:r>
      <w:r>
        <w:rPr>
          <w:rFonts w:asciiTheme="minorHAnsi" w:hAnsiTheme="minorHAnsi"/>
        </w:rPr>
        <w:t>e</w:t>
      </w:r>
      <w:r w:rsidRPr="00A90F8A">
        <w:rPr>
          <w:rFonts w:asciiTheme="minorHAnsi" w:hAnsiTheme="minorHAnsi"/>
        </w:rPr>
        <w:t>:</w:t>
      </w:r>
    </w:p>
    <w:p w:rsidR="007B739A" w:rsidRDefault="007B739A" w:rsidP="007B739A">
      <w:pPr>
        <w:pStyle w:val="PPVBullet1"/>
        <w:rPr>
          <w:rFonts w:asciiTheme="minorHAnsi" w:hAnsiTheme="minorHAnsi"/>
        </w:rPr>
      </w:pPr>
      <w:r w:rsidRPr="002D625F">
        <w:rPr>
          <w:rFonts w:asciiTheme="minorHAnsi" w:hAnsiTheme="minorHAnsi"/>
        </w:rPr>
        <w:t xml:space="preserve">land valuation related equity </w:t>
      </w:r>
      <w:r>
        <w:rPr>
          <w:rFonts w:asciiTheme="minorHAnsi" w:hAnsiTheme="minorHAnsi"/>
        </w:rPr>
        <w:t xml:space="preserve">and compensation </w:t>
      </w:r>
      <w:r w:rsidRPr="002D625F">
        <w:rPr>
          <w:rFonts w:asciiTheme="minorHAnsi" w:hAnsiTheme="minorHAnsi"/>
        </w:rPr>
        <w:t xml:space="preserve">issues which might arise from significantly different land values, between </w:t>
      </w:r>
      <w:r>
        <w:rPr>
          <w:rFonts w:asciiTheme="minorHAnsi" w:hAnsiTheme="minorHAnsi"/>
        </w:rPr>
        <w:t>sites, between P</w:t>
      </w:r>
      <w:r w:rsidRPr="002D625F">
        <w:rPr>
          <w:rFonts w:asciiTheme="minorHAnsi" w:hAnsiTheme="minorHAnsi"/>
        </w:rPr>
        <w:t>recincts</w:t>
      </w:r>
      <w:r>
        <w:rPr>
          <w:rFonts w:asciiTheme="minorHAnsi" w:hAnsiTheme="minorHAnsi"/>
        </w:rPr>
        <w:t>,</w:t>
      </w:r>
      <w:r w:rsidRPr="002D625F">
        <w:rPr>
          <w:rFonts w:asciiTheme="minorHAnsi" w:hAnsiTheme="minorHAnsi"/>
        </w:rPr>
        <w:t xml:space="preserve"> and over a potentially significant period of time</w:t>
      </w:r>
    </w:p>
    <w:p w:rsidR="007B739A" w:rsidRPr="002D625F" w:rsidRDefault="007B739A" w:rsidP="007B739A">
      <w:pPr>
        <w:pStyle w:val="PPVBullet1"/>
        <w:rPr>
          <w:rFonts w:asciiTheme="minorHAnsi" w:hAnsiTheme="minorHAnsi"/>
        </w:rPr>
      </w:pPr>
      <w:r>
        <w:rPr>
          <w:rFonts w:asciiTheme="minorHAnsi" w:hAnsiTheme="minorHAnsi"/>
        </w:rPr>
        <w:t xml:space="preserve">deciding what infrastructure should be included in the ICP, and what should be provided as developer works under permit conditions, </w:t>
      </w:r>
      <w:r w:rsidRPr="002D625F">
        <w:rPr>
          <w:rFonts w:asciiTheme="minorHAnsi" w:hAnsiTheme="minorHAnsi"/>
        </w:rPr>
        <w:t xml:space="preserve">given </w:t>
      </w:r>
      <w:r>
        <w:rPr>
          <w:rFonts w:asciiTheme="minorHAnsi" w:hAnsiTheme="minorHAnsi"/>
        </w:rPr>
        <w:t xml:space="preserve">there will be </w:t>
      </w:r>
      <w:r w:rsidRPr="002D625F">
        <w:rPr>
          <w:rFonts w:asciiTheme="minorHAnsi" w:hAnsiTheme="minorHAnsi"/>
        </w:rPr>
        <w:t xml:space="preserve">multiple land owners and multiple beneficiaries </w:t>
      </w:r>
      <w:r>
        <w:rPr>
          <w:rFonts w:asciiTheme="minorHAnsi" w:hAnsiTheme="minorHAnsi"/>
        </w:rPr>
        <w:t xml:space="preserve">likely to be affected by </w:t>
      </w:r>
      <w:r w:rsidRPr="002D625F">
        <w:rPr>
          <w:rFonts w:asciiTheme="minorHAnsi" w:hAnsiTheme="minorHAnsi"/>
        </w:rPr>
        <w:t xml:space="preserve">the new </w:t>
      </w:r>
      <w:r>
        <w:rPr>
          <w:rFonts w:asciiTheme="minorHAnsi" w:hAnsiTheme="minorHAnsi"/>
        </w:rPr>
        <w:t xml:space="preserve">infrastructure (particularly new </w:t>
      </w:r>
      <w:r w:rsidRPr="002D625F">
        <w:rPr>
          <w:rFonts w:asciiTheme="minorHAnsi" w:hAnsiTheme="minorHAnsi"/>
        </w:rPr>
        <w:t>streets</w:t>
      </w:r>
      <w:r>
        <w:rPr>
          <w:rFonts w:asciiTheme="minorHAnsi" w:hAnsiTheme="minorHAnsi"/>
        </w:rPr>
        <w:t>)</w:t>
      </w:r>
    </w:p>
    <w:p w:rsidR="007B739A" w:rsidRDefault="007B739A" w:rsidP="007B739A">
      <w:pPr>
        <w:pStyle w:val="PPVBullet1"/>
        <w:rPr>
          <w:rFonts w:asciiTheme="minorHAnsi" w:hAnsiTheme="minorHAnsi"/>
        </w:rPr>
      </w:pPr>
      <w:r>
        <w:rPr>
          <w:rFonts w:asciiTheme="minorHAnsi" w:hAnsiTheme="minorHAnsi"/>
        </w:rPr>
        <w:t>t</w:t>
      </w:r>
      <w:r w:rsidRPr="00A90F8A">
        <w:rPr>
          <w:rFonts w:asciiTheme="minorHAnsi" w:hAnsiTheme="minorHAnsi"/>
        </w:rPr>
        <w:t>he quantum of the levy which can be imposed</w:t>
      </w:r>
      <w:r>
        <w:rPr>
          <w:rFonts w:asciiTheme="minorHAnsi" w:hAnsiTheme="minorHAnsi"/>
        </w:rPr>
        <w:t>,</w:t>
      </w:r>
      <w:r w:rsidRPr="00A90F8A">
        <w:rPr>
          <w:rFonts w:asciiTheme="minorHAnsi" w:hAnsiTheme="minorHAnsi"/>
        </w:rPr>
        <w:t xml:space="preserve"> given the competitive context in which Fishermans Bend will be developed</w:t>
      </w:r>
    </w:p>
    <w:p w:rsidR="007B739A" w:rsidRPr="00A90F8A" w:rsidRDefault="007B739A" w:rsidP="007B739A">
      <w:pPr>
        <w:pStyle w:val="PPVBullet1"/>
        <w:rPr>
          <w:rFonts w:asciiTheme="minorHAnsi" w:hAnsiTheme="minorHAnsi"/>
        </w:rPr>
      </w:pPr>
      <w:r w:rsidRPr="00A90F8A">
        <w:rPr>
          <w:rFonts w:asciiTheme="minorHAnsi" w:hAnsiTheme="minorHAnsi"/>
        </w:rPr>
        <w:t>who will be responsible for any residual costs</w:t>
      </w:r>
      <w:r>
        <w:rPr>
          <w:rFonts w:asciiTheme="minorHAnsi" w:hAnsiTheme="minorHAnsi"/>
        </w:rPr>
        <w:t xml:space="preserve"> of infrastructure that is not fully funded by the ICP</w:t>
      </w:r>
      <w:r w:rsidRPr="00A90F8A">
        <w:rPr>
          <w:rFonts w:asciiTheme="minorHAnsi" w:hAnsiTheme="minorHAnsi"/>
        </w:rPr>
        <w:t>.</w:t>
      </w:r>
    </w:p>
    <w:p w:rsidR="007B739A" w:rsidRDefault="007B739A" w:rsidP="007B739A">
      <w:pPr>
        <w:pStyle w:val="PPVBody"/>
        <w:rPr>
          <w:rFonts w:asciiTheme="minorHAnsi" w:hAnsiTheme="minorHAnsi"/>
        </w:rPr>
      </w:pPr>
      <w:r>
        <w:rPr>
          <w:rFonts w:asciiTheme="minorHAnsi" w:hAnsiTheme="minorHAnsi"/>
        </w:rPr>
        <w:t xml:space="preserve">The Review Panel is aware of situations where </w:t>
      </w:r>
      <w:r w:rsidRPr="002D625F">
        <w:rPr>
          <w:rFonts w:asciiTheme="minorHAnsi" w:hAnsiTheme="minorHAnsi"/>
        </w:rPr>
        <w:t xml:space="preserve">limited DCPs have been used for local streets in growth areas which would normally be </w:t>
      </w:r>
      <w:r>
        <w:rPr>
          <w:rFonts w:asciiTheme="minorHAnsi" w:hAnsiTheme="minorHAnsi"/>
        </w:rPr>
        <w:t xml:space="preserve">delivered as part of </w:t>
      </w:r>
      <w:r w:rsidRPr="002D625F">
        <w:rPr>
          <w:rFonts w:asciiTheme="minorHAnsi" w:hAnsiTheme="minorHAnsi"/>
        </w:rPr>
        <w:t xml:space="preserve">developer </w:t>
      </w:r>
      <w:r>
        <w:rPr>
          <w:rFonts w:asciiTheme="minorHAnsi" w:hAnsiTheme="minorHAnsi"/>
        </w:rPr>
        <w:t xml:space="preserve">works, </w:t>
      </w:r>
      <w:r w:rsidRPr="002D625F">
        <w:rPr>
          <w:rFonts w:asciiTheme="minorHAnsi" w:hAnsiTheme="minorHAnsi"/>
        </w:rPr>
        <w:t>but where there are multiple land owners who benefi</w:t>
      </w:r>
      <w:r>
        <w:rPr>
          <w:rFonts w:asciiTheme="minorHAnsi" w:hAnsiTheme="minorHAnsi"/>
        </w:rPr>
        <w:t>t from the street</w:t>
      </w:r>
      <w:r w:rsidRPr="002D625F">
        <w:rPr>
          <w:rFonts w:asciiTheme="minorHAnsi" w:hAnsiTheme="minorHAnsi"/>
        </w:rPr>
        <w:t>s.</w:t>
      </w:r>
    </w:p>
    <w:p w:rsidR="00785416" w:rsidRDefault="007B739A" w:rsidP="007B739A">
      <w:pPr>
        <w:pStyle w:val="PPVBody"/>
        <w:rPr>
          <w:rFonts w:asciiTheme="minorHAnsi" w:hAnsiTheme="minorHAnsi"/>
        </w:rPr>
      </w:pPr>
      <w:r>
        <w:rPr>
          <w:rFonts w:asciiTheme="minorHAnsi" w:hAnsiTheme="minorHAnsi"/>
        </w:rPr>
        <w:t>Finally, much of the administrative framework required to apply ICPs and the Public Land Contributions Act mechanisms to urban renewal areas is yet to be put in place.  It may be some time until this occurs.  T</w:t>
      </w:r>
      <w:r w:rsidRPr="00A90F8A">
        <w:rPr>
          <w:rFonts w:asciiTheme="minorHAnsi" w:hAnsiTheme="minorHAnsi"/>
        </w:rPr>
        <w:t xml:space="preserve">he Review Panel is cognisant of </w:t>
      </w:r>
      <w:r>
        <w:rPr>
          <w:rFonts w:asciiTheme="minorHAnsi" w:hAnsiTheme="minorHAnsi"/>
        </w:rPr>
        <w:t xml:space="preserve">the many submissions, </w:t>
      </w:r>
      <w:r>
        <w:rPr>
          <w:rFonts w:asciiTheme="minorHAnsi" w:hAnsiTheme="minorHAnsi"/>
        </w:rPr>
        <w:lastRenderedPageBreak/>
        <w:t xml:space="preserve">including those of both Councils, urging </w:t>
      </w:r>
      <w:r w:rsidRPr="00A90F8A">
        <w:rPr>
          <w:rFonts w:asciiTheme="minorHAnsi" w:hAnsiTheme="minorHAnsi"/>
        </w:rPr>
        <w:t>that the development of a DCP (now ICP) be expedited</w:t>
      </w:r>
      <w:r>
        <w:rPr>
          <w:rFonts w:asciiTheme="minorHAnsi" w:hAnsiTheme="minorHAnsi"/>
        </w:rPr>
        <w:t>,</w:t>
      </w:r>
      <w:r w:rsidRPr="00A90F8A">
        <w:rPr>
          <w:rFonts w:asciiTheme="minorHAnsi" w:hAnsiTheme="minorHAnsi"/>
        </w:rPr>
        <w:t xml:space="preserve"> and that the interim </w:t>
      </w:r>
      <w:r>
        <w:rPr>
          <w:rFonts w:asciiTheme="minorHAnsi" w:hAnsiTheme="minorHAnsi"/>
        </w:rPr>
        <w:t>developer</w:t>
      </w:r>
      <w:r w:rsidRPr="00A90F8A">
        <w:rPr>
          <w:rFonts w:asciiTheme="minorHAnsi" w:hAnsiTheme="minorHAnsi"/>
        </w:rPr>
        <w:t xml:space="preserve"> contribution</w:t>
      </w:r>
      <w:r>
        <w:rPr>
          <w:rFonts w:asciiTheme="minorHAnsi" w:hAnsiTheme="minorHAnsi"/>
        </w:rPr>
        <w:t>s</w:t>
      </w:r>
      <w:r w:rsidRPr="00A90F8A">
        <w:rPr>
          <w:rFonts w:asciiTheme="minorHAnsi" w:hAnsiTheme="minorHAnsi"/>
        </w:rPr>
        <w:t xml:space="preserve"> and open space contribution</w:t>
      </w:r>
      <w:r>
        <w:rPr>
          <w:rFonts w:asciiTheme="minorHAnsi" w:hAnsiTheme="minorHAnsi"/>
        </w:rPr>
        <w:t>s</w:t>
      </w:r>
      <w:r w:rsidRPr="00A90F8A">
        <w:rPr>
          <w:rFonts w:asciiTheme="minorHAnsi" w:hAnsiTheme="minorHAnsi"/>
        </w:rPr>
        <w:t xml:space="preserve"> be raised significantly</w:t>
      </w:r>
      <w:r>
        <w:rPr>
          <w:rFonts w:asciiTheme="minorHAnsi" w:hAnsiTheme="minorHAnsi"/>
        </w:rPr>
        <w:t xml:space="preserve"> to cover the period until a reworked DCP (or ICP) is in place</w:t>
      </w:r>
      <w:r w:rsidRPr="00A90F8A">
        <w:rPr>
          <w:rFonts w:asciiTheme="minorHAnsi" w:hAnsiTheme="minorHAnsi"/>
        </w:rPr>
        <w:t>.</w:t>
      </w:r>
    </w:p>
    <w:p w:rsidR="007B739A" w:rsidRDefault="007B739A" w:rsidP="007B739A">
      <w:pPr>
        <w:pStyle w:val="PPVBody"/>
        <w:rPr>
          <w:rFonts w:asciiTheme="minorHAnsi" w:hAnsiTheme="minorHAnsi"/>
        </w:rPr>
      </w:pPr>
      <w:r w:rsidRPr="00A90F8A">
        <w:rPr>
          <w:rFonts w:asciiTheme="minorHAnsi" w:hAnsiTheme="minorHAnsi"/>
        </w:rPr>
        <w:t xml:space="preserve">It is clear that if </w:t>
      </w:r>
      <w:r>
        <w:rPr>
          <w:rFonts w:asciiTheme="minorHAnsi" w:hAnsiTheme="minorHAnsi"/>
        </w:rPr>
        <w:t xml:space="preserve">the acquisition of </w:t>
      </w:r>
      <w:r w:rsidRPr="00A90F8A">
        <w:rPr>
          <w:rFonts w:asciiTheme="minorHAnsi" w:hAnsiTheme="minorHAnsi"/>
        </w:rPr>
        <w:t xml:space="preserve">land for </w:t>
      </w:r>
      <w:r>
        <w:rPr>
          <w:rFonts w:asciiTheme="minorHAnsi" w:hAnsiTheme="minorHAnsi"/>
        </w:rPr>
        <w:t xml:space="preserve">public infrastructure such as </w:t>
      </w:r>
      <w:r w:rsidRPr="00A90F8A">
        <w:rPr>
          <w:rFonts w:asciiTheme="minorHAnsi" w:hAnsiTheme="minorHAnsi"/>
        </w:rPr>
        <w:t xml:space="preserve">parks and road widenings </w:t>
      </w:r>
      <w:r>
        <w:rPr>
          <w:rFonts w:asciiTheme="minorHAnsi" w:hAnsiTheme="minorHAnsi"/>
        </w:rPr>
        <w:t>is</w:t>
      </w:r>
      <w:r w:rsidRPr="00A90F8A">
        <w:rPr>
          <w:rFonts w:asciiTheme="minorHAnsi" w:hAnsiTheme="minorHAnsi"/>
        </w:rPr>
        <w:t xml:space="preserve"> to be included in an ICP, it is even more likely that the current interim </w:t>
      </w:r>
      <w:r>
        <w:rPr>
          <w:rFonts w:asciiTheme="minorHAnsi" w:hAnsiTheme="minorHAnsi"/>
        </w:rPr>
        <w:t xml:space="preserve">developer </w:t>
      </w:r>
      <w:r w:rsidRPr="00A90F8A">
        <w:rPr>
          <w:rFonts w:asciiTheme="minorHAnsi" w:hAnsiTheme="minorHAnsi"/>
        </w:rPr>
        <w:t>contribution</w:t>
      </w:r>
      <w:r>
        <w:rPr>
          <w:rFonts w:asciiTheme="minorHAnsi" w:hAnsiTheme="minorHAnsi"/>
        </w:rPr>
        <w:t>s</w:t>
      </w:r>
      <w:r w:rsidRPr="00A90F8A">
        <w:rPr>
          <w:rFonts w:asciiTheme="minorHAnsi" w:hAnsiTheme="minorHAnsi"/>
        </w:rPr>
        <w:t xml:space="preserve"> </w:t>
      </w:r>
      <w:r>
        <w:rPr>
          <w:rFonts w:asciiTheme="minorHAnsi" w:hAnsiTheme="minorHAnsi"/>
        </w:rPr>
        <w:t>are</w:t>
      </w:r>
      <w:r w:rsidRPr="00A90F8A">
        <w:rPr>
          <w:rFonts w:asciiTheme="minorHAnsi" w:hAnsiTheme="minorHAnsi"/>
        </w:rPr>
        <w:t xml:space="preserve"> inadequate.  The Review Panel further observes that funding plans </w:t>
      </w:r>
      <w:r>
        <w:rPr>
          <w:rFonts w:asciiTheme="minorHAnsi" w:hAnsiTheme="minorHAnsi"/>
        </w:rPr>
        <w:t xml:space="preserve">are </w:t>
      </w:r>
      <w:r w:rsidRPr="00A90F8A">
        <w:rPr>
          <w:rFonts w:asciiTheme="minorHAnsi" w:hAnsiTheme="minorHAnsi"/>
        </w:rPr>
        <w:t>likely to be set back as a result of the decision to proceed with an ICP</w:t>
      </w:r>
      <w:r>
        <w:rPr>
          <w:rFonts w:asciiTheme="minorHAnsi" w:hAnsiTheme="minorHAnsi"/>
        </w:rPr>
        <w:t>,</w:t>
      </w:r>
      <w:r w:rsidRPr="00A90F8A">
        <w:rPr>
          <w:rFonts w:asciiTheme="minorHAnsi" w:hAnsiTheme="minorHAnsi"/>
        </w:rPr>
        <w:t xml:space="preserve"> whil</w:t>
      </w:r>
      <w:r>
        <w:rPr>
          <w:rFonts w:asciiTheme="minorHAnsi" w:hAnsiTheme="minorHAnsi"/>
        </w:rPr>
        <w:t>e</w:t>
      </w:r>
      <w:r w:rsidRPr="00A90F8A">
        <w:rPr>
          <w:rFonts w:asciiTheme="minorHAnsi" w:hAnsiTheme="minorHAnsi"/>
        </w:rPr>
        <w:t xml:space="preserve"> issues with </w:t>
      </w:r>
      <w:r>
        <w:rPr>
          <w:rFonts w:asciiTheme="minorHAnsi" w:hAnsiTheme="minorHAnsi"/>
        </w:rPr>
        <w:t xml:space="preserve">implementation of </w:t>
      </w:r>
      <w:r w:rsidRPr="00A90F8A">
        <w:rPr>
          <w:rFonts w:asciiTheme="minorHAnsi" w:hAnsiTheme="minorHAnsi"/>
        </w:rPr>
        <w:t>that mechanism are identified and addressed.</w:t>
      </w:r>
    </w:p>
    <w:p w:rsidR="00785416" w:rsidRDefault="007B739A" w:rsidP="007B739A">
      <w:pPr>
        <w:pStyle w:val="PPVBody"/>
        <w:rPr>
          <w:rFonts w:asciiTheme="minorHAnsi" w:hAnsiTheme="minorHAnsi"/>
        </w:rPr>
      </w:pPr>
      <w:r w:rsidRPr="00A90F8A">
        <w:rPr>
          <w:rFonts w:asciiTheme="minorHAnsi" w:hAnsiTheme="minorHAnsi"/>
        </w:rPr>
        <w:t>Consequently there is an even stronger argument for a significant increase in the interim contribution sooner rather than later</w:t>
      </w:r>
      <w:r>
        <w:rPr>
          <w:rFonts w:asciiTheme="minorHAnsi" w:hAnsiTheme="minorHAnsi"/>
        </w:rPr>
        <w:t>.  C</w:t>
      </w:r>
      <w:r w:rsidRPr="00A90F8A">
        <w:rPr>
          <w:rFonts w:asciiTheme="minorHAnsi" w:hAnsiTheme="minorHAnsi"/>
        </w:rPr>
        <w:t xml:space="preserve">onsideration </w:t>
      </w:r>
      <w:r>
        <w:rPr>
          <w:rFonts w:asciiTheme="minorHAnsi" w:hAnsiTheme="minorHAnsi"/>
        </w:rPr>
        <w:t xml:space="preserve">needs to be </w:t>
      </w:r>
      <w:r w:rsidRPr="00A90F8A">
        <w:rPr>
          <w:rFonts w:asciiTheme="minorHAnsi" w:hAnsiTheme="minorHAnsi"/>
        </w:rPr>
        <w:t>given to a mechanism to ensure that early developers do not get a ‘free ride’ at the cost of subsequent development</w:t>
      </w:r>
      <w:r>
        <w:rPr>
          <w:rFonts w:asciiTheme="minorHAnsi" w:hAnsiTheme="minorHAnsi"/>
        </w:rPr>
        <w:t>,</w:t>
      </w:r>
      <w:r w:rsidRPr="00A90F8A">
        <w:rPr>
          <w:rFonts w:asciiTheme="minorHAnsi" w:hAnsiTheme="minorHAnsi"/>
        </w:rPr>
        <w:t xml:space="preserve"> by </w:t>
      </w:r>
      <w:r>
        <w:rPr>
          <w:rFonts w:asciiTheme="minorHAnsi" w:hAnsiTheme="minorHAnsi"/>
        </w:rPr>
        <w:t xml:space="preserve">virtue of </w:t>
      </w:r>
      <w:r w:rsidRPr="00A90F8A">
        <w:rPr>
          <w:rFonts w:asciiTheme="minorHAnsi" w:hAnsiTheme="minorHAnsi"/>
        </w:rPr>
        <w:t xml:space="preserve">an interim charge that </w:t>
      </w:r>
      <w:r>
        <w:rPr>
          <w:rFonts w:asciiTheme="minorHAnsi" w:hAnsiTheme="minorHAnsi"/>
        </w:rPr>
        <w:t xml:space="preserve">appears likely to be </w:t>
      </w:r>
      <w:r w:rsidRPr="00A90F8A">
        <w:rPr>
          <w:rFonts w:asciiTheme="minorHAnsi" w:hAnsiTheme="minorHAnsi"/>
        </w:rPr>
        <w:t>too low.</w:t>
      </w:r>
    </w:p>
    <w:p w:rsidR="007B739A" w:rsidRPr="00A90F8A" w:rsidRDefault="007B739A" w:rsidP="007B739A">
      <w:pPr>
        <w:pStyle w:val="Heading4"/>
        <w:rPr>
          <w:rFonts w:asciiTheme="minorHAnsi" w:hAnsiTheme="minorHAnsi"/>
        </w:rPr>
      </w:pPr>
      <w:r w:rsidRPr="00A90F8A">
        <w:rPr>
          <w:rFonts w:asciiTheme="minorHAnsi" w:hAnsiTheme="minorHAnsi"/>
        </w:rPr>
        <w:t>Findings</w:t>
      </w:r>
    </w:p>
    <w:p w:rsidR="007B739A" w:rsidRDefault="007B739A" w:rsidP="007B739A">
      <w:pPr>
        <w:pStyle w:val="PPVBody"/>
        <w:rPr>
          <w:rFonts w:asciiTheme="minorHAnsi" w:hAnsiTheme="minorHAnsi"/>
        </w:rPr>
      </w:pPr>
      <w:r>
        <w:rPr>
          <w:rFonts w:asciiTheme="minorHAnsi" w:hAnsiTheme="minorHAnsi"/>
        </w:rPr>
        <w:t>The Review Panel finds:</w:t>
      </w:r>
    </w:p>
    <w:p w:rsidR="007B739A" w:rsidRDefault="007B739A" w:rsidP="007B739A">
      <w:pPr>
        <w:pStyle w:val="PPVBullet1"/>
      </w:pPr>
      <w:r>
        <w:t>T</w:t>
      </w:r>
      <w:r w:rsidRPr="00C47149">
        <w:t>he development and implementation of an ICP or alternatively a DCP seems appropriate, if issues related to its use in an inner urban redevelopment setting can be satisfactorily resolved</w:t>
      </w:r>
      <w:r>
        <w:t>.</w:t>
      </w:r>
    </w:p>
    <w:p w:rsidR="00785416" w:rsidRDefault="007B739A" w:rsidP="007B739A">
      <w:pPr>
        <w:pStyle w:val="PPVBullet1"/>
      </w:pPr>
      <w:r>
        <w:t>The administrative framework to support the application of an ICP to a strategic renewal area like Fishermans Bend may be some way off.</w:t>
      </w:r>
    </w:p>
    <w:p w:rsidR="007B739A" w:rsidRDefault="007B739A" w:rsidP="007B739A">
      <w:pPr>
        <w:pStyle w:val="PPVBullet1"/>
      </w:pPr>
      <w:r>
        <w:t>Given the interim developer contributions rate appears likely to be too low, consideration should be given to whether it should be raised in the meantime</w:t>
      </w:r>
      <w:r w:rsidRPr="00C47149">
        <w:t>.</w:t>
      </w:r>
    </w:p>
    <w:p w:rsidR="00EE461B" w:rsidRDefault="00824A51" w:rsidP="00824A51">
      <w:pPr>
        <w:pStyle w:val="Heading1"/>
      </w:pPr>
      <w:bookmarkStart w:id="497" w:name="_Toc516753999"/>
      <w:bookmarkStart w:id="498" w:name="_Toc519710317"/>
      <w:bookmarkStart w:id="499" w:name="_Toc519766877"/>
      <w:r w:rsidRPr="00232B63">
        <w:lastRenderedPageBreak/>
        <w:t>Acquiring land for public purposes</w:t>
      </w:r>
      <w:bookmarkEnd w:id="497"/>
      <w:bookmarkEnd w:id="498"/>
      <w:bookmarkEnd w:id="499"/>
    </w:p>
    <w:p w:rsidR="00AD26C5" w:rsidRDefault="00FE3348" w:rsidP="00DD6314">
      <w:pPr>
        <w:pStyle w:val="Heading2"/>
      </w:pPr>
      <w:bookmarkStart w:id="500" w:name="_Toc519710318"/>
      <w:bookmarkStart w:id="501" w:name="_Toc519766878"/>
      <w:r>
        <w:t>Context</w:t>
      </w:r>
      <w:r w:rsidR="0078675A">
        <w:t xml:space="preserve"> and key issues</w:t>
      </w:r>
      <w:bookmarkEnd w:id="500"/>
      <w:bookmarkEnd w:id="501"/>
    </w:p>
    <w:p w:rsidR="007B739A" w:rsidRDefault="007B739A" w:rsidP="007B739A">
      <w:pPr>
        <w:pStyle w:val="PPVBody"/>
        <w:rPr>
          <w:rFonts w:asciiTheme="minorHAnsi" w:hAnsiTheme="minorHAnsi"/>
        </w:rPr>
      </w:pPr>
      <w:r>
        <w:rPr>
          <w:rFonts w:asciiTheme="minorHAnsi" w:hAnsiTheme="minorHAnsi"/>
        </w:rPr>
        <w:t xml:space="preserve">Significant amounts of land in Fishermans Bend are required for public purposes.  </w:t>
      </w:r>
      <w:r w:rsidRPr="00A90F8A">
        <w:rPr>
          <w:rFonts w:asciiTheme="minorHAnsi" w:hAnsiTheme="minorHAnsi"/>
        </w:rPr>
        <w:t>Roughly two</w:t>
      </w:r>
      <w:r>
        <w:rPr>
          <w:rFonts w:asciiTheme="minorHAnsi" w:hAnsiTheme="minorHAnsi"/>
        </w:rPr>
        <w:t>-</w:t>
      </w:r>
      <w:r w:rsidRPr="00A90F8A">
        <w:rPr>
          <w:rFonts w:asciiTheme="minorHAnsi" w:hAnsiTheme="minorHAnsi"/>
        </w:rPr>
        <w:t xml:space="preserve">thirds of the </w:t>
      </w:r>
      <w:r>
        <w:rPr>
          <w:rFonts w:asciiTheme="minorHAnsi" w:hAnsiTheme="minorHAnsi"/>
        </w:rPr>
        <w:t xml:space="preserve">land </w:t>
      </w:r>
      <w:r w:rsidRPr="00A90F8A">
        <w:rPr>
          <w:rFonts w:asciiTheme="minorHAnsi" w:hAnsiTheme="minorHAnsi"/>
        </w:rPr>
        <w:t xml:space="preserve">required </w:t>
      </w:r>
      <w:r>
        <w:rPr>
          <w:rFonts w:asciiTheme="minorHAnsi" w:hAnsiTheme="minorHAnsi"/>
        </w:rPr>
        <w:t xml:space="preserve">for </w:t>
      </w:r>
      <w:r w:rsidRPr="00A90F8A">
        <w:rPr>
          <w:rFonts w:asciiTheme="minorHAnsi" w:hAnsiTheme="minorHAnsi"/>
        </w:rPr>
        <w:t>open space is privately owned</w:t>
      </w:r>
      <w:r>
        <w:rPr>
          <w:rFonts w:asciiTheme="minorHAnsi" w:hAnsiTheme="minorHAnsi"/>
        </w:rPr>
        <w:t xml:space="preserve">.  Seventeen </w:t>
      </w:r>
      <w:r w:rsidRPr="00A90F8A">
        <w:rPr>
          <w:rFonts w:asciiTheme="minorHAnsi" w:hAnsiTheme="minorHAnsi"/>
        </w:rPr>
        <w:t xml:space="preserve">properties </w:t>
      </w:r>
      <w:r>
        <w:rPr>
          <w:rFonts w:asciiTheme="minorHAnsi" w:hAnsiTheme="minorHAnsi"/>
        </w:rPr>
        <w:t xml:space="preserve">need </w:t>
      </w:r>
      <w:r w:rsidRPr="00A90F8A">
        <w:rPr>
          <w:rFonts w:asciiTheme="minorHAnsi" w:hAnsiTheme="minorHAnsi"/>
        </w:rPr>
        <w:t>to be acquired in full</w:t>
      </w:r>
      <w:r>
        <w:rPr>
          <w:rFonts w:asciiTheme="minorHAnsi" w:hAnsiTheme="minorHAnsi"/>
        </w:rPr>
        <w:t xml:space="preserve"> (some of which are in multiple separate ownership).  Thirty-eight properties need to be partially acquired</w:t>
      </w:r>
      <w:r w:rsidRPr="00A90F8A">
        <w:rPr>
          <w:rFonts w:asciiTheme="minorHAnsi" w:hAnsiTheme="minorHAnsi"/>
        </w:rPr>
        <w:t>.</w:t>
      </w:r>
      <w:r w:rsidRPr="00820B43">
        <w:rPr>
          <w:rStyle w:val="FootnoteReference"/>
          <w:rFonts w:asciiTheme="minorHAnsi" w:eastAsia="Times" w:hAnsiTheme="minorHAnsi"/>
        </w:rPr>
        <w:footnoteReference w:id="141"/>
      </w:r>
      <w:r w:rsidRPr="00A90F8A">
        <w:rPr>
          <w:rFonts w:asciiTheme="minorHAnsi" w:hAnsiTheme="minorHAnsi"/>
        </w:rPr>
        <w:t xml:space="preserve"> </w:t>
      </w:r>
      <w:r>
        <w:rPr>
          <w:rFonts w:asciiTheme="minorHAnsi" w:hAnsiTheme="minorHAnsi"/>
        </w:rPr>
        <w:t xml:space="preserve"> Significant amounts of land are also required for new and widened streets, roads and laneways.</w:t>
      </w:r>
    </w:p>
    <w:p w:rsidR="007B739A" w:rsidRPr="00A90F8A" w:rsidRDefault="007B739A" w:rsidP="007B739A">
      <w:pPr>
        <w:pStyle w:val="PPVBody"/>
        <w:rPr>
          <w:rFonts w:asciiTheme="minorHAnsi" w:hAnsiTheme="minorHAnsi"/>
        </w:rPr>
      </w:pPr>
      <w:r w:rsidRPr="00A90F8A">
        <w:rPr>
          <w:rFonts w:asciiTheme="minorHAnsi" w:hAnsiTheme="minorHAnsi"/>
        </w:rPr>
        <w:t xml:space="preserve">The </w:t>
      </w:r>
      <w:r>
        <w:rPr>
          <w:rFonts w:asciiTheme="minorHAnsi" w:hAnsiTheme="minorHAnsi"/>
        </w:rPr>
        <w:t xml:space="preserve">Part A and Part B controls </w:t>
      </w:r>
      <w:r w:rsidRPr="00A90F8A">
        <w:rPr>
          <w:rFonts w:asciiTheme="minorHAnsi" w:hAnsiTheme="minorHAnsi"/>
        </w:rPr>
        <w:t xml:space="preserve">proposed </w:t>
      </w:r>
      <w:r>
        <w:rPr>
          <w:rFonts w:asciiTheme="minorHAnsi" w:hAnsiTheme="minorHAnsi"/>
        </w:rPr>
        <w:t xml:space="preserve">three </w:t>
      </w:r>
      <w:r w:rsidRPr="00A90F8A">
        <w:rPr>
          <w:rFonts w:asciiTheme="minorHAnsi" w:hAnsiTheme="minorHAnsi"/>
        </w:rPr>
        <w:t xml:space="preserve">mechanisms for acquiring private land </w:t>
      </w:r>
      <w:r>
        <w:rPr>
          <w:rFonts w:asciiTheme="minorHAnsi" w:hAnsiTheme="minorHAnsi"/>
        </w:rPr>
        <w:t>needed for public purposes</w:t>
      </w:r>
      <w:r w:rsidRPr="00A90F8A">
        <w:rPr>
          <w:rFonts w:asciiTheme="minorHAnsi" w:hAnsiTheme="minorHAnsi"/>
        </w:rPr>
        <w:t>:</w:t>
      </w:r>
    </w:p>
    <w:p w:rsidR="00785416" w:rsidRDefault="007B739A" w:rsidP="000947CB">
      <w:pPr>
        <w:pStyle w:val="PPVBullet1"/>
        <w:numPr>
          <w:ilvl w:val="0"/>
          <w:numId w:val="13"/>
        </w:numPr>
        <w:tabs>
          <w:tab w:val="clear" w:pos="851"/>
        </w:tabs>
        <w:rPr>
          <w:rFonts w:asciiTheme="minorHAnsi" w:hAnsiTheme="minorHAnsi"/>
        </w:rPr>
      </w:pPr>
      <w:r>
        <w:rPr>
          <w:rFonts w:asciiTheme="minorHAnsi" w:hAnsiTheme="minorHAnsi"/>
        </w:rPr>
        <w:t xml:space="preserve">the FAR mechanism originally contained in the CCZ discussed </w:t>
      </w:r>
      <w:r w:rsidRPr="00170966">
        <w:rPr>
          <w:rFonts w:asciiTheme="minorHAnsi" w:hAnsiTheme="minorHAnsi"/>
        </w:rPr>
        <w:t>in Chapter 13</w:t>
      </w:r>
      <w:r>
        <w:rPr>
          <w:rFonts w:asciiTheme="minorHAnsi" w:hAnsiTheme="minorHAnsi"/>
        </w:rPr>
        <w:t xml:space="preserve"> (which has now been abandoned)</w:t>
      </w:r>
    </w:p>
    <w:p w:rsidR="007B739A" w:rsidRPr="00675B5D" w:rsidRDefault="007B739A" w:rsidP="000947CB">
      <w:pPr>
        <w:pStyle w:val="PPVBullet1"/>
        <w:numPr>
          <w:ilvl w:val="0"/>
          <w:numId w:val="13"/>
        </w:numPr>
        <w:tabs>
          <w:tab w:val="clear" w:pos="851"/>
        </w:tabs>
        <w:rPr>
          <w:rFonts w:asciiTheme="minorHAnsi" w:hAnsiTheme="minorHAnsi"/>
        </w:rPr>
      </w:pPr>
      <w:r w:rsidRPr="00675B5D">
        <w:rPr>
          <w:rFonts w:asciiTheme="minorHAnsi" w:hAnsiTheme="minorHAnsi"/>
        </w:rPr>
        <w:t>a negotiated purchase or a compulsory acquisition process</w:t>
      </w:r>
      <w:r>
        <w:rPr>
          <w:rFonts w:asciiTheme="minorHAnsi" w:hAnsiTheme="minorHAnsi"/>
        </w:rPr>
        <w:t xml:space="preserve"> in accordance with the </w:t>
      </w:r>
      <w:r w:rsidRPr="007B739A">
        <w:rPr>
          <w:rFonts w:asciiTheme="minorHAnsi" w:hAnsiTheme="minorHAnsi"/>
        </w:rPr>
        <w:t>LACA (proposed</w:t>
      </w:r>
      <w:r>
        <w:rPr>
          <w:rFonts w:asciiTheme="minorHAnsi" w:hAnsiTheme="minorHAnsi"/>
        </w:rPr>
        <w:t xml:space="preserve"> where </w:t>
      </w:r>
      <w:r w:rsidRPr="00675B5D">
        <w:rPr>
          <w:rFonts w:asciiTheme="minorHAnsi" w:hAnsiTheme="minorHAnsi"/>
        </w:rPr>
        <w:t>whole site</w:t>
      </w:r>
      <w:r>
        <w:rPr>
          <w:rFonts w:asciiTheme="minorHAnsi" w:hAnsiTheme="minorHAnsi"/>
        </w:rPr>
        <w:t>s were to be acquired</w:t>
      </w:r>
      <w:r w:rsidRPr="00675B5D">
        <w:rPr>
          <w:rFonts w:asciiTheme="minorHAnsi" w:hAnsiTheme="minorHAnsi"/>
        </w:rPr>
        <w:t xml:space="preserve"> for </w:t>
      </w:r>
      <w:r>
        <w:rPr>
          <w:rFonts w:asciiTheme="minorHAnsi" w:hAnsiTheme="minorHAnsi"/>
        </w:rPr>
        <w:t>public open space)</w:t>
      </w:r>
    </w:p>
    <w:p w:rsidR="007B739A" w:rsidRPr="00A90F8A" w:rsidRDefault="007B739A" w:rsidP="007B739A">
      <w:pPr>
        <w:pStyle w:val="PPVBullet1"/>
      </w:pPr>
      <w:r w:rsidRPr="00A90F8A">
        <w:t xml:space="preserve">the FAU </w:t>
      </w:r>
      <w:r>
        <w:t xml:space="preserve">scheme (a floor area uplift was proposed for the delivery of public benefit consisting </w:t>
      </w:r>
      <w:r w:rsidRPr="00A90F8A">
        <w:t>additional public open space</w:t>
      </w:r>
      <w:r>
        <w:t xml:space="preserve"> and community hubs)</w:t>
      </w:r>
      <w:r w:rsidRPr="00A90F8A">
        <w:t>.</w:t>
      </w:r>
      <w:r w:rsidRPr="00820B43">
        <w:rPr>
          <w:rStyle w:val="FootnoteReference"/>
        </w:rPr>
        <w:footnoteReference w:id="142"/>
      </w:r>
    </w:p>
    <w:p w:rsidR="007B739A" w:rsidRDefault="007B739A" w:rsidP="007B739A">
      <w:pPr>
        <w:pStyle w:val="PPVBody"/>
      </w:pPr>
      <w:r>
        <w:t>As noted in previous Chapters, significant changes to the controls were put forward throughout the course of the Hearing.  All public purpose land is now proposed to be acquired through one of two mechanisms:</w:t>
      </w:r>
    </w:p>
    <w:p w:rsidR="007B739A" w:rsidRDefault="007B739A" w:rsidP="007B739A">
      <w:pPr>
        <w:pStyle w:val="PPVBullet1"/>
      </w:pPr>
      <w:r>
        <w:t>transfers unde</w:t>
      </w:r>
      <w:r w:rsidRPr="00170966">
        <w:t xml:space="preserve">r the new Public Land Contributions Act, in conjunction with a future ICP </w:t>
      </w:r>
    </w:p>
    <w:p w:rsidR="007B739A" w:rsidRDefault="007B739A" w:rsidP="007B739A">
      <w:pPr>
        <w:pStyle w:val="PPVBullet1"/>
      </w:pPr>
      <w:r>
        <w:t>developer works (mandatory permit conditions requiring developers to construct and transfer streets, roads or laneways are included in the Part C version of the CCZ Schedule).</w:t>
      </w:r>
    </w:p>
    <w:p w:rsidR="007B739A" w:rsidRDefault="007B739A" w:rsidP="007B739A">
      <w:pPr>
        <w:pStyle w:val="PPVBody"/>
      </w:pPr>
      <w:r>
        <w:t>FAU is no longer proposed for open space or community hubs.</w:t>
      </w:r>
    </w:p>
    <w:p w:rsidR="007B739A" w:rsidRDefault="007B739A" w:rsidP="007B739A">
      <w:pPr>
        <w:pStyle w:val="PPVBody"/>
        <w:rPr>
          <w:rFonts w:asciiTheme="minorHAnsi" w:hAnsiTheme="minorHAnsi"/>
        </w:rPr>
      </w:pPr>
      <w:r w:rsidRPr="00A90F8A">
        <w:rPr>
          <w:rFonts w:asciiTheme="minorHAnsi" w:hAnsiTheme="minorHAnsi"/>
        </w:rPr>
        <w:t>The</w:t>
      </w:r>
      <w:r>
        <w:rPr>
          <w:rFonts w:asciiTheme="minorHAnsi" w:hAnsiTheme="minorHAnsi"/>
        </w:rPr>
        <w:t xml:space="preserve"> key issues to be addressed are:</w:t>
      </w:r>
    </w:p>
    <w:p w:rsidR="007B739A" w:rsidRDefault="007B739A" w:rsidP="007B739A">
      <w:pPr>
        <w:pStyle w:val="PPVBullet1"/>
      </w:pPr>
      <w:r>
        <w:t xml:space="preserve">whether a PAO should be applied to land </w:t>
      </w:r>
      <w:r w:rsidRPr="00A90F8A">
        <w:t xml:space="preserve">required for </w:t>
      </w:r>
      <w:r>
        <w:t>public purposes</w:t>
      </w:r>
    </w:p>
    <w:p w:rsidR="007B739A" w:rsidRDefault="007B739A" w:rsidP="007B739A">
      <w:pPr>
        <w:pStyle w:val="PPVBullet1"/>
      </w:pPr>
      <w:r>
        <w:t>whether the proposed mandatory permit conditions in the controls are appropriate.</w:t>
      </w:r>
    </w:p>
    <w:p w:rsidR="007B739A" w:rsidRPr="005E5EDA" w:rsidRDefault="007B739A" w:rsidP="007B739A">
      <w:pPr>
        <w:pStyle w:val="Heading2"/>
      </w:pPr>
      <w:bookmarkStart w:id="502" w:name="_Toc519710319"/>
      <w:bookmarkStart w:id="503" w:name="_Toc519766879"/>
      <w:r>
        <w:t>Should Public Acquisition Overlays be applied?</w:t>
      </w:r>
      <w:bookmarkEnd w:id="502"/>
      <w:bookmarkEnd w:id="503"/>
    </w:p>
    <w:p w:rsidR="007B739A" w:rsidRDefault="007B739A" w:rsidP="007B739A">
      <w:pPr>
        <w:pStyle w:val="Heading4"/>
      </w:pPr>
      <w:r w:rsidRPr="00A90F8A">
        <w:t>Context</w:t>
      </w:r>
    </w:p>
    <w:p w:rsidR="007B739A" w:rsidRDefault="007B739A" w:rsidP="007B739A">
      <w:pPr>
        <w:pStyle w:val="PPVBody"/>
      </w:pPr>
      <w:r>
        <w:t>P</w:t>
      </w:r>
      <w:r w:rsidR="00F34EE4">
        <w:t>AOs</w:t>
      </w:r>
      <w:r>
        <w:t xml:space="preserve"> are not</w:t>
      </w:r>
      <w:r w:rsidR="008F5D1D">
        <w:t xml:space="preserve"> yet</w:t>
      </w:r>
      <w:r>
        <w:t xml:space="preserve"> proposed in Fishermans Bend.  The exhibited FAR and FAU mechanisms proposed that the developer would transfer the land (with improvements) to the relevant authority.  PAOs were not proposed for whole sites to be compulsorily acquired or purchased for parks, because the Minister intended to rely on acquisition powers under Part 9A of the Act which do not require a PAO.  The Minister indicated that PAOs are not proposed in conjunction with an ICP either.  </w:t>
      </w:r>
      <w:r w:rsidRPr="00D07A00">
        <w:t xml:space="preserve">As outlined </w:t>
      </w:r>
      <w:r w:rsidRPr="00D73C9F">
        <w:t>in Chapter 3.5,</w:t>
      </w:r>
      <w:r w:rsidRPr="00D07A00">
        <w:t xml:space="preserve"> under the Public Land Contributions Act, </w:t>
      </w:r>
      <w:r>
        <w:t xml:space="preserve">land identified in an ICP as being needed for a </w:t>
      </w:r>
      <w:r w:rsidRPr="00D07A00">
        <w:t xml:space="preserve">public purpose is </w:t>
      </w:r>
      <w:r w:rsidRPr="00D07A00">
        <w:lastRenderedPageBreak/>
        <w:t xml:space="preserve">directly vested in the relevant development agency when the </w:t>
      </w:r>
      <w:r>
        <w:t>land is subdivided or developed</w:t>
      </w:r>
      <w:r w:rsidRPr="00D07A00">
        <w:t>.</w:t>
      </w:r>
    </w:p>
    <w:p w:rsidR="007B739A" w:rsidRDefault="007B739A" w:rsidP="007B739A">
      <w:pPr>
        <w:pStyle w:val="Heading4"/>
      </w:pPr>
      <w:r>
        <w:t>Submissions and evidence</w:t>
      </w:r>
    </w:p>
    <w:p w:rsidR="007B739A" w:rsidRDefault="007B739A" w:rsidP="007B739A">
      <w:pPr>
        <w:pStyle w:val="PPVBody"/>
        <w:rPr>
          <w:rFonts w:asciiTheme="minorHAnsi" w:hAnsiTheme="minorHAnsi"/>
        </w:rPr>
      </w:pPr>
      <w:r>
        <w:rPr>
          <w:rFonts w:asciiTheme="minorHAnsi" w:hAnsiTheme="minorHAnsi"/>
        </w:rPr>
        <w:t xml:space="preserve">The landowners </w:t>
      </w:r>
      <w:r w:rsidRPr="00A90F8A">
        <w:rPr>
          <w:rFonts w:asciiTheme="minorHAnsi" w:hAnsiTheme="minorHAnsi"/>
        </w:rPr>
        <w:t xml:space="preserve">submitted that </w:t>
      </w:r>
      <w:r>
        <w:rPr>
          <w:rFonts w:asciiTheme="minorHAnsi" w:hAnsiTheme="minorHAnsi"/>
        </w:rPr>
        <w:t>PAOs should be applied to all public purpose land in Fishermans Bend, irrespective of the proposed method of acquisition.  They submitted that the requirement in the CCZ Schedule for development to be generally in accordance with the CCZ maps amounts to a de facto reservation of the land for public purposes, causing planning blight.  Consistent with the planning objective set out in section 4(2)(l) of the Act and the Charter of Human Rights, they should be entitled to compensation for the losses flowing from planning blight, including:</w:t>
      </w:r>
    </w:p>
    <w:p w:rsidR="007B739A" w:rsidRDefault="007B739A" w:rsidP="007B739A">
      <w:pPr>
        <w:pStyle w:val="PPVBullet1"/>
        <w:rPr>
          <w:rFonts w:asciiTheme="minorHAnsi" w:hAnsiTheme="minorHAnsi"/>
        </w:rPr>
      </w:pPr>
      <w:r>
        <w:rPr>
          <w:rFonts w:asciiTheme="minorHAnsi" w:hAnsiTheme="minorHAnsi"/>
        </w:rPr>
        <w:t>an immediate devaluation of the land, impacting the ability to obtain finance</w:t>
      </w:r>
    </w:p>
    <w:p w:rsidR="007B739A" w:rsidRDefault="007B739A" w:rsidP="007B739A">
      <w:pPr>
        <w:pStyle w:val="PPVBullet1"/>
        <w:rPr>
          <w:rFonts w:asciiTheme="minorHAnsi" w:hAnsiTheme="minorHAnsi"/>
        </w:rPr>
      </w:pPr>
      <w:r>
        <w:rPr>
          <w:rFonts w:asciiTheme="minorHAnsi" w:hAnsiTheme="minorHAnsi"/>
        </w:rPr>
        <w:t>the continuing obligation to pay outgoings on the land even though it cannot be used for anything other than the public purpose identified in the CCZ maps.</w:t>
      </w:r>
    </w:p>
    <w:p w:rsidR="007B739A" w:rsidRDefault="007B739A" w:rsidP="007B739A">
      <w:pPr>
        <w:pStyle w:val="PPVBody"/>
      </w:pPr>
      <w:r>
        <w:t>To not apply a PAO would, in the words of Mr Pitt, be an “</w:t>
      </w:r>
      <w:r>
        <w:rPr>
          <w:i/>
        </w:rPr>
        <w:t>unconscionable</w:t>
      </w:r>
      <w:r>
        <w:t>” attempt to avoid the usual consequences of setting aside land for public purposes.</w:t>
      </w:r>
    </w:p>
    <w:p w:rsidR="007B739A" w:rsidRPr="00FD58BE" w:rsidRDefault="007B739A" w:rsidP="007B739A">
      <w:pPr>
        <w:pStyle w:val="PPVBody"/>
      </w:pPr>
      <w:r>
        <w:t>Landowners submitted that land identified for public purposes would likely be sterilised.  Landowners would not apply for permits to develop the land, including in association with a continuing existing use, because even a permit for minor works such as adding a canopy to a building would trigger the requirement to transfer the public purpose land (originally under the CCZ, now under the ICP).</w:t>
      </w:r>
    </w:p>
    <w:p w:rsidR="007B739A" w:rsidRDefault="007B739A" w:rsidP="007B739A">
      <w:pPr>
        <w:pStyle w:val="PPVBody"/>
        <w:rPr>
          <w:rFonts w:asciiTheme="minorHAnsi" w:hAnsiTheme="minorHAnsi"/>
        </w:rPr>
      </w:pPr>
      <w:r>
        <w:rPr>
          <w:rFonts w:asciiTheme="minorHAnsi" w:hAnsiTheme="minorHAnsi"/>
        </w:rPr>
        <w:t>Melbourne submitted that a PAO should be applied to Lorimer Central, nominating the State Government as the acquiring agency.  It was concerned that if a PAO is not applied, Melbourne may be liable for Part 5 compensation under the Act if it refused a permit application on the basis that was not ‘generally in accordance with’ the CCZ maps.  It submitted that the Minister should be made a determining referral authority for all applications considered by Melbourne, so that if a permit was to be refused on that basis, the Minister (rather than Council) would be liable for any Part 5 compensation that might arise.</w:t>
      </w:r>
    </w:p>
    <w:p w:rsidR="007B739A" w:rsidRDefault="007B739A" w:rsidP="007B739A">
      <w:pPr>
        <w:pStyle w:val="PPVBody"/>
        <w:rPr>
          <w:rFonts w:asciiTheme="minorHAnsi" w:hAnsiTheme="minorHAnsi"/>
        </w:rPr>
      </w:pPr>
      <w:r>
        <w:rPr>
          <w:rFonts w:asciiTheme="minorHAnsi" w:hAnsiTheme="minorHAnsi"/>
        </w:rPr>
        <w:t xml:space="preserve">Port Phillip urged caution in the application of PAOs in Fishermans Bend.  It submitted that PAOs are not typically applied at this stage of a strategic planning process (including in conjunction with </w:t>
      </w:r>
      <w:r w:rsidR="00FC563B">
        <w:rPr>
          <w:rFonts w:asciiTheme="minorHAnsi" w:hAnsiTheme="minorHAnsi"/>
        </w:rPr>
        <w:t>Precinct Plans</w:t>
      </w:r>
      <w:r>
        <w:rPr>
          <w:rFonts w:asciiTheme="minorHAnsi" w:hAnsiTheme="minorHAnsi"/>
        </w:rPr>
        <w:t>), because there is no certainty as to the final boundaries of the public purpose land, and PAOs could prematurely trigger Part 5 compensation.</w:t>
      </w:r>
    </w:p>
    <w:p w:rsidR="007B739A" w:rsidRDefault="007B739A" w:rsidP="007B739A">
      <w:pPr>
        <w:pStyle w:val="Heading4"/>
        <w:rPr>
          <w:rFonts w:asciiTheme="minorHAnsi" w:hAnsiTheme="minorHAnsi"/>
        </w:rPr>
      </w:pPr>
      <w:r w:rsidRPr="00A90F8A">
        <w:rPr>
          <w:rFonts w:asciiTheme="minorHAnsi" w:hAnsiTheme="minorHAnsi"/>
        </w:rPr>
        <w:t>Discussion</w:t>
      </w:r>
    </w:p>
    <w:p w:rsidR="00785416" w:rsidRDefault="007B739A" w:rsidP="007B739A">
      <w:pPr>
        <w:pStyle w:val="PPVBody"/>
        <w:rPr>
          <w:rFonts w:asciiTheme="minorHAnsi" w:hAnsiTheme="minorHAnsi"/>
        </w:rPr>
      </w:pPr>
      <w:r>
        <w:rPr>
          <w:rFonts w:asciiTheme="minorHAnsi" w:hAnsiTheme="minorHAnsi"/>
        </w:rPr>
        <w:t>The Review Panel accepts that a PAO is not required to facilitate the acquisition of public purpose land under an ICP.</w:t>
      </w:r>
    </w:p>
    <w:p w:rsidR="007B739A" w:rsidRDefault="007B739A" w:rsidP="007B739A">
      <w:pPr>
        <w:pStyle w:val="PPVBody"/>
        <w:rPr>
          <w:rFonts w:asciiTheme="minorHAnsi" w:hAnsiTheme="minorHAnsi"/>
        </w:rPr>
      </w:pPr>
      <w:r>
        <w:rPr>
          <w:rFonts w:asciiTheme="minorHAnsi" w:hAnsiTheme="minorHAnsi"/>
        </w:rPr>
        <w:t xml:space="preserve">However, concerns about </w:t>
      </w:r>
      <w:r w:rsidRPr="00A90F8A">
        <w:rPr>
          <w:rFonts w:asciiTheme="minorHAnsi" w:hAnsiTheme="minorHAnsi"/>
        </w:rPr>
        <w:t>Part 5 compensation</w:t>
      </w:r>
      <w:r>
        <w:rPr>
          <w:rFonts w:asciiTheme="minorHAnsi" w:hAnsiTheme="minorHAnsi"/>
        </w:rPr>
        <w:t xml:space="preserve"> remain</w:t>
      </w:r>
      <w:r w:rsidRPr="00A90F8A">
        <w:rPr>
          <w:rFonts w:asciiTheme="minorHAnsi" w:hAnsiTheme="minorHAnsi"/>
        </w:rPr>
        <w:t>.</w:t>
      </w:r>
    </w:p>
    <w:p w:rsidR="007B739A" w:rsidRPr="00A90F8A" w:rsidRDefault="007B739A" w:rsidP="007B739A">
      <w:pPr>
        <w:pStyle w:val="PPVBody"/>
        <w:rPr>
          <w:rFonts w:asciiTheme="minorHAnsi" w:hAnsiTheme="minorHAnsi"/>
        </w:rPr>
      </w:pPr>
      <w:r w:rsidRPr="00A90F8A">
        <w:rPr>
          <w:rFonts w:asciiTheme="minorHAnsi" w:hAnsiTheme="minorHAnsi"/>
        </w:rPr>
        <w:t xml:space="preserve">Part 5 of the Act allows landowners access to compensation </w:t>
      </w:r>
      <w:r>
        <w:rPr>
          <w:rFonts w:asciiTheme="minorHAnsi" w:hAnsiTheme="minorHAnsi"/>
        </w:rPr>
        <w:t xml:space="preserve">for </w:t>
      </w:r>
      <w:r w:rsidRPr="00A90F8A">
        <w:rPr>
          <w:rFonts w:asciiTheme="minorHAnsi" w:hAnsiTheme="minorHAnsi"/>
        </w:rPr>
        <w:t>planning blight</w:t>
      </w:r>
      <w:r>
        <w:rPr>
          <w:rFonts w:asciiTheme="minorHAnsi" w:hAnsiTheme="minorHAnsi"/>
        </w:rPr>
        <w:t xml:space="preserve"> which may be suffered </w:t>
      </w:r>
      <w:r w:rsidRPr="00A90F8A">
        <w:rPr>
          <w:rFonts w:asciiTheme="minorHAnsi" w:hAnsiTheme="minorHAnsi"/>
        </w:rPr>
        <w:t>before land is acquired for public purposes.  Compensation is available in two situations:</w:t>
      </w:r>
    </w:p>
    <w:p w:rsidR="007B739A" w:rsidRPr="00A90F8A" w:rsidRDefault="007B739A" w:rsidP="007B739A">
      <w:pPr>
        <w:pStyle w:val="PPVBullet1"/>
        <w:rPr>
          <w:rFonts w:asciiTheme="minorHAnsi" w:hAnsiTheme="minorHAnsi"/>
        </w:rPr>
      </w:pPr>
      <w:r w:rsidRPr="00A90F8A">
        <w:rPr>
          <w:rFonts w:asciiTheme="minorHAnsi" w:hAnsiTheme="minorHAnsi"/>
        </w:rPr>
        <w:t>compensation for financial loss suffered as a consequence of the land being reserved for a public purpose (section 98(1))</w:t>
      </w:r>
    </w:p>
    <w:p w:rsidR="007B739A" w:rsidRPr="00A90F8A" w:rsidRDefault="007B739A" w:rsidP="007B739A">
      <w:pPr>
        <w:pStyle w:val="PPVBullet1"/>
        <w:rPr>
          <w:rFonts w:asciiTheme="minorHAnsi" w:hAnsiTheme="minorHAnsi"/>
        </w:rPr>
      </w:pPr>
      <w:r w:rsidRPr="00A90F8A">
        <w:rPr>
          <w:rFonts w:asciiTheme="minorHAnsi" w:hAnsiTheme="minorHAnsi"/>
        </w:rPr>
        <w:lastRenderedPageBreak/>
        <w:t>compensation for financial loss suffered as a consequence of the responsible authority refusing to grant a permit on the ground that the land is or will be needed for a public purpose (section 98(2)).</w:t>
      </w:r>
    </w:p>
    <w:p w:rsidR="007B739A" w:rsidRDefault="007B739A" w:rsidP="007B739A">
      <w:pPr>
        <w:pStyle w:val="PPVBody"/>
        <w:rPr>
          <w:rFonts w:asciiTheme="minorHAnsi" w:hAnsiTheme="minorHAnsi"/>
        </w:rPr>
      </w:pPr>
      <w:r w:rsidRPr="00A90F8A">
        <w:rPr>
          <w:rFonts w:asciiTheme="minorHAnsi" w:hAnsiTheme="minorHAnsi"/>
        </w:rPr>
        <w:t xml:space="preserve">The Public Land Contributions Act introduces a new section 98(5) into the Act, which effectively states that public purpose land is </w:t>
      </w:r>
      <w:r w:rsidRPr="002D1D6D">
        <w:rPr>
          <w:rFonts w:asciiTheme="minorHAnsi" w:hAnsiTheme="minorHAnsi"/>
          <w:u w:val="single"/>
        </w:rPr>
        <w:t>not</w:t>
      </w:r>
      <w:r w:rsidRPr="00A90F8A">
        <w:rPr>
          <w:rFonts w:asciiTheme="minorHAnsi" w:hAnsiTheme="minorHAnsi"/>
        </w:rPr>
        <w:t xml:space="preserve"> regarded as being reserved for a public purpose.  This means that</w:t>
      </w:r>
      <w:r>
        <w:rPr>
          <w:rFonts w:asciiTheme="minorHAnsi" w:hAnsiTheme="minorHAnsi"/>
        </w:rPr>
        <w:t>, if an ICP is applied,</w:t>
      </w:r>
      <w:r w:rsidRPr="00A90F8A">
        <w:rPr>
          <w:rFonts w:asciiTheme="minorHAnsi" w:hAnsiTheme="minorHAnsi"/>
        </w:rPr>
        <w:t xml:space="preserve"> landowners will </w:t>
      </w:r>
      <w:r w:rsidRPr="002D1D6D">
        <w:rPr>
          <w:rFonts w:asciiTheme="minorHAnsi" w:hAnsiTheme="minorHAnsi"/>
          <w:u w:val="single"/>
        </w:rPr>
        <w:t>not</w:t>
      </w:r>
      <w:r w:rsidRPr="00A90F8A">
        <w:rPr>
          <w:rFonts w:asciiTheme="minorHAnsi" w:hAnsiTheme="minorHAnsi"/>
        </w:rPr>
        <w:t xml:space="preserve"> be entitled to compensation under section 98(1)</w:t>
      </w:r>
      <w:r>
        <w:rPr>
          <w:rFonts w:asciiTheme="minorHAnsi" w:hAnsiTheme="minorHAnsi"/>
        </w:rPr>
        <w:t xml:space="preserve"> unless a PAO is also applied</w:t>
      </w:r>
      <w:r w:rsidRPr="00A90F8A">
        <w:rPr>
          <w:rFonts w:asciiTheme="minorHAnsi" w:hAnsiTheme="minorHAnsi"/>
        </w:rPr>
        <w:t>.</w:t>
      </w:r>
    </w:p>
    <w:p w:rsidR="007B739A" w:rsidRDefault="007B739A" w:rsidP="007B739A">
      <w:pPr>
        <w:pStyle w:val="PPVBody"/>
        <w:rPr>
          <w:rFonts w:asciiTheme="minorHAnsi" w:hAnsiTheme="minorHAnsi"/>
        </w:rPr>
      </w:pPr>
      <w:r w:rsidRPr="00642F96">
        <w:rPr>
          <w:rFonts w:asciiTheme="minorHAnsi" w:hAnsiTheme="minorHAnsi"/>
        </w:rPr>
        <w:t xml:space="preserve">The Public Land Contributions Act does not expressly exclude compensation under section 98(2). </w:t>
      </w:r>
      <w:r w:rsidRPr="00DD28C8">
        <w:rPr>
          <w:rFonts w:asciiTheme="minorHAnsi" w:hAnsiTheme="minorHAnsi"/>
        </w:rPr>
        <w:t xml:space="preserve"> There is some authority supporting the proposition that, where a permit to use or develop land ident</w:t>
      </w:r>
      <w:r w:rsidR="00EE531A">
        <w:rPr>
          <w:rFonts w:asciiTheme="minorHAnsi" w:hAnsiTheme="minorHAnsi"/>
        </w:rPr>
        <w:t>ified for public purposes in a Precinct P</w:t>
      </w:r>
      <w:r w:rsidRPr="00DD28C8">
        <w:rPr>
          <w:rFonts w:asciiTheme="minorHAnsi" w:hAnsiTheme="minorHAnsi"/>
        </w:rPr>
        <w:t>lan is refused on the basis that the application is not ‘generally in accordance with’ the plan, the responsible authority is not liable for section 98(2) compensation (</w:t>
      </w:r>
      <w:r w:rsidRPr="00296F3C">
        <w:rPr>
          <w:rFonts w:asciiTheme="minorHAnsi" w:hAnsiTheme="minorHAnsi"/>
          <w:i/>
        </w:rPr>
        <w:t>Skerdero Pty Ltd v Cardinia SC</w:t>
      </w:r>
      <w:r w:rsidRPr="00296F3C">
        <w:rPr>
          <w:rFonts w:asciiTheme="minorHAnsi" w:hAnsiTheme="minorHAnsi"/>
        </w:rPr>
        <w:t xml:space="preserve"> [2014] VCAT 1334</w:t>
      </w:r>
      <w:r w:rsidRPr="00642F96">
        <w:rPr>
          <w:rFonts w:asciiTheme="minorHAnsi" w:hAnsiTheme="minorHAnsi"/>
        </w:rPr>
        <w:t>), but the law on this question is not settled.</w:t>
      </w:r>
    </w:p>
    <w:p w:rsidR="007B739A" w:rsidRDefault="007B739A" w:rsidP="007B739A">
      <w:pPr>
        <w:pStyle w:val="PPVBody"/>
        <w:rPr>
          <w:rFonts w:asciiTheme="minorHAnsi" w:hAnsiTheme="minorHAnsi"/>
        </w:rPr>
      </w:pPr>
      <w:r>
        <w:rPr>
          <w:rFonts w:asciiTheme="minorHAnsi" w:hAnsiTheme="minorHAnsi"/>
        </w:rPr>
        <w:t>The submissions relating to PAOs raise some important issues.  The Review Panel considers that, as a general proposition, landowners should be compensated for losses arising from their land being identified in the scheme as required for a future public use.</w:t>
      </w:r>
      <w:r w:rsidRPr="00EC17FE">
        <w:rPr>
          <w:rFonts w:asciiTheme="minorHAnsi" w:hAnsiTheme="minorHAnsi"/>
        </w:rPr>
        <w:t xml:space="preserve"> </w:t>
      </w:r>
      <w:r>
        <w:rPr>
          <w:rFonts w:asciiTheme="minorHAnsi" w:hAnsiTheme="minorHAnsi"/>
        </w:rPr>
        <w:t xml:space="preserve"> Applying a PAO would allow </w:t>
      </w:r>
      <w:r>
        <w:t>landowners to access compensation before the land is ultimately acquired.</w:t>
      </w:r>
    </w:p>
    <w:p w:rsidR="007B739A" w:rsidRDefault="007B739A" w:rsidP="007B739A">
      <w:pPr>
        <w:pStyle w:val="PPVBody"/>
      </w:pPr>
      <w:r>
        <w:rPr>
          <w:rFonts w:asciiTheme="minorHAnsi" w:hAnsiTheme="minorHAnsi"/>
        </w:rPr>
        <w:t xml:space="preserve">Further, planning schemes should provide as much certainty as possible, without creating unintended consequences.  </w:t>
      </w:r>
      <w:r w:rsidRPr="00DE65A4">
        <w:rPr>
          <w:rFonts w:asciiTheme="minorHAnsi" w:hAnsiTheme="minorHAnsi"/>
        </w:rPr>
        <w:t xml:space="preserve">Applying a </w:t>
      </w:r>
      <w:r w:rsidRPr="00DE65A4">
        <w:t xml:space="preserve">PAO would provide certainty </w:t>
      </w:r>
      <w:r>
        <w:t xml:space="preserve">as </w:t>
      </w:r>
      <w:r w:rsidRPr="00DE65A4">
        <w:t>to</w:t>
      </w:r>
      <w:r w:rsidRPr="00152838">
        <w:t xml:space="preserve"> </w:t>
      </w:r>
      <w:r w:rsidRPr="00DE65A4">
        <w:t>what land i</w:t>
      </w:r>
      <w:r>
        <w:t>s required for public purposes, allowing</w:t>
      </w:r>
      <w:r w:rsidRPr="00152838">
        <w:t xml:space="preserve"> </w:t>
      </w:r>
      <w:r>
        <w:t>the balance of partially affected sites to be redeveloped with some certainty that the redevelopment would not prejudice the future public use.  It would provide certainty as to which authority was liable for compensation.</w:t>
      </w:r>
    </w:p>
    <w:p w:rsidR="007B739A" w:rsidRDefault="007B739A" w:rsidP="007B739A">
      <w:pPr>
        <w:pStyle w:val="PPVBody"/>
        <w:rPr>
          <w:rFonts w:asciiTheme="minorHAnsi" w:hAnsiTheme="minorHAnsi"/>
        </w:rPr>
      </w:pPr>
      <w:r w:rsidRPr="006F6866">
        <w:rPr>
          <w:rFonts w:asciiTheme="minorHAnsi" w:hAnsiTheme="minorHAnsi"/>
        </w:rPr>
        <w:t>The application of a PAO might reduce the presumably unintended consequence of discouraging upgrades to existing uses.  Permits for upgrades could be granted, but with conditions that no additional compensation is available in respect of the upgrade works (section 98(3)(b) of the Act, and Clause 45.01-4 of the PAO controls).  This at least provides landowners with a choice as to whether to pursue upgrades in advance of the land being acquired, albeit with the knowledge that they may not be compensated for expenditure associated with the upgrades.</w:t>
      </w:r>
    </w:p>
    <w:p w:rsidR="007B739A" w:rsidRDefault="007B739A" w:rsidP="007B739A">
      <w:pPr>
        <w:pStyle w:val="PPVBody"/>
        <w:rPr>
          <w:rFonts w:asciiTheme="minorHAnsi" w:hAnsiTheme="minorHAnsi"/>
        </w:rPr>
      </w:pPr>
      <w:r>
        <w:rPr>
          <w:rFonts w:asciiTheme="minorHAnsi" w:hAnsiTheme="minorHAnsi"/>
        </w:rPr>
        <w:t xml:space="preserve">At this stage of the strategic planning process, there is relatively little certainty about the final boundaries of much of the land required for public purposes.  More certainty will be provided once the </w:t>
      </w:r>
      <w:r w:rsidR="00FC563B">
        <w:rPr>
          <w:rFonts w:asciiTheme="minorHAnsi" w:hAnsiTheme="minorHAnsi"/>
        </w:rPr>
        <w:t>Precinct Plans</w:t>
      </w:r>
      <w:r>
        <w:rPr>
          <w:rFonts w:asciiTheme="minorHAnsi" w:hAnsiTheme="minorHAnsi"/>
        </w:rPr>
        <w:t xml:space="preserve"> are complete, when the final location and dimensions of parks and road alignments will be closer to being confirmed.</w:t>
      </w:r>
      <w:r w:rsidRPr="00B669C8">
        <w:rPr>
          <w:rFonts w:asciiTheme="minorHAnsi" w:hAnsiTheme="minorHAnsi"/>
        </w:rPr>
        <w:t xml:space="preserve"> </w:t>
      </w:r>
      <w:r>
        <w:rPr>
          <w:rFonts w:asciiTheme="minorHAnsi" w:hAnsiTheme="minorHAnsi"/>
        </w:rPr>
        <w:t xml:space="preserve"> The Review Panel notes Port Phillip’s submissions urging caution in the application of PAOs, and for the reasons put forward by Port Phillip it agrees that PAOs should not be applied until the boundaries of the public purpose land are relatively certain.</w:t>
      </w:r>
    </w:p>
    <w:p w:rsidR="007B739A" w:rsidRDefault="007B739A" w:rsidP="007B739A">
      <w:pPr>
        <w:pStyle w:val="PPVBody"/>
      </w:pPr>
      <w:r>
        <w:rPr>
          <w:rFonts w:asciiTheme="minorHAnsi" w:hAnsiTheme="minorHAnsi"/>
        </w:rPr>
        <w:t xml:space="preserve">The Review Panel considers that PAOs should be applied to </w:t>
      </w:r>
      <w:r w:rsidRPr="003C2EC4">
        <w:t xml:space="preserve">parks in conjunction with </w:t>
      </w:r>
      <w:r>
        <w:t xml:space="preserve">(or immediately after) </w:t>
      </w:r>
      <w:r w:rsidRPr="003C2EC4">
        <w:t>the P</w:t>
      </w:r>
      <w:r>
        <w:t>recinct plan</w:t>
      </w:r>
      <w:r w:rsidRPr="003C2EC4">
        <w:t xml:space="preserve"> process</w:t>
      </w:r>
      <w:r>
        <w:t xml:space="preserve">, when the final </w:t>
      </w:r>
      <w:r>
        <w:rPr>
          <w:rFonts w:asciiTheme="minorHAnsi" w:hAnsiTheme="minorHAnsi"/>
        </w:rPr>
        <w:t xml:space="preserve">boundaries and dimensions of the parks are known.  PAOs should be applied to </w:t>
      </w:r>
      <w:r>
        <w:t xml:space="preserve">the future tram alignments, the future </w:t>
      </w:r>
      <w:r w:rsidR="00827876">
        <w:t>M</w:t>
      </w:r>
      <w:r>
        <w:t>etro stations and any arterial road widening as soon as practicable once there is a degree of certainty as to the boundaries and dimensions of the land required.</w:t>
      </w:r>
    </w:p>
    <w:p w:rsidR="007B739A" w:rsidRDefault="007B739A" w:rsidP="007B739A">
      <w:pPr>
        <w:pStyle w:val="PPVBody"/>
      </w:pPr>
      <w:r>
        <w:t>It is not usual practice to apply PAOs to local or collector roads, particularly those that are to be funded under a DCP or ICP.  The Review Panel sees no reason to depart from usual practice in this regard in Fishermans Bend.</w:t>
      </w:r>
    </w:p>
    <w:p w:rsidR="00785416" w:rsidRDefault="007B739A" w:rsidP="007B739A">
      <w:pPr>
        <w:pStyle w:val="PPVBody"/>
      </w:pPr>
      <w:r>
        <w:lastRenderedPageBreak/>
        <w:t>Until PAOs are applied, some uncertainty will remain as to whether the CCZ controls could trigger compensation under section 98(2) on the basis that the land ‘is or will be needed for public purposes’.  Applying PAOs will resolve this uncertainty (making it clear that compensation under section 98(2) is available).</w:t>
      </w:r>
    </w:p>
    <w:p w:rsidR="007B739A" w:rsidRPr="00A90F8A" w:rsidRDefault="007B739A" w:rsidP="007B739A">
      <w:pPr>
        <w:pStyle w:val="Heading4"/>
        <w:rPr>
          <w:rFonts w:asciiTheme="minorHAnsi" w:hAnsiTheme="minorHAnsi"/>
        </w:rPr>
      </w:pPr>
      <w:r w:rsidRPr="00A90F8A">
        <w:rPr>
          <w:rFonts w:asciiTheme="minorHAnsi" w:hAnsiTheme="minorHAnsi"/>
        </w:rPr>
        <w:t>Findings</w:t>
      </w:r>
    </w:p>
    <w:p w:rsidR="007B739A" w:rsidRPr="00A90F8A" w:rsidRDefault="007B739A" w:rsidP="007B739A">
      <w:pPr>
        <w:pStyle w:val="PPVBody"/>
        <w:rPr>
          <w:rFonts w:asciiTheme="minorHAnsi" w:hAnsiTheme="minorHAnsi"/>
        </w:rPr>
      </w:pPr>
      <w:r w:rsidRPr="00A90F8A">
        <w:rPr>
          <w:rFonts w:asciiTheme="minorHAnsi" w:hAnsiTheme="minorHAnsi"/>
        </w:rPr>
        <w:t>The Review Panel finds:</w:t>
      </w:r>
    </w:p>
    <w:p w:rsidR="007B739A" w:rsidRDefault="007B739A" w:rsidP="007B739A">
      <w:pPr>
        <w:pStyle w:val="PPVBullet1"/>
        <w:rPr>
          <w:rFonts w:asciiTheme="minorHAnsi" w:hAnsiTheme="minorHAnsi"/>
        </w:rPr>
      </w:pPr>
      <w:r w:rsidRPr="00E83EC2">
        <w:rPr>
          <w:rFonts w:asciiTheme="minorHAnsi" w:hAnsiTheme="minorHAnsi"/>
        </w:rPr>
        <w:t xml:space="preserve">PAOs should be applied to </w:t>
      </w:r>
      <w:r>
        <w:rPr>
          <w:rFonts w:asciiTheme="minorHAnsi" w:hAnsiTheme="minorHAnsi"/>
        </w:rPr>
        <w:t xml:space="preserve">parks in conjunction with (or immediately after) the Precinct plan process, when </w:t>
      </w:r>
      <w:r w:rsidRPr="00E83EC2">
        <w:rPr>
          <w:rFonts w:asciiTheme="minorHAnsi" w:hAnsiTheme="minorHAnsi"/>
        </w:rPr>
        <w:t xml:space="preserve">the </w:t>
      </w:r>
      <w:r>
        <w:rPr>
          <w:rFonts w:asciiTheme="minorHAnsi" w:hAnsiTheme="minorHAnsi"/>
        </w:rPr>
        <w:t xml:space="preserve">final </w:t>
      </w:r>
      <w:r w:rsidRPr="00E83EC2">
        <w:rPr>
          <w:rFonts w:asciiTheme="minorHAnsi" w:hAnsiTheme="minorHAnsi"/>
        </w:rPr>
        <w:t xml:space="preserve">boundaries of the land required are </w:t>
      </w:r>
      <w:r>
        <w:rPr>
          <w:rFonts w:asciiTheme="minorHAnsi" w:hAnsiTheme="minorHAnsi"/>
        </w:rPr>
        <w:t>resolved.</w:t>
      </w:r>
    </w:p>
    <w:p w:rsidR="007B739A" w:rsidRPr="00D33234" w:rsidRDefault="007B739A" w:rsidP="007B739A">
      <w:pPr>
        <w:pStyle w:val="PPVBullet1"/>
        <w:rPr>
          <w:rFonts w:asciiTheme="minorHAnsi" w:hAnsiTheme="minorHAnsi"/>
        </w:rPr>
      </w:pPr>
      <w:r>
        <w:rPr>
          <w:rFonts w:asciiTheme="minorHAnsi" w:hAnsiTheme="minorHAnsi"/>
        </w:rPr>
        <w:t xml:space="preserve">PAOs should be applied to the future tram alignments, the future </w:t>
      </w:r>
      <w:r w:rsidR="00827876">
        <w:rPr>
          <w:rFonts w:asciiTheme="minorHAnsi" w:hAnsiTheme="minorHAnsi"/>
        </w:rPr>
        <w:t>M</w:t>
      </w:r>
      <w:r>
        <w:rPr>
          <w:rFonts w:asciiTheme="minorHAnsi" w:hAnsiTheme="minorHAnsi"/>
        </w:rPr>
        <w:t>etro stations and any arterial road widening as soon as practicable once there is a degree of certainty as to the boundaries and dimensions of the land required</w:t>
      </w:r>
      <w:r w:rsidRPr="00AD26C5">
        <w:t>.</w:t>
      </w:r>
    </w:p>
    <w:p w:rsidR="007B739A" w:rsidRDefault="007B739A" w:rsidP="007B739A">
      <w:pPr>
        <w:pStyle w:val="Heading2"/>
      </w:pPr>
      <w:bookmarkStart w:id="504" w:name="_Toc519710320"/>
      <w:bookmarkStart w:id="505" w:name="_Toc519766880"/>
      <w:r>
        <w:t>Mandatory permit conditions relating to streets, roads and laneways</w:t>
      </w:r>
      <w:bookmarkEnd w:id="504"/>
      <w:bookmarkEnd w:id="505"/>
    </w:p>
    <w:p w:rsidR="007B739A" w:rsidRDefault="007B739A" w:rsidP="007B739A">
      <w:pPr>
        <w:pStyle w:val="Heading4"/>
      </w:pPr>
      <w:r>
        <w:t>Context</w:t>
      </w:r>
    </w:p>
    <w:p w:rsidR="007B739A" w:rsidRDefault="007B739A" w:rsidP="007B739A">
      <w:pPr>
        <w:pStyle w:val="PPVBody"/>
      </w:pPr>
      <w:r>
        <w:t xml:space="preserve">The Part C controls include mandatory permit conditions that require all streets, roads and laneways shown on the CCZ maps that are not included in an ICP to be constructed by the developer and transferred to the relevant road management authority at no cost.  The Minister clarified in the Hearing that until such time as an ICP is in place, </w:t>
      </w:r>
      <w:r w:rsidRPr="00974B26">
        <w:t>all</w:t>
      </w:r>
      <w:r>
        <w:t xml:space="preserve"> streets, roads and laneways would be required to be delivered in this way.  </w:t>
      </w:r>
      <w:r w:rsidRPr="00974B26">
        <w:t>The</w:t>
      </w:r>
      <w:r>
        <w:t xml:space="preserve"> issue is whether the proposed mandatory permit conditions are appropriate.</w:t>
      </w:r>
    </w:p>
    <w:p w:rsidR="007B739A" w:rsidRDefault="007B739A" w:rsidP="007B739A">
      <w:pPr>
        <w:pStyle w:val="Heading4"/>
      </w:pPr>
      <w:r>
        <w:t>Submissions and evidence</w:t>
      </w:r>
    </w:p>
    <w:p w:rsidR="007B739A" w:rsidRDefault="007B739A" w:rsidP="007B739A">
      <w:pPr>
        <w:pStyle w:val="PPVBody"/>
      </w:pPr>
      <w:r>
        <w:t>The Minister submitted that consistent with ordinary practice, developers should be required to deliver streets, roads and laneways that serve a local function benefiting the developer’s site.  The mandatory permit conditions contained in the CCZ support this.</w:t>
      </w:r>
    </w:p>
    <w:p w:rsidR="007B739A" w:rsidRDefault="007B739A" w:rsidP="007B739A">
      <w:pPr>
        <w:pStyle w:val="PPVBody"/>
      </w:pPr>
      <w:r>
        <w:t>Mr Tweedie submitted that the mandatory conditions are inappropriate, and should be removed from the CCZ Schedule.  He submitted that developers should be allowed the opportunity to challenge conditions requiring streets etc to be delivered as part of developer works in VCAT, for example on the basis that they provide a shared benefit and should therefore be delivered via an alternative mechanism such as an ICP or a DCP.  He submitted that he is not aware of other cases where planning controls include mandatory conditions that are truly intended to relate to ordinary developer works that serve a local function only.</w:t>
      </w:r>
    </w:p>
    <w:p w:rsidR="007B739A" w:rsidRDefault="007B739A" w:rsidP="007B739A">
      <w:pPr>
        <w:pStyle w:val="Heading4"/>
      </w:pPr>
      <w:r>
        <w:t>Discussion</w:t>
      </w:r>
    </w:p>
    <w:p w:rsidR="007B739A" w:rsidRDefault="007B739A" w:rsidP="007B739A">
      <w:pPr>
        <w:pStyle w:val="PPVBody"/>
      </w:pPr>
      <w:r>
        <w:t>There are well-established principles governing when it is appropriate to include permit conditions requiring developers to deliver public works such as new streets.  The works must satisfy the principles of need, equity, accountability and nexus.  The Review Panel agrees that developers should have the opportunity to test these conditions in VCAT.  That opportunity is potentially limited if the permit conditions are expressed as mandatory conditions in the planning controls.</w:t>
      </w:r>
    </w:p>
    <w:p w:rsidR="007B739A" w:rsidRDefault="007B739A" w:rsidP="007B739A">
      <w:pPr>
        <w:pStyle w:val="PPVBody"/>
      </w:pPr>
      <w:r>
        <w:t xml:space="preserve">The issue is particularly relevant if there is a gap between the Amendment being approved and an ICP being applied.  The mandatory permit conditions would effectively operate to require individual developers to deliver streets, roads and laneways (or parts thereof) that </w:t>
      </w:r>
      <w:r>
        <w:lastRenderedPageBreak/>
        <w:t>provide a shared benefit across multiple sites.  The Review Panel questions the equity of this, and considers that a right of review should be available in VCAT.</w:t>
      </w:r>
    </w:p>
    <w:p w:rsidR="007B739A" w:rsidRDefault="007B739A" w:rsidP="007B739A">
      <w:pPr>
        <w:pStyle w:val="Heading4"/>
      </w:pPr>
      <w:r>
        <w:t>Findings</w:t>
      </w:r>
    </w:p>
    <w:p w:rsidR="007B739A" w:rsidRDefault="007B739A" w:rsidP="007B739A">
      <w:pPr>
        <w:pStyle w:val="PPVBody"/>
      </w:pPr>
      <w:r>
        <w:t>The Review Panel finds:</w:t>
      </w:r>
    </w:p>
    <w:p w:rsidR="007B739A" w:rsidRPr="00906609" w:rsidRDefault="007B739A" w:rsidP="007B739A">
      <w:pPr>
        <w:pStyle w:val="PPVBullet1"/>
      </w:pPr>
      <w:r>
        <w:t>The mandatory permit conditions requiring developers to construct and transfer streets, roads and laneways not funded under an ICP to the relevant road management authority should be removed from the CCZ Schedule.</w:t>
      </w:r>
    </w:p>
    <w:p w:rsidR="007B739A" w:rsidRPr="00F93F34" w:rsidRDefault="007B739A" w:rsidP="007B739A">
      <w:pPr>
        <w:pStyle w:val="Heading2"/>
      </w:pPr>
      <w:bookmarkStart w:id="506" w:name="_Toc519710321"/>
      <w:bookmarkStart w:id="507" w:name="_Toc519766881"/>
      <w:r w:rsidRPr="00F93F34">
        <w:t>Recommendations</w:t>
      </w:r>
      <w:bookmarkEnd w:id="506"/>
      <w:bookmarkEnd w:id="507"/>
    </w:p>
    <w:p w:rsidR="007B739A" w:rsidRPr="001C078B" w:rsidRDefault="007B739A" w:rsidP="007B739A">
      <w:pPr>
        <w:pStyle w:val="PPVBody"/>
        <w:rPr>
          <w:b/>
        </w:rPr>
      </w:pPr>
      <w:r>
        <w:rPr>
          <w:b/>
        </w:rPr>
        <w:t>In accordance with the primary recommendation of the Review Panel to progress Amendment GC81</w:t>
      </w:r>
      <w:r w:rsidRPr="001C078B">
        <w:rPr>
          <w:b/>
        </w:rPr>
        <w:t>, the following key changes have been included in the amended Capital City Zone:</w:t>
      </w:r>
    </w:p>
    <w:p w:rsidR="007B739A" w:rsidRPr="00181298" w:rsidRDefault="007B739A" w:rsidP="007B739A">
      <w:pPr>
        <w:pStyle w:val="PPVRecommendationDrafting"/>
      </w:pPr>
      <w:r w:rsidRPr="00181298">
        <w:t xml:space="preserve">In the Capital City Zone (Clause 4.0, buildings and works, conditions on permits) </w:t>
      </w:r>
      <w:r>
        <w:t>delete the</w:t>
      </w:r>
      <w:r w:rsidRPr="00181298">
        <w:t xml:space="preserve"> mandatory p</w:t>
      </w:r>
      <w:r>
        <w:t>ermit condition</w:t>
      </w:r>
      <w:r w:rsidRPr="00181298">
        <w:t xml:space="preserve"> requiring developers to construct and transfer streets, roads and laneways that are not funded under an Infrastructure Contributions </w:t>
      </w:r>
      <w:r>
        <w:t>Plan.</w:t>
      </w:r>
    </w:p>
    <w:p w:rsidR="007B739A" w:rsidRPr="002057A3" w:rsidRDefault="007B739A" w:rsidP="007B739A">
      <w:pPr>
        <w:pStyle w:val="PPVBody"/>
        <w:rPr>
          <w:b/>
        </w:rPr>
      </w:pPr>
      <w:r w:rsidRPr="002057A3">
        <w:rPr>
          <w:b/>
        </w:rPr>
        <w:t xml:space="preserve">The Review Panel recommends the following changes </w:t>
      </w:r>
      <w:r>
        <w:rPr>
          <w:b/>
        </w:rPr>
        <w:t>as part of ongoing work in Fishermans Bend</w:t>
      </w:r>
      <w:r w:rsidRPr="002057A3">
        <w:rPr>
          <w:b/>
        </w:rPr>
        <w:t>:</w:t>
      </w:r>
    </w:p>
    <w:p w:rsidR="007B739A" w:rsidRDefault="007B739A" w:rsidP="007B739A">
      <w:pPr>
        <w:pStyle w:val="PPVRecommendationDrafting"/>
      </w:pPr>
      <w:r w:rsidRPr="00181298">
        <w:t>Apply Public Acquisition Overlays to the proposed parks in Fishermans Bend in conjunction</w:t>
      </w:r>
      <w:r>
        <w:t xml:space="preserve"> with the </w:t>
      </w:r>
      <w:r w:rsidR="00FC563B">
        <w:t>Precinct Plans</w:t>
      </w:r>
      <w:r>
        <w:t xml:space="preserve">, </w:t>
      </w:r>
      <w:r w:rsidRPr="00181298">
        <w:t xml:space="preserve">as soon as practicable once the final boundaries and dimensions of the required </w:t>
      </w:r>
      <w:r>
        <w:t>land are known</w:t>
      </w:r>
      <w:r w:rsidRPr="00181298">
        <w:t>.</w:t>
      </w:r>
    </w:p>
    <w:p w:rsidR="00785416" w:rsidRDefault="007B739A" w:rsidP="007B739A">
      <w:pPr>
        <w:pStyle w:val="PPVRecommendationDrafting"/>
      </w:pPr>
      <w:r w:rsidRPr="00181298">
        <w:t>Apply Public Acquisition Overlays to other key public purpose land in Fishermans Bend, such as the futu</w:t>
      </w:r>
      <w:r>
        <w:t>re tram alignments, the future M</w:t>
      </w:r>
      <w:r w:rsidRPr="00181298">
        <w:t>etro stations and any arterial road widening that may be required, as soon as practicable once the final boundaries and dimensions of the required land are known.</w:t>
      </w:r>
    </w:p>
    <w:p w:rsidR="001507E2" w:rsidRPr="00A90F8A" w:rsidRDefault="00655150" w:rsidP="001507E2">
      <w:pPr>
        <w:pStyle w:val="Heading1"/>
        <w:rPr>
          <w:rFonts w:asciiTheme="minorHAnsi" w:hAnsiTheme="minorHAnsi"/>
        </w:rPr>
      </w:pPr>
      <w:bookmarkStart w:id="508" w:name="_Ref519689002"/>
      <w:bookmarkStart w:id="509" w:name="_Toc519710322"/>
      <w:bookmarkStart w:id="510" w:name="_Toc519766882"/>
      <w:r>
        <w:rPr>
          <w:rFonts w:asciiTheme="minorHAnsi" w:hAnsiTheme="minorHAnsi"/>
        </w:rPr>
        <w:lastRenderedPageBreak/>
        <w:t>Transition</w:t>
      </w:r>
      <w:r w:rsidR="00A458B0">
        <w:rPr>
          <w:rFonts w:asciiTheme="minorHAnsi" w:hAnsiTheme="minorHAnsi"/>
        </w:rPr>
        <w:t>al provisions</w:t>
      </w:r>
      <w:bookmarkEnd w:id="508"/>
      <w:bookmarkEnd w:id="509"/>
      <w:bookmarkEnd w:id="510"/>
    </w:p>
    <w:p w:rsidR="00824A51" w:rsidRDefault="00824A51" w:rsidP="00DD6314">
      <w:pPr>
        <w:pStyle w:val="Heading2"/>
      </w:pPr>
      <w:bookmarkStart w:id="511" w:name="_Toc519710323"/>
      <w:bookmarkStart w:id="512" w:name="_Toc519766883"/>
      <w:r>
        <w:t>Context</w:t>
      </w:r>
      <w:r w:rsidR="001F4E06">
        <w:t xml:space="preserve"> and key issues</w:t>
      </w:r>
      <w:bookmarkEnd w:id="511"/>
      <w:bookmarkEnd w:id="512"/>
    </w:p>
    <w:p w:rsidR="00D73C9F" w:rsidRDefault="00D73C9F" w:rsidP="00D73C9F">
      <w:pPr>
        <w:pStyle w:val="PPVBody"/>
      </w:pPr>
      <w:r>
        <w:t xml:space="preserve">The Vision and </w:t>
      </w:r>
      <w:r w:rsidR="00FC563B">
        <w:t xml:space="preserve">draft </w:t>
      </w:r>
      <w:r>
        <w:t xml:space="preserve">Framework are silent on transitional provisions, although both the Vision and the </w:t>
      </w:r>
      <w:r w:rsidR="00FC563B">
        <w:t xml:space="preserve">draft </w:t>
      </w:r>
      <w:r>
        <w:t>Framework allude to the need to reorient the trajectory of development represented by current permits and applications.</w:t>
      </w:r>
    </w:p>
    <w:p w:rsidR="00D73C9F" w:rsidRDefault="00D73C9F" w:rsidP="00D73C9F">
      <w:pPr>
        <w:pStyle w:val="PPVBody"/>
      </w:pPr>
      <w:r>
        <w:t xml:space="preserve">The Part A and Part B controls included no transitional provisions.  In response to concerns raised by various submitters, the Part C version included provisions that exempt certain types of applications from certain parts of the controls, which are essentially aimed at protecting continuing lawful uses, and applications to amend a permit issued before the new controls come into </w:t>
      </w:r>
      <w:r w:rsidRPr="00D73C9F">
        <w:t xml:space="preserve">force (see </w:t>
      </w:r>
      <w:r w:rsidRPr="00D73C9F">
        <w:fldChar w:fldCharType="begin"/>
      </w:r>
      <w:r w:rsidRPr="00D73C9F">
        <w:instrText xml:space="preserve"> REF _Ref519453322 \h  \* MERGEFORMAT </w:instrText>
      </w:r>
      <w:r w:rsidRPr="00D73C9F">
        <w:fldChar w:fldCharType="separate"/>
      </w:r>
      <w:r w:rsidR="00A307EC">
        <w:t xml:space="preserve">Table </w:t>
      </w:r>
      <w:r w:rsidR="00A307EC">
        <w:rPr>
          <w:noProof/>
        </w:rPr>
        <w:t>22</w:t>
      </w:r>
      <w:r w:rsidRPr="00D73C9F">
        <w:fldChar w:fldCharType="end"/>
      </w:r>
      <w:r w:rsidR="007161D3">
        <w:t xml:space="preserve">, </w:t>
      </w:r>
      <w:r w:rsidR="007161D3" w:rsidRPr="00756D59">
        <w:t>compiled by the Review Panel</w:t>
      </w:r>
      <w:r w:rsidRPr="00756D59">
        <w:t>).</w:t>
      </w:r>
      <w:r w:rsidRPr="00D73C9F">
        <w:t xml:space="preserve">  Transitional</w:t>
      </w:r>
      <w:r>
        <w:t xml:space="preserve"> provisions have not been included in respect of live permit applications.</w:t>
      </w:r>
    </w:p>
    <w:p w:rsidR="00D73C9F" w:rsidRPr="008E4F2F" w:rsidRDefault="00D73C9F" w:rsidP="00D73C9F">
      <w:pPr>
        <w:pStyle w:val="Caption"/>
      </w:pPr>
      <w:bookmarkStart w:id="513" w:name="_Ref519453322"/>
      <w:bookmarkStart w:id="514" w:name="_Toc519271081"/>
      <w:bookmarkStart w:id="515" w:name="_Toc519719147"/>
      <w:bookmarkStart w:id="516" w:name="_Toc519710370"/>
      <w:r>
        <w:t xml:space="preserve">Table </w:t>
      </w:r>
      <w:r>
        <w:rPr>
          <w:noProof/>
        </w:rPr>
        <w:fldChar w:fldCharType="begin"/>
      </w:r>
      <w:r>
        <w:rPr>
          <w:noProof/>
        </w:rPr>
        <w:instrText xml:space="preserve"> SEQ Table \* ARABIC </w:instrText>
      </w:r>
      <w:r>
        <w:rPr>
          <w:noProof/>
        </w:rPr>
        <w:fldChar w:fldCharType="separate"/>
      </w:r>
      <w:r w:rsidR="00A307EC">
        <w:rPr>
          <w:noProof/>
        </w:rPr>
        <w:t>22</w:t>
      </w:r>
      <w:r>
        <w:rPr>
          <w:noProof/>
        </w:rPr>
        <w:fldChar w:fldCharType="end"/>
      </w:r>
      <w:bookmarkEnd w:id="513"/>
      <w:r>
        <w:t>:</w:t>
      </w:r>
      <w:r>
        <w:tab/>
        <w:t xml:space="preserve">Summary of Part C </w:t>
      </w:r>
      <w:bookmarkEnd w:id="514"/>
      <w:r>
        <w:t>exemptions</w:t>
      </w:r>
      <w:bookmarkEnd w:id="515"/>
      <w:bookmarkEnd w:id="516"/>
      <w:r>
        <w:t xml:space="preserve"> </w:t>
      </w:r>
    </w:p>
    <w:tbl>
      <w:tblPr>
        <w:tblW w:w="5000" w:type="pct"/>
        <w:tblBorders>
          <w:bottom w:val="single" w:sz="12" w:space="0" w:color="215868"/>
          <w:insideH w:val="dotted" w:sz="4" w:space="0" w:color="auto"/>
        </w:tblBorders>
        <w:tblLayout w:type="fixed"/>
        <w:tblLook w:val="04A0" w:firstRow="1" w:lastRow="0" w:firstColumn="1" w:lastColumn="0" w:noHBand="0" w:noVBand="1"/>
      </w:tblPr>
      <w:tblGrid>
        <w:gridCol w:w="3510"/>
        <w:gridCol w:w="3261"/>
        <w:gridCol w:w="2515"/>
      </w:tblGrid>
      <w:tr w:rsidR="00D73C9F" w:rsidTr="0014001C">
        <w:trPr>
          <w:cantSplit/>
          <w:tblHeader/>
        </w:trPr>
        <w:tc>
          <w:tcPr>
            <w:tcW w:w="1890" w:type="pct"/>
            <w:tcBorders>
              <w:top w:val="nil"/>
              <w:bottom w:val="dotted" w:sz="4" w:space="0" w:color="auto"/>
            </w:tcBorders>
            <w:shd w:val="clear" w:color="auto" w:fill="215868"/>
            <w:vAlign w:val="bottom"/>
          </w:tcPr>
          <w:p w:rsidR="00D73C9F" w:rsidRPr="006A0F3A" w:rsidRDefault="00D73C9F" w:rsidP="0014001C">
            <w:pPr>
              <w:pStyle w:val="PPVTableHeader"/>
            </w:pPr>
            <w:r w:rsidRPr="006A0F3A">
              <w:t>Requirements</w:t>
            </w:r>
          </w:p>
        </w:tc>
        <w:tc>
          <w:tcPr>
            <w:tcW w:w="1756" w:type="pct"/>
            <w:tcBorders>
              <w:top w:val="nil"/>
              <w:bottom w:val="dotted" w:sz="4" w:space="0" w:color="auto"/>
            </w:tcBorders>
            <w:shd w:val="clear" w:color="auto" w:fill="215868"/>
            <w:vAlign w:val="bottom"/>
          </w:tcPr>
          <w:p w:rsidR="00D73C9F" w:rsidRPr="006A0F3A" w:rsidRDefault="00D73C9F" w:rsidP="0014001C">
            <w:pPr>
              <w:pStyle w:val="PPVTableHeader"/>
            </w:pPr>
            <w:r w:rsidRPr="006A0F3A">
              <w:t>What is exempt</w:t>
            </w:r>
          </w:p>
        </w:tc>
        <w:tc>
          <w:tcPr>
            <w:tcW w:w="1354" w:type="pct"/>
            <w:tcBorders>
              <w:top w:val="nil"/>
              <w:bottom w:val="dotted" w:sz="4" w:space="0" w:color="auto"/>
            </w:tcBorders>
            <w:shd w:val="clear" w:color="auto" w:fill="215868"/>
            <w:vAlign w:val="bottom"/>
          </w:tcPr>
          <w:p w:rsidR="00D73C9F" w:rsidRPr="006A0F3A" w:rsidRDefault="00D73C9F" w:rsidP="0014001C">
            <w:pPr>
              <w:pStyle w:val="PPVTableHeader"/>
            </w:pPr>
            <w:r w:rsidRPr="006A0F3A">
              <w:t>Notes</w:t>
            </w:r>
          </w:p>
        </w:tc>
      </w:tr>
      <w:tr w:rsidR="00D73C9F" w:rsidTr="0014001C">
        <w:trPr>
          <w:cantSplit/>
        </w:trPr>
        <w:tc>
          <w:tcPr>
            <w:tcW w:w="1890" w:type="pct"/>
            <w:tcBorders>
              <w:top w:val="dotted" w:sz="4" w:space="0" w:color="auto"/>
            </w:tcBorders>
            <w:shd w:val="clear" w:color="auto" w:fill="auto"/>
          </w:tcPr>
          <w:p w:rsidR="00D73C9F" w:rsidRPr="00D65431" w:rsidRDefault="00D73C9F" w:rsidP="0014001C">
            <w:pPr>
              <w:pStyle w:val="PPVTableText"/>
            </w:pPr>
            <w:r w:rsidRPr="00D65431">
              <w:t xml:space="preserve">Maximum FAR </w:t>
            </w:r>
          </w:p>
        </w:tc>
        <w:tc>
          <w:tcPr>
            <w:tcW w:w="1756" w:type="pct"/>
            <w:tcBorders>
              <w:top w:val="dotted" w:sz="4" w:space="0" w:color="auto"/>
            </w:tcBorders>
            <w:shd w:val="clear" w:color="auto" w:fill="auto"/>
          </w:tcPr>
          <w:p w:rsidR="00D73C9F" w:rsidRPr="00D65431" w:rsidRDefault="00D73C9F" w:rsidP="0014001C">
            <w:pPr>
              <w:pStyle w:val="PPVTableText"/>
            </w:pPr>
            <w:r w:rsidRPr="00D65431">
              <w:t>Applications to use land in accordance with a buildings and works permit issued before the Amendment came into force (Clause 2.0 CCZ</w:t>
            </w:r>
            <w:r>
              <w:t>)</w:t>
            </w:r>
          </w:p>
        </w:tc>
        <w:tc>
          <w:tcPr>
            <w:tcW w:w="1354" w:type="pct"/>
            <w:tcBorders>
              <w:top w:val="dotted" w:sz="4" w:space="0" w:color="auto"/>
            </w:tcBorders>
            <w:shd w:val="clear" w:color="auto" w:fill="auto"/>
          </w:tcPr>
          <w:p w:rsidR="00D73C9F" w:rsidRPr="00D65431" w:rsidRDefault="00D73C9F" w:rsidP="0014001C">
            <w:pPr>
              <w:pStyle w:val="PPVTableText"/>
            </w:pPr>
            <w:r w:rsidRPr="00D65431">
              <w:t>If a permit trigger for use is introduced (eg use of a dwelling in a core area), a use permit still needs to be obtained</w:t>
            </w:r>
          </w:p>
        </w:tc>
      </w:tr>
      <w:tr w:rsidR="00D73C9F" w:rsidTr="0014001C">
        <w:trPr>
          <w:cantSplit/>
        </w:trPr>
        <w:tc>
          <w:tcPr>
            <w:tcW w:w="1890" w:type="pct"/>
            <w:shd w:val="clear" w:color="auto" w:fill="auto"/>
          </w:tcPr>
          <w:p w:rsidR="00D73C9F" w:rsidRPr="00D65431" w:rsidRDefault="00D73C9F" w:rsidP="0014001C">
            <w:pPr>
              <w:pStyle w:val="PPVTableText"/>
            </w:pPr>
            <w:r w:rsidRPr="00D65431">
              <w:t>Maximum FAR</w:t>
            </w:r>
          </w:p>
        </w:tc>
        <w:tc>
          <w:tcPr>
            <w:tcW w:w="1756" w:type="pct"/>
            <w:shd w:val="clear" w:color="auto" w:fill="auto"/>
          </w:tcPr>
          <w:p w:rsidR="00D73C9F" w:rsidRPr="00D65431" w:rsidRDefault="00D73C9F" w:rsidP="0014001C">
            <w:pPr>
              <w:pStyle w:val="PPVTableText"/>
            </w:pPr>
            <w:r w:rsidRPr="00D65431">
              <w:t>Applications to amend a buildings and works permit issued before the Amendment came into force (Clause 4.0 CCZ)</w:t>
            </w:r>
          </w:p>
        </w:tc>
        <w:tc>
          <w:tcPr>
            <w:tcW w:w="1354" w:type="pct"/>
            <w:shd w:val="clear" w:color="auto" w:fill="auto"/>
          </w:tcPr>
          <w:p w:rsidR="00D73C9F" w:rsidRPr="00D65431" w:rsidRDefault="00D73C9F" w:rsidP="0014001C">
            <w:pPr>
              <w:pStyle w:val="PPVTableText"/>
            </w:pPr>
            <w:r w:rsidRPr="00D65431">
              <w:t xml:space="preserve">Provided the amendment does not increase the extent of non-compliance </w:t>
            </w:r>
          </w:p>
        </w:tc>
      </w:tr>
      <w:tr w:rsidR="00D73C9F" w:rsidTr="0014001C">
        <w:trPr>
          <w:cantSplit/>
        </w:trPr>
        <w:tc>
          <w:tcPr>
            <w:tcW w:w="1890" w:type="pct"/>
            <w:shd w:val="clear" w:color="auto" w:fill="auto"/>
          </w:tcPr>
          <w:p w:rsidR="00D73C9F" w:rsidRPr="00D65431" w:rsidRDefault="00D73C9F" w:rsidP="0014001C">
            <w:pPr>
              <w:pStyle w:val="PPVTableText"/>
            </w:pPr>
            <w:r w:rsidRPr="00D65431">
              <w:t>Subdivision must be generally in accordance with the CCZ maps</w:t>
            </w:r>
          </w:p>
          <w:p w:rsidR="00D73C9F" w:rsidRPr="00D65431" w:rsidRDefault="00D73C9F" w:rsidP="0014001C">
            <w:pPr>
              <w:pStyle w:val="PPVTableText"/>
            </w:pPr>
            <w:r w:rsidRPr="00D65431">
              <w:t>Subdivision must make provision for streets, roads and laneways shown on the CCZ maps</w:t>
            </w:r>
          </w:p>
          <w:p w:rsidR="00D73C9F" w:rsidRPr="00D65431" w:rsidRDefault="00D73C9F" w:rsidP="0014001C">
            <w:pPr>
              <w:pStyle w:val="PPVTableText"/>
            </w:pPr>
            <w:r w:rsidRPr="00D65431">
              <w:t xml:space="preserve">Carparking areas must be retained in single ownership </w:t>
            </w:r>
          </w:p>
        </w:tc>
        <w:tc>
          <w:tcPr>
            <w:tcW w:w="1756" w:type="pct"/>
            <w:shd w:val="clear" w:color="auto" w:fill="auto"/>
          </w:tcPr>
          <w:p w:rsidR="00D73C9F" w:rsidRPr="00D65431" w:rsidRDefault="00D73C9F" w:rsidP="0014001C">
            <w:pPr>
              <w:pStyle w:val="PPVTableText"/>
            </w:pPr>
            <w:r w:rsidRPr="00D65431">
              <w:t>Subdivisions in accordance with a buildings and works permit issued before the Amendment came into force (Clause 3.0 CCZ)</w:t>
            </w:r>
          </w:p>
        </w:tc>
        <w:tc>
          <w:tcPr>
            <w:tcW w:w="1354" w:type="pct"/>
            <w:shd w:val="clear" w:color="auto" w:fill="auto"/>
          </w:tcPr>
          <w:p w:rsidR="00D73C9F" w:rsidRPr="00D65431" w:rsidRDefault="00D73C9F" w:rsidP="0014001C">
            <w:pPr>
              <w:pStyle w:val="PPVTableText"/>
            </w:pPr>
          </w:p>
        </w:tc>
      </w:tr>
      <w:tr w:rsidR="00D73C9F" w:rsidTr="0014001C">
        <w:trPr>
          <w:cantSplit/>
        </w:trPr>
        <w:tc>
          <w:tcPr>
            <w:tcW w:w="1890" w:type="pct"/>
            <w:shd w:val="clear" w:color="auto" w:fill="auto"/>
          </w:tcPr>
          <w:p w:rsidR="00D73C9F" w:rsidRPr="00D65431" w:rsidRDefault="00D73C9F" w:rsidP="0014001C">
            <w:pPr>
              <w:pStyle w:val="PPVTableText"/>
            </w:pPr>
            <w:r w:rsidRPr="00D65431">
              <w:t>Buildings and works must be generally in accordance with the CCZ maps</w:t>
            </w:r>
          </w:p>
        </w:tc>
        <w:tc>
          <w:tcPr>
            <w:tcW w:w="1756" w:type="pct"/>
            <w:shd w:val="clear" w:color="auto" w:fill="auto"/>
          </w:tcPr>
          <w:p w:rsidR="00D73C9F" w:rsidRPr="00D65431" w:rsidRDefault="00D73C9F" w:rsidP="0014001C">
            <w:pPr>
              <w:pStyle w:val="PPVTableText"/>
            </w:pPr>
            <w:r w:rsidRPr="00D65431">
              <w:t>Application to amend a buildings and works permit issued before the Amendment came into force (Clause 4.0 CCZ)</w:t>
            </w:r>
          </w:p>
        </w:tc>
        <w:tc>
          <w:tcPr>
            <w:tcW w:w="1354" w:type="pct"/>
            <w:shd w:val="clear" w:color="auto" w:fill="auto"/>
          </w:tcPr>
          <w:p w:rsidR="00D73C9F" w:rsidRPr="00D65431" w:rsidRDefault="00D73C9F" w:rsidP="0014001C">
            <w:pPr>
              <w:pStyle w:val="PPVTableText"/>
            </w:pPr>
          </w:p>
        </w:tc>
      </w:tr>
      <w:tr w:rsidR="00D73C9F" w:rsidTr="0014001C">
        <w:trPr>
          <w:cantSplit/>
        </w:trPr>
        <w:tc>
          <w:tcPr>
            <w:tcW w:w="1890" w:type="pct"/>
            <w:shd w:val="clear" w:color="auto" w:fill="auto"/>
          </w:tcPr>
          <w:p w:rsidR="00D73C9F" w:rsidRPr="00D65431" w:rsidRDefault="00D73C9F" w:rsidP="0014001C">
            <w:pPr>
              <w:pStyle w:val="PPVTableText"/>
            </w:pPr>
            <w:r w:rsidRPr="00D65431">
              <w:t>All requirements of Clause 3.0 of the CCZ</w:t>
            </w:r>
          </w:p>
        </w:tc>
        <w:tc>
          <w:tcPr>
            <w:tcW w:w="1756" w:type="pct"/>
            <w:shd w:val="clear" w:color="auto" w:fill="auto"/>
          </w:tcPr>
          <w:p w:rsidR="00D73C9F" w:rsidRPr="00D65431" w:rsidRDefault="00D73C9F" w:rsidP="0014001C">
            <w:pPr>
              <w:pStyle w:val="PPVTableText"/>
            </w:pPr>
            <w:r w:rsidRPr="00D65431">
              <w:t>Subdivisions associated with a continuing lawful industry or warehouse use (Clause 3.0 CCZ)</w:t>
            </w:r>
          </w:p>
        </w:tc>
        <w:tc>
          <w:tcPr>
            <w:tcW w:w="1354" w:type="pct"/>
            <w:shd w:val="clear" w:color="auto" w:fill="auto"/>
          </w:tcPr>
          <w:p w:rsidR="00D73C9F" w:rsidRPr="00D65431" w:rsidRDefault="00D73C9F" w:rsidP="0014001C">
            <w:pPr>
              <w:pStyle w:val="PPVTableText"/>
            </w:pPr>
          </w:p>
        </w:tc>
      </w:tr>
      <w:tr w:rsidR="00D73C9F" w:rsidTr="0014001C">
        <w:trPr>
          <w:cantSplit/>
        </w:trPr>
        <w:tc>
          <w:tcPr>
            <w:tcW w:w="1890" w:type="pct"/>
            <w:shd w:val="clear" w:color="auto" w:fill="auto"/>
          </w:tcPr>
          <w:p w:rsidR="00D73C9F" w:rsidRPr="00D65431" w:rsidRDefault="00D73C9F" w:rsidP="0014001C">
            <w:pPr>
              <w:pStyle w:val="PPVTableText"/>
            </w:pPr>
            <w:r w:rsidRPr="00D65431">
              <w:t>All requirements of Clause 4.0 of the CCZ</w:t>
            </w:r>
          </w:p>
        </w:tc>
        <w:tc>
          <w:tcPr>
            <w:tcW w:w="1756" w:type="pct"/>
            <w:shd w:val="clear" w:color="auto" w:fill="auto"/>
          </w:tcPr>
          <w:p w:rsidR="00D73C9F" w:rsidRPr="00D65431" w:rsidRDefault="00D73C9F" w:rsidP="0014001C">
            <w:pPr>
              <w:pStyle w:val="PPVTableText"/>
            </w:pPr>
            <w:r w:rsidRPr="00D65431">
              <w:t>Buildings and works associated with a continuing lawful industry or warehouse use (Clause 4.0 CCZ)</w:t>
            </w:r>
          </w:p>
        </w:tc>
        <w:tc>
          <w:tcPr>
            <w:tcW w:w="1354" w:type="pct"/>
            <w:shd w:val="clear" w:color="auto" w:fill="auto"/>
          </w:tcPr>
          <w:p w:rsidR="00D73C9F" w:rsidRPr="00D65431" w:rsidRDefault="00D73C9F" w:rsidP="0014001C">
            <w:pPr>
              <w:pStyle w:val="PPVTableText"/>
            </w:pPr>
          </w:p>
        </w:tc>
      </w:tr>
      <w:tr w:rsidR="00D73C9F" w:rsidTr="0014001C">
        <w:trPr>
          <w:cantSplit/>
        </w:trPr>
        <w:tc>
          <w:tcPr>
            <w:tcW w:w="1890" w:type="pct"/>
            <w:shd w:val="clear" w:color="auto" w:fill="auto"/>
          </w:tcPr>
          <w:p w:rsidR="00D73C9F" w:rsidRPr="00D65431" w:rsidRDefault="00D73C9F" w:rsidP="0014001C">
            <w:pPr>
              <w:pStyle w:val="PPVTableText"/>
            </w:pPr>
            <w:r w:rsidRPr="00D65431">
              <w:t>All requirements of the DDOs</w:t>
            </w:r>
          </w:p>
        </w:tc>
        <w:tc>
          <w:tcPr>
            <w:tcW w:w="1756" w:type="pct"/>
            <w:shd w:val="clear" w:color="auto" w:fill="auto"/>
          </w:tcPr>
          <w:p w:rsidR="00D73C9F" w:rsidRPr="00D65431" w:rsidRDefault="00D73C9F" w:rsidP="0014001C">
            <w:pPr>
              <w:pStyle w:val="PPVTableText"/>
            </w:pPr>
            <w:r w:rsidRPr="00D65431">
              <w:t>Application to amend a permit issued before the Amendment came into force (Clause 2.0 DDO)</w:t>
            </w:r>
          </w:p>
        </w:tc>
        <w:tc>
          <w:tcPr>
            <w:tcW w:w="1354" w:type="pct"/>
            <w:shd w:val="clear" w:color="auto" w:fill="auto"/>
          </w:tcPr>
          <w:p w:rsidR="00D73C9F" w:rsidRPr="00D65431" w:rsidRDefault="00D73C9F" w:rsidP="0014001C">
            <w:pPr>
              <w:pStyle w:val="PPVTableText"/>
            </w:pPr>
            <w:r w:rsidRPr="00D65431">
              <w:t>Provided the amendment does not increase the extent of non-compliance</w:t>
            </w:r>
          </w:p>
        </w:tc>
      </w:tr>
      <w:tr w:rsidR="00D73C9F" w:rsidTr="0014001C">
        <w:trPr>
          <w:cantSplit/>
        </w:trPr>
        <w:tc>
          <w:tcPr>
            <w:tcW w:w="1890" w:type="pct"/>
            <w:shd w:val="clear" w:color="auto" w:fill="auto"/>
          </w:tcPr>
          <w:p w:rsidR="00D73C9F" w:rsidRPr="00D65431" w:rsidRDefault="00D73C9F" w:rsidP="0014001C">
            <w:pPr>
              <w:pStyle w:val="PPVTableText"/>
            </w:pPr>
            <w:r w:rsidRPr="00D65431">
              <w:t>All requirements of the DDOs</w:t>
            </w:r>
          </w:p>
        </w:tc>
        <w:tc>
          <w:tcPr>
            <w:tcW w:w="1756" w:type="pct"/>
            <w:shd w:val="clear" w:color="auto" w:fill="auto"/>
          </w:tcPr>
          <w:p w:rsidR="00D73C9F" w:rsidRPr="00D65431" w:rsidRDefault="00D73C9F" w:rsidP="0014001C">
            <w:pPr>
              <w:pStyle w:val="PPVTableText"/>
            </w:pPr>
            <w:r w:rsidRPr="00D65431">
              <w:t>Buildings and works associated with an existing industrial use which facilitates the urban renewal of Fishermans Bend (Clause 2.0 DDO)</w:t>
            </w:r>
          </w:p>
        </w:tc>
        <w:tc>
          <w:tcPr>
            <w:tcW w:w="1354" w:type="pct"/>
            <w:shd w:val="clear" w:color="auto" w:fill="auto"/>
          </w:tcPr>
          <w:p w:rsidR="00D73C9F" w:rsidRPr="00D65431" w:rsidRDefault="00D73C9F" w:rsidP="0014001C">
            <w:pPr>
              <w:pStyle w:val="PPVTableText"/>
            </w:pPr>
          </w:p>
        </w:tc>
      </w:tr>
    </w:tbl>
    <w:p w:rsidR="00D73C9F" w:rsidRDefault="00D73C9F" w:rsidP="00D73C9F">
      <w:pPr>
        <w:pStyle w:val="PPVBody"/>
      </w:pPr>
      <w:r>
        <w:lastRenderedPageBreak/>
        <w:t>One key issue is whether the exemptions for continuing lawful uses included in the Part C controls go far enough.  The other key issues are</w:t>
      </w:r>
      <w:r w:rsidRPr="00571B5F">
        <w:t xml:space="preserve"> </w:t>
      </w:r>
      <w:r>
        <w:t>whether the draft Amendment should include transitional provisions</w:t>
      </w:r>
      <w:r w:rsidRPr="008B7524">
        <w:t xml:space="preserve"> </w:t>
      </w:r>
      <w:r>
        <w:t>for:</w:t>
      </w:r>
    </w:p>
    <w:p w:rsidR="00D73C9F" w:rsidRDefault="00D73C9F" w:rsidP="00D73C9F">
      <w:pPr>
        <w:pStyle w:val="PPVBullet1"/>
      </w:pPr>
      <w:r>
        <w:t>live applications lodged before the draft Amendment comes into force</w:t>
      </w:r>
    </w:p>
    <w:p w:rsidR="00D73C9F" w:rsidRDefault="00D73C9F" w:rsidP="00D73C9F">
      <w:pPr>
        <w:pStyle w:val="PPVBullet1"/>
      </w:pPr>
      <w:r>
        <w:t>amendments to a permit issued before the draft Amendment comes into force</w:t>
      </w:r>
    </w:p>
    <w:p w:rsidR="00D73C9F" w:rsidRDefault="00D73C9F" w:rsidP="00D73C9F">
      <w:pPr>
        <w:pStyle w:val="PPVBullet1"/>
      </w:pPr>
      <w:r>
        <w:t>extensions of a permit issued before the draft Amendment comes into force.</w:t>
      </w:r>
    </w:p>
    <w:p w:rsidR="00D73C9F" w:rsidRDefault="00D73C9F" w:rsidP="00D73C9F">
      <w:pPr>
        <w:pStyle w:val="Heading2"/>
      </w:pPr>
      <w:bookmarkStart w:id="517" w:name="_Toc519271039"/>
      <w:bookmarkStart w:id="518" w:name="_Toc519710324"/>
      <w:bookmarkStart w:id="519" w:name="_Toc519766884"/>
      <w:r>
        <w:t>Submissions and evidence</w:t>
      </w:r>
      <w:bookmarkEnd w:id="517"/>
      <w:bookmarkEnd w:id="518"/>
      <w:bookmarkEnd w:id="519"/>
    </w:p>
    <w:p w:rsidR="00D73C9F" w:rsidRDefault="00D73C9F" w:rsidP="00D73C9F">
      <w:pPr>
        <w:pStyle w:val="PPVBody"/>
      </w:pPr>
      <w:r>
        <w:t>The Minister submitted that the development represented in existing permits and live applications is by and large significantly at odds with the Vision, particularly in terms of population densities and built form outcomes.  He submitted that the Amendment was required to “</w:t>
      </w:r>
      <w:r w:rsidRPr="00942B9D">
        <w:rPr>
          <w:i/>
        </w:rPr>
        <w:t>reorient the current development trajectory to align it with the Vision</w:t>
      </w:r>
      <w:r>
        <w:t>”, and that transitional provisions would actively undermine the implementation of the Vision.</w:t>
      </w:r>
      <w:r w:rsidRPr="00820B43">
        <w:rPr>
          <w:rStyle w:val="FootnoteReference"/>
        </w:rPr>
        <w:footnoteReference w:id="143"/>
      </w:r>
      <w:r>
        <w:t xml:space="preserve">  Both Councils both supported the Minister’s position.</w:t>
      </w:r>
    </w:p>
    <w:p w:rsidR="00D73C9F" w:rsidRDefault="00D73C9F" w:rsidP="00D73C9F">
      <w:pPr>
        <w:pStyle w:val="PPVBody"/>
      </w:pPr>
      <w:r>
        <w:t>The MAC expressed concern that some of the existing permits are not aligned with the Vision.  It submitted that existing permits should only be extended where:</w:t>
      </w:r>
    </w:p>
    <w:p w:rsidR="00D73C9F" w:rsidRDefault="00D73C9F" w:rsidP="00D73C9F">
      <w:pPr>
        <w:pStyle w:val="PPVBullet1"/>
      </w:pPr>
      <w:r>
        <w:t>construction had commenced</w:t>
      </w:r>
    </w:p>
    <w:p w:rsidR="00D73C9F" w:rsidRDefault="00D73C9F" w:rsidP="00D73C9F">
      <w:pPr>
        <w:pStyle w:val="PPVBullet1"/>
      </w:pPr>
      <w:r>
        <w:t>the proposal is viable, demonstrated by anchor tenants having been secured or evidence of active development</w:t>
      </w:r>
    </w:p>
    <w:p w:rsidR="00D73C9F" w:rsidRDefault="00D73C9F" w:rsidP="00D73C9F">
      <w:pPr>
        <w:pStyle w:val="PPVBullet1"/>
      </w:pPr>
      <w:r>
        <w:t>the development represents exemplary planning outcomes</w:t>
      </w:r>
    </w:p>
    <w:p w:rsidR="00D73C9F" w:rsidRDefault="00D73C9F" w:rsidP="00D73C9F">
      <w:pPr>
        <w:pStyle w:val="PPVBullet1"/>
      </w:pPr>
      <w:r>
        <w:t>a permit would likely be granted if a fresh application were made.</w:t>
      </w:r>
      <w:r w:rsidRPr="00820B43">
        <w:rPr>
          <w:rStyle w:val="FootnoteReference"/>
        </w:rPr>
        <w:footnoteReference w:id="144"/>
      </w:r>
    </w:p>
    <w:p w:rsidR="00D73C9F" w:rsidRDefault="00D73C9F" w:rsidP="00D73C9F">
      <w:pPr>
        <w:pStyle w:val="PPVBody"/>
      </w:pPr>
      <w:r>
        <w:t>The MAC suggested some flexibility when assessing live applications, submitting that broader aspirations (such as environmental sustainability and commercial floorspace) should not be mandated, but live applications should be assessed against the permanent controls relating to how the development impacts the site itself and the immediate surrounds.</w:t>
      </w:r>
    </w:p>
    <w:p w:rsidR="00D73C9F" w:rsidRDefault="00D73C9F" w:rsidP="00D73C9F">
      <w:pPr>
        <w:pStyle w:val="PPVBody"/>
      </w:pPr>
      <w:r>
        <w:t>Several landowners submitted that the current permits and live applications generally do not fundamentally detract from the Vision in a built form sense, and that transitional provisions were essential in the interests of fairness.  For example, Mr Tweedie submitted that transitional provisions are common practice, and are necessary to provide for the fair, orderly, economic and sustainable use of land in any amendment making fundamental changes to development potential.</w:t>
      </w:r>
      <w:r w:rsidRPr="00820B43">
        <w:rPr>
          <w:rStyle w:val="FootnoteReference"/>
        </w:rPr>
        <w:footnoteReference w:id="145"/>
      </w:r>
      <w:r>
        <w:t xml:space="preserve">  Mr Biacsi and Ms Heggen both supported transitional provisions on the grounds of fairness.</w:t>
      </w:r>
    </w:p>
    <w:p w:rsidR="00D73C9F" w:rsidRDefault="00D73C9F" w:rsidP="00D73C9F">
      <w:pPr>
        <w:pStyle w:val="PPVBody"/>
      </w:pPr>
      <w:r>
        <w:t>Mr Wren adopted those submissions, adding that landowners who have either obtained permits or made applications based on the planning scheme in place at the time are entitled to expect that their applications will be considered in accordance with the controls in place when the application was lodged.</w:t>
      </w:r>
      <w:r w:rsidRPr="00820B43">
        <w:rPr>
          <w:rStyle w:val="FootnoteReference"/>
        </w:rPr>
        <w:footnoteReference w:id="146"/>
      </w:r>
      <w:r>
        <w:t xml:space="preserve">  Ms Collingwood submitted that a failure to include transitional provisions would have serious financial consequences for some landowners, and would be unfair and unjustified.</w:t>
      </w:r>
      <w:r w:rsidRPr="00820B43">
        <w:rPr>
          <w:rStyle w:val="FootnoteReference"/>
        </w:rPr>
        <w:footnoteReference w:id="147"/>
      </w:r>
      <w:r w:rsidRPr="001D447E">
        <w:t xml:space="preserve"> </w:t>
      </w:r>
      <w:r>
        <w:t xml:space="preserve"> Mr Morris made similar submissions.</w:t>
      </w:r>
      <w:r w:rsidRPr="00820B43">
        <w:rPr>
          <w:rStyle w:val="FootnoteReference"/>
        </w:rPr>
        <w:footnoteReference w:id="148"/>
      </w:r>
    </w:p>
    <w:p w:rsidR="00D73C9F" w:rsidRDefault="00D73C9F" w:rsidP="00D73C9F">
      <w:pPr>
        <w:pStyle w:val="PPVBody"/>
      </w:pPr>
      <w:r>
        <w:lastRenderedPageBreak/>
        <w:t xml:space="preserve">Relying on the evidence of Mr Biacsi, Mr Canavan submitted that </w:t>
      </w:r>
      <w:r w:rsidRPr="00C8737C">
        <w:t xml:space="preserve">some protection </w:t>
      </w:r>
      <w:r>
        <w:t xml:space="preserve">must be </w:t>
      </w:r>
      <w:r w:rsidRPr="00C8737C">
        <w:t>afforded to applicant</w:t>
      </w:r>
      <w:r>
        <w:t>s</w:t>
      </w:r>
      <w:r w:rsidRPr="00C8737C">
        <w:t xml:space="preserve"> who have, in good faith, accepted the invitation of the </w:t>
      </w:r>
      <w:r>
        <w:t xml:space="preserve">Government </w:t>
      </w:r>
      <w:r w:rsidRPr="00C8737C">
        <w:t>and the Minister to prepare applications, and have them considered by the rules that appl</w:t>
      </w:r>
      <w:r>
        <w:t>ied</w:t>
      </w:r>
      <w:r w:rsidRPr="00C8737C">
        <w:t xml:space="preserve"> at the time.  </w:t>
      </w:r>
      <w:r>
        <w:t>He submitted that a failure to include transitional provisions would undermine confidence in the planning system, and reduce investment in Fishermans Bend.</w:t>
      </w:r>
    </w:p>
    <w:p w:rsidR="00D73C9F" w:rsidRDefault="00D73C9F" w:rsidP="00D73C9F">
      <w:pPr>
        <w:pStyle w:val="PPVBody"/>
      </w:pPr>
      <w:r>
        <w:t xml:space="preserve">Mr Finanzio </w:t>
      </w:r>
      <w:r w:rsidR="007161D3">
        <w:t xml:space="preserve">SC </w:t>
      </w:r>
      <w:r>
        <w:t xml:space="preserve">submitted that transitional provisions were needed to ensure that landowners with existing permits were able to amend </w:t>
      </w:r>
      <w:r w:rsidR="007161D3">
        <w:t xml:space="preserve">those </w:t>
      </w:r>
      <w:r>
        <w:t xml:space="preserve">permits without being caught by the new controls.  He strongly supported the transitional provisions introduced into the Part C controls, and that a transitional provision should </w:t>
      </w:r>
      <w:r w:rsidR="00A448F3">
        <w:t xml:space="preserve"> </w:t>
      </w:r>
      <w:r>
        <w:t>be included in Clause 22.XX.</w:t>
      </w:r>
    </w:p>
    <w:p w:rsidR="00D73C9F" w:rsidRDefault="00D73C9F" w:rsidP="00D73C9F">
      <w:pPr>
        <w:pStyle w:val="PPVBody"/>
      </w:pPr>
      <w:r>
        <w:t xml:space="preserve">The Minister responded by submitting that planning is required to balance the present and future interests of all Victorians, </w:t>
      </w:r>
      <w:r w:rsidR="00384D3D">
        <w:rPr>
          <w:i/>
        </w:rPr>
        <w:t>“n</w:t>
      </w:r>
      <w:r w:rsidRPr="00384D3D">
        <w:rPr>
          <w:i/>
        </w:rPr>
        <w:t>ot just a small class of landow</w:t>
      </w:r>
      <w:r w:rsidR="00384D3D">
        <w:rPr>
          <w:i/>
        </w:rPr>
        <w:t>ners”</w:t>
      </w:r>
      <w:r>
        <w:t xml:space="preserve"> in Fishermans Bend who made applications before the Amendment was notified or adopted.  Other interests need to be considered, including the interests of future residents and developers in Fishermans Bend, and taxpayers and ratepayers who will have to pay for future infrastructure which is needed as a result of the existing permits and live applications (if approved).  </w:t>
      </w:r>
      <w:r w:rsidR="00384D3D">
        <w:t>The Minister argued</w:t>
      </w:r>
      <w:r>
        <w:t xml:space="preserve"> that transitional provisions would have a significant impact </w:t>
      </w:r>
      <w:r w:rsidRPr="00081849">
        <w:t xml:space="preserve">on </w:t>
      </w:r>
      <w:r>
        <w:t xml:space="preserve">development </w:t>
      </w:r>
      <w:r w:rsidRPr="00081849">
        <w:t xml:space="preserve">viability </w:t>
      </w:r>
      <w:r>
        <w:t xml:space="preserve">of remaining land </w:t>
      </w:r>
      <w:r w:rsidRPr="00081849">
        <w:t>in Fishermans Bend</w:t>
      </w:r>
      <w:r>
        <w:t>,</w:t>
      </w:r>
      <w:r w:rsidRPr="00081849">
        <w:t xml:space="preserve"> by pushing down the yields available (through a reduced FAR)</w:t>
      </w:r>
      <w:r>
        <w:t xml:space="preserve">, while </w:t>
      </w:r>
      <w:r w:rsidRPr="00081849">
        <w:t>increasing the cost per unit</w:t>
      </w:r>
      <w:r>
        <w:t xml:space="preserve"> </w:t>
      </w:r>
      <w:r w:rsidRPr="00081849">
        <w:t>to meet the cost of infrastructure not provided by developers</w:t>
      </w:r>
      <w:r>
        <w:t xml:space="preserve"> with existing permits or live applications.</w:t>
      </w:r>
      <w:r w:rsidRPr="00820B43">
        <w:rPr>
          <w:rStyle w:val="FootnoteReference"/>
        </w:rPr>
        <w:footnoteReference w:id="149"/>
      </w:r>
    </w:p>
    <w:p w:rsidR="00D73C9F" w:rsidRDefault="00D73C9F" w:rsidP="00D73C9F">
      <w:pPr>
        <w:pStyle w:val="Heading2"/>
      </w:pPr>
      <w:bookmarkStart w:id="520" w:name="_Toc519271040"/>
      <w:bookmarkStart w:id="521" w:name="_Toc519710325"/>
      <w:bookmarkStart w:id="522" w:name="_Toc519766885"/>
      <w:r>
        <w:t>Discussion</w:t>
      </w:r>
      <w:bookmarkEnd w:id="520"/>
      <w:bookmarkEnd w:id="521"/>
      <w:bookmarkEnd w:id="522"/>
    </w:p>
    <w:p w:rsidR="00D73C9F" w:rsidRDefault="00D73C9F" w:rsidP="00D73C9F">
      <w:pPr>
        <w:pStyle w:val="PPVBody"/>
      </w:pPr>
      <w:r>
        <w:t xml:space="preserve">The live </w:t>
      </w:r>
      <w:r w:rsidRPr="00081849">
        <w:t xml:space="preserve">applications and </w:t>
      </w:r>
      <w:r>
        <w:t xml:space="preserve">their merits are not before </w:t>
      </w:r>
      <w:r w:rsidRPr="00081849">
        <w:t>the Review Panel</w:t>
      </w:r>
      <w:r>
        <w:t xml:space="preserve"> and will be assessed by way of a separate process.  The Review Panel’s views on transitional provisions for live applications are </w:t>
      </w:r>
      <w:r w:rsidR="007161D3">
        <w:t>expressed in principle</w:t>
      </w:r>
      <w:r>
        <w:t>, rather than on any view on the merits of existing applications.</w:t>
      </w:r>
    </w:p>
    <w:p w:rsidR="00D73C9F" w:rsidRDefault="00D73C9F" w:rsidP="00D73C9F">
      <w:pPr>
        <w:pStyle w:val="Heading4"/>
      </w:pPr>
      <w:r>
        <w:t>Case studies</w:t>
      </w:r>
    </w:p>
    <w:p w:rsidR="00D73C9F" w:rsidRDefault="00D73C9F" w:rsidP="00D73C9F">
      <w:pPr>
        <w:pStyle w:val="PPVBody"/>
      </w:pPr>
      <w:r>
        <w:t>Several landowners provided case studies demonstrating how much time and money would be wasted if transitional provisions were not provided for live applications.  Two of these case studies are set out below, although there were several others raising similar issues.</w:t>
      </w:r>
    </w:p>
    <w:p w:rsidR="00D73C9F" w:rsidRDefault="00D73C9F" w:rsidP="00D73C9F">
      <w:pPr>
        <w:pStyle w:val="PPVBody"/>
        <w:rPr>
          <w:szCs w:val="20"/>
        </w:rPr>
      </w:pPr>
      <w:r>
        <w:rPr>
          <w:szCs w:val="20"/>
        </w:rPr>
        <w:t xml:space="preserve">The first case study is that of the </w:t>
      </w:r>
      <w:r w:rsidRPr="006A0F3A">
        <w:rPr>
          <w:szCs w:val="20"/>
        </w:rPr>
        <w:t>Samma Group and Spec Properties</w:t>
      </w:r>
      <w:r w:rsidR="00A80B82">
        <w:rPr>
          <w:szCs w:val="20"/>
        </w:rPr>
        <w:t xml:space="preserve">, who own 272 – </w:t>
      </w:r>
      <w:r>
        <w:rPr>
          <w:szCs w:val="20"/>
        </w:rPr>
        <w:t>280 Normanby Road.  They</w:t>
      </w:r>
      <w:r w:rsidRPr="006A0F3A">
        <w:rPr>
          <w:szCs w:val="20"/>
        </w:rPr>
        <w:t xml:space="preserve"> purchased the site in January 2018.  There was (and is) a live permit application in relation to the site, lodged by the previous owner, that would have been assessed against the current interim controls had it been determined within the statutory timeframes.  The application has now been called in by the Minister.  The proposed development would be prohibited under the new controls, primarily because it significantly exceed</w:t>
      </w:r>
      <w:r w:rsidR="00384D3D">
        <w:rPr>
          <w:szCs w:val="20"/>
        </w:rPr>
        <w:t>ed</w:t>
      </w:r>
      <w:r w:rsidRPr="006A0F3A">
        <w:rPr>
          <w:szCs w:val="20"/>
        </w:rPr>
        <w:t xml:space="preserve"> the proposed FAR for the site.  Samma Group and Spec Properties purchased the land after receiving multiple assurances from Departmental and Ministerial staff that the application would be assessed against </w:t>
      </w:r>
      <w:r w:rsidR="00384D3D">
        <w:rPr>
          <w:szCs w:val="20"/>
        </w:rPr>
        <w:t xml:space="preserve">the </w:t>
      </w:r>
      <w:r w:rsidRPr="006A0F3A">
        <w:rPr>
          <w:szCs w:val="20"/>
        </w:rPr>
        <w:t>current controls, and represents an acceptable planning outcome.</w:t>
      </w:r>
      <w:r w:rsidRPr="003C1499">
        <w:rPr>
          <w:szCs w:val="20"/>
        </w:rPr>
        <w:t xml:space="preserve"> </w:t>
      </w:r>
      <w:r w:rsidR="00756D59">
        <w:rPr>
          <w:szCs w:val="20"/>
        </w:rPr>
        <w:t xml:space="preserve"> This was supported by a confidential affidavit.</w:t>
      </w:r>
      <w:r w:rsidR="00756D59">
        <w:rPr>
          <w:rStyle w:val="FootnoteReference"/>
          <w:szCs w:val="20"/>
        </w:rPr>
        <w:footnoteReference w:id="150"/>
      </w:r>
    </w:p>
    <w:p w:rsidR="00785416" w:rsidRDefault="00D73C9F" w:rsidP="00D73C9F">
      <w:pPr>
        <w:pStyle w:val="PPVBody"/>
        <w:rPr>
          <w:szCs w:val="20"/>
        </w:rPr>
      </w:pPr>
      <w:r>
        <w:rPr>
          <w:szCs w:val="20"/>
        </w:rPr>
        <w:lastRenderedPageBreak/>
        <w:t xml:space="preserve">The second case study is that of </w:t>
      </w:r>
      <w:r w:rsidRPr="006A0F3A">
        <w:rPr>
          <w:szCs w:val="20"/>
        </w:rPr>
        <w:t>Wadhawan Holdings</w:t>
      </w:r>
      <w:r w:rsidR="00A80B82">
        <w:rPr>
          <w:szCs w:val="20"/>
        </w:rPr>
        <w:t xml:space="preserve">, owners of 400 – </w:t>
      </w:r>
      <w:r>
        <w:rPr>
          <w:szCs w:val="20"/>
        </w:rPr>
        <w:t>430 City Road.  Wadhawan Holdings</w:t>
      </w:r>
      <w:r w:rsidRPr="006A0F3A">
        <w:rPr>
          <w:szCs w:val="20"/>
        </w:rPr>
        <w:t xml:space="preserve"> have spent upward</w:t>
      </w:r>
      <w:r w:rsidR="00834EE2">
        <w:rPr>
          <w:szCs w:val="20"/>
        </w:rPr>
        <w:t xml:space="preserve">s of $2.4 </w:t>
      </w:r>
      <w:r w:rsidRPr="006A0F3A">
        <w:rPr>
          <w:szCs w:val="20"/>
        </w:rPr>
        <w:t xml:space="preserve">million in relation to two planning applications made in response to the multiple changes in controls since the land was </w:t>
      </w:r>
      <w:r w:rsidR="00E61A3F">
        <w:rPr>
          <w:szCs w:val="20"/>
        </w:rPr>
        <w:t>initially rezoned in 2009</w:t>
      </w:r>
      <w:r w:rsidRPr="006A0F3A">
        <w:rPr>
          <w:szCs w:val="20"/>
        </w:rPr>
        <w:t>.  This figure included the non-refundable Metropolitan Planning Levy, which was $</w:t>
      </w:r>
      <w:r w:rsidR="00834EE2">
        <w:rPr>
          <w:szCs w:val="20"/>
        </w:rPr>
        <w:t>742,493</w:t>
      </w:r>
      <w:r w:rsidRPr="006A0F3A">
        <w:rPr>
          <w:szCs w:val="20"/>
        </w:rPr>
        <w:t xml:space="preserve">.  </w:t>
      </w:r>
      <w:r w:rsidR="00E61A3F">
        <w:rPr>
          <w:szCs w:val="20"/>
        </w:rPr>
        <w:t xml:space="preserve">Ms Collingwood submitted that the costs do not include those related to preparation of various plans that preceded the interim controls.  </w:t>
      </w:r>
      <w:r w:rsidR="00756D59">
        <w:rPr>
          <w:szCs w:val="20"/>
        </w:rPr>
        <w:t>She submitted that t</w:t>
      </w:r>
      <w:r w:rsidRPr="006A0F3A">
        <w:rPr>
          <w:szCs w:val="20"/>
        </w:rPr>
        <w:t xml:space="preserve">hese costs would be </w:t>
      </w:r>
      <w:r w:rsidR="00E61A3F">
        <w:rPr>
          <w:szCs w:val="20"/>
        </w:rPr>
        <w:t>lost</w:t>
      </w:r>
      <w:r w:rsidRPr="006A0F3A">
        <w:rPr>
          <w:szCs w:val="20"/>
        </w:rPr>
        <w:t xml:space="preserve"> if transitional provisions are not included, as the application would be prohibited under the proposed Amendment (it significantly exceeds the proposed FAR and discretionary height controls for the site).</w:t>
      </w:r>
    </w:p>
    <w:p w:rsidR="00D73C9F" w:rsidRDefault="00D73C9F" w:rsidP="00D73C9F">
      <w:pPr>
        <w:pStyle w:val="PPVBody"/>
      </w:pPr>
      <w:r>
        <w:t>While these case studies suggest that transitional provisions may be justified in the interests of fairness, other case studies suggest that transitional provisions could compromise the achievement of the preferred built form typologies and character outcomes sought by the Vision and the draft Framework.  The majority of the existing permits and live applications:</w:t>
      </w:r>
    </w:p>
    <w:p w:rsidR="00D73C9F" w:rsidRDefault="00D73C9F" w:rsidP="00D73C9F">
      <w:pPr>
        <w:pStyle w:val="PPVBullet1"/>
      </w:pPr>
      <w:r>
        <w:t>significantly exceed the proposed FARs</w:t>
      </w:r>
    </w:p>
    <w:p w:rsidR="00D73C9F" w:rsidRDefault="00D73C9F" w:rsidP="00D73C9F">
      <w:pPr>
        <w:pStyle w:val="PPVBullet1"/>
      </w:pPr>
      <w:r>
        <w:t>significantly exceed the proposed discretionary height limits</w:t>
      </w:r>
    </w:p>
    <w:p w:rsidR="00D73C9F" w:rsidRDefault="00D73C9F" w:rsidP="00D73C9F">
      <w:pPr>
        <w:pStyle w:val="PPVBullet1"/>
      </w:pPr>
      <w:r>
        <w:t xml:space="preserve">would have a significant impact on the dwelling targets for each </w:t>
      </w:r>
      <w:r w:rsidR="00EE531A">
        <w:t>P</w:t>
      </w:r>
      <w:r>
        <w:t>recinct.</w:t>
      </w:r>
    </w:p>
    <w:p w:rsidR="00785416" w:rsidRDefault="00D73C9F" w:rsidP="00D73C9F">
      <w:pPr>
        <w:pStyle w:val="PPVBody"/>
      </w:pPr>
      <w:r>
        <w:t>In Montague, there are 16 existing permits and 18 live applications.</w:t>
      </w:r>
      <w:r w:rsidRPr="00820B43">
        <w:rPr>
          <w:rStyle w:val="FootnoteReference"/>
        </w:rPr>
        <w:footnoteReference w:id="151"/>
      </w:r>
      <w:r>
        <w:t xml:space="preserve">  Together, these make u</w:t>
      </w:r>
      <w:r w:rsidR="00384D3D">
        <w:t>p a substantial portion of the P</w:t>
      </w:r>
      <w:r>
        <w:t xml:space="preserve">recinct, particularly north of Buckhurst Street.  The current permits and live applications (if granted) allow development </w:t>
      </w:r>
      <w:r w:rsidR="007161D3">
        <w:t>would be</w:t>
      </w:r>
      <w:r>
        <w:t xml:space="preserve"> in many cases</w:t>
      </w:r>
      <w:r w:rsidR="007161D3">
        <w:t>,</w:t>
      </w:r>
      <w:r>
        <w:t xml:space="preserve"> twice as high as the preferred height limits.  The predominant building typology in the existing permits and live applications is tower/podium, whereas the preferred typology for in this part of Montague is a mix of mid-rise and hybrid (predominantly mid-rise).</w:t>
      </w:r>
    </w:p>
    <w:p w:rsidR="00D73C9F" w:rsidRDefault="00D73C9F" w:rsidP="00D73C9F">
      <w:pPr>
        <w:pStyle w:val="PPVBody"/>
      </w:pPr>
      <w:r>
        <w:t>Further, some of the existing permits and live applications appear to be inconsistent with the proposed location of open space and new road and laneway connections.  For example:</w:t>
      </w:r>
    </w:p>
    <w:p w:rsidR="00D73C9F" w:rsidRDefault="00D73C9F" w:rsidP="00D73C9F">
      <w:pPr>
        <w:pStyle w:val="PPVBullet1"/>
      </w:pPr>
      <w:r>
        <w:t>Wadhaw</w:t>
      </w:r>
      <w:r w:rsidR="00A80B82">
        <w:t xml:space="preserve">an’s permit application for 400 – </w:t>
      </w:r>
      <w:r>
        <w:t>430 City Road (in Montague) does not include any public open space, and includes one laneway through the site (whereas the Montague DDO maps show two laneway connections)</w:t>
      </w:r>
    </w:p>
    <w:p w:rsidR="00D73C9F" w:rsidRDefault="00D73C9F" w:rsidP="00D73C9F">
      <w:pPr>
        <w:pStyle w:val="PPVBullet1"/>
      </w:pPr>
      <w:r>
        <w:t>111 Lorimer Street (in Lorimer) was recently subdivided, requiring the new proposed laneway running south from Lorimer Street to be shifted to the east, to align with the new title boundary.  As a result, the new laneway will not align with the existing connection north of Lorimer Street</w:t>
      </w:r>
      <w:r w:rsidRPr="002750E4">
        <w:t xml:space="preserve"> </w:t>
      </w:r>
      <w:r>
        <w:t>through Yarra’s Edge to the river.</w:t>
      </w:r>
    </w:p>
    <w:p w:rsidR="00D73C9F" w:rsidRDefault="00D73C9F" w:rsidP="00D73C9F">
      <w:pPr>
        <w:pStyle w:val="PPVBody"/>
      </w:pPr>
      <w:r>
        <w:t>The o</w:t>
      </w:r>
      <w:r w:rsidR="007161D3">
        <w:t xml:space="preserve">ccasional </w:t>
      </w:r>
      <w:r>
        <w:t xml:space="preserve">development that exceeds the preferred heights – even significantly so – will not, in the Review Panel’s view, fundamentally undermine the Vision.  However, if </w:t>
      </w:r>
      <w:r w:rsidRPr="002D1D6D">
        <w:t>all</w:t>
      </w:r>
      <w:r>
        <w:t xml:space="preserve"> of the live applications were approved and built, and all of the existing permits were built, the built form outcomes would be incongruous with the Vision and the preferred character in some Precincts (particularly in Montague and to a lesser extent Lorimer).</w:t>
      </w:r>
    </w:p>
    <w:p w:rsidR="00D73C9F" w:rsidRDefault="00D73C9F" w:rsidP="00D73C9F">
      <w:pPr>
        <w:pStyle w:val="PPVBody"/>
      </w:pPr>
      <w:r>
        <w:t xml:space="preserve">Another consideration is population and density.  SIN 15 indicates that if the </w:t>
      </w:r>
      <w:r w:rsidR="007161D3">
        <w:t xml:space="preserve">live </w:t>
      </w:r>
      <w:r>
        <w:t>applications were all approved, the dwelling targets for each Precinct would be significantly taken up:</w:t>
      </w:r>
      <w:r w:rsidRPr="00820B43">
        <w:rPr>
          <w:rStyle w:val="FootnoteReference"/>
        </w:rPr>
        <w:footnoteReference w:id="152"/>
      </w:r>
    </w:p>
    <w:p w:rsidR="00D73C9F" w:rsidRDefault="00D73C9F" w:rsidP="00D73C9F">
      <w:pPr>
        <w:pStyle w:val="PPVBullet1"/>
      </w:pPr>
      <w:r>
        <w:t>Lori</w:t>
      </w:r>
      <w:r w:rsidR="00384D3D">
        <w:t xml:space="preserve">mer’s target would be exceeded </w:t>
      </w:r>
      <w:r>
        <w:t>at 101 per</w:t>
      </w:r>
      <w:r w:rsidR="00384D3D">
        <w:t xml:space="preserve"> cent</w:t>
      </w:r>
    </w:p>
    <w:p w:rsidR="00D73C9F" w:rsidRDefault="00D73C9F" w:rsidP="00D73C9F">
      <w:pPr>
        <w:pStyle w:val="PPVBullet1"/>
      </w:pPr>
      <w:r>
        <w:t>Montague’s target would be taken up by 83 per cent</w:t>
      </w:r>
    </w:p>
    <w:p w:rsidR="00D73C9F" w:rsidRDefault="00D73C9F" w:rsidP="00D73C9F">
      <w:pPr>
        <w:pStyle w:val="PPVBullet1"/>
      </w:pPr>
      <w:r>
        <w:t>Wirraway’s target would be taken up by 54 per cent</w:t>
      </w:r>
    </w:p>
    <w:p w:rsidR="00D73C9F" w:rsidRDefault="00D73C9F" w:rsidP="00D73C9F">
      <w:pPr>
        <w:pStyle w:val="PPVBullet1"/>
      </w:pPr>
      <w:r>
        <w:lastRenderedPageBreak/>
        <w:t>Sandridge’s target would be taken up by 20 per cent.</w:t>
      </w:r>
    </w:p>
    <w:p w:rsidR="00785416" w:rsidRDefault="00D73C9F" w:rsidP="00D73C9F">
      <w:pPr>
        <w:pStyle w:val="PPVBody"/>
      </w:pPr>
      <w:r>
        <w:t>Having said that, t</w:t>
      </w:r>
      <w:r w:rsidRPr="00E43DFC">
        <w:t xml:space="preserve">he Review Panel has concluded that the population targets </w:t>
      </w:r>
      <w:r>
        <w:t xml:space="preserve">and preferred densities </w:t>
      </w:r>
      <w:r w:rsidRPr="00E43DFC">
        <w:t>should be reconsidered for the reasons set out in Chapters 6 and 7.</w:t>
      </w:r>
    </w:p>
    <w:p w:rsidR="00D73C9F" w:rsidRDefault="00D73C9F" w:rsidP="00D73C9F">
      <w:pPr>
        <w:pStyle w:val="PPVBody"/>
      </w:pPr>
      <w:r>
        <w:t xml:space="preserve">Assessing whether transitional provisions should be included requires a balance.  The interests of the current landowners must be balanced against those of the future developers and occupants of Fishermans Bend.  </w:t>
      </w:r>
      <w:r w:rsidRPr="00B72F35">
        <w:t xml:space="preserve">The </w:t>
      </w:r>
      <w:r>
        <w:t xml:space="preserve">issue of fairness must be balanced against the need for good planning outcomes sought by the Vision.  This balancing exercise </w:t>
      </w:r>
      <w:r w:rsidR="007161D3">
        <w:t>is not</w:t>
      </w:r>
      <w:r>
        <w:t xml:space="preserve"> easy.</w:t>
      </w:r>
    </w:p>
    <w:p w:rsidR="00D73C9F" w:rsidRDefault="00D73C9F" w:rsidP="00D73C9F">
      <w:pPr>
        <w:pStyle w:val="Heading4"/>
      </w:pPr>
      <w:r>
        <w:t>Live applications</w:t>
      </w:r>
    </w:p>
    <w:p w:rsidR="00785416" w:rsidRDefault="00D73C9F" w:rsidP="00D73C9F">
      <w:pPr>
        <w:pStyle w:val="PPVBody"/>
      </w:pPr>
      <w:r>
        <w:t>The Review Panel accepts that several landowners have expended significant time and money on their permit applications, in good faith.  Some applications have had to be amended several times to respond to the changes introduced by the interim controls and through discussions with the relevant responsible authority.  Significant amounts have been spent on the (non-refundable) Metropolitan Planning Levy.</w:t>
      </w:r>
    </w:p>
    <w:p w:rsidR="00D73C9F" w:rsidRDefault="00D73C9F" w:rsidP="00D73C9F">
      <w:pPr>
        <w:pStyle w:val="PPVBody"/>
      </w:pPr>
      <w:r>
        <w:t>On balance, the Review Panel considers that some form of protection should be provided for live applications.  However</w:t>
      </w:r>
      <w:r w:rsidR="00A90D8B">
        <w:t>,</w:t>
      </w:r>
      <w:r>
        <w:t xml:space="preserve"> that protection needs to take account of the fact that if </w:t>
      </w:r>
      <w:r w:rsidRPr="00400AC5">
        <w:t>all</w:t>
      </w:r>
      <w:r>
        <w:t xml:space="preserve"> of the live applications were approved and built, the built form outcomes would be incongruous with the preferred character and urban structure for Fishermans Bend, particularly in Montague.</w:t>
      </w:r>
    </w:p>
    <w:p w:rsidR="00D73C9F" w:rsidRDefault="00D73C9F" w:rsidP="00D73C9F">
      <w:pPr>
        <w:pStyle w:val="PPVBody"/>
      </w:pPr>
      <w:r>
        <w:t>The Review Panel therefore considers that the live applications should be assessed against those aspects of the controls that deal with built form, urban structure and preferred character outcomes.  The Review Panel does not, however, consider that live applications should be subject to the proposed density</w:t>
      </w:r>
      <w:r w:rsidRPr="00BC0C05">
        <w:t xml:space="preserve"> </w:t>
      </w:r>
      <w:r>
        <w:t>restrictions.  In some cases, it may lead to unfair results if the live applications are required to be ‘generally in accordance with’ the maps in the CCZ and DDOs.</w:t>
      </w:r>
    </w:p>
    <w:p w:rsidR="00D73C9F" w:rsidRDefault="00756D59" w:rsidP="00D73C9F">
      <w:pPr>
        <w:pStyle w:val="PPVBody"/>
      </w:pPr>
      <w:r>
        <w:t>Although the assessment of</w:t>
      </w:r>
      <w:r w:rsidR="00D73C9F">
        <w:t xml:space="preserve"> live permit applications are outside the Review Panel’s Terms of Reference, the Review Panel offers the following thoughts about a process for assessing those applications:</w:t>
      </w:r>
    </w:p>
    <w:p w:rsidR="00D73C9F" w:rsidRDefault="00D73C9F" w:rsidP="00D73C9F">
      <w:pPr>
        <w:pStyle w:val="PPVBullet1"/>
      </w:pPr>
      <w:r>
        <w:t>Assessment of the called in applications should be a key priority once the new controls are in place.</w:t>
      </w:r>
      <w:r w:rsidRPr="00824D47">
        <w:t xml:space="preserve"> </w:t>
      </w:r>
      <w:r>
        <w:t xml:space="preserve"> Some applicants have been waiting for years to have their applications assessed.</w:t>
      </w:r>
    </w:p>
    <w:p w:rsidR="00D73C9F" w:rsidRDefault="00D73C9F" w:rsidP="00D73C9F">
      <w:pPr>
        <w:pStyle w:val="PPVBullet1"/>
      </w:pPr>
      <w:r>
        <w:t>The applications c</w:t>
      </w:r>
      <w:r w:rsidR="00384D3D">
        <w:t>ould be assessed together on a P</w:t>
      </w:r>
      <w:r>
        <w:t xml:space="preserve">recinct by </w:t>
      </w:r>
      <w:r w:rsidR="007161D3">
        <w:t>Precinct</w:t>
      </w:r>
      <w:r>
        <w:t xml:space="preserve"> basis, to allow for a holistic consideration of the cumulative impact of the applications on the Precinct’s preferred character.  Assessing the applications together could also allow for a more efficient assessment process.</w:t>
      </w:r>
    </w:p>
    <w:p w:rsidR="00D73C9F" w:rsidRDefault="00D73C9F" w:rsidP="00D73C9F">
      <w:pPr>
        <w:pStyle w:val="PPVBullet1"/>
      </w:pPr>
      <w:r>
        <w:t>Provision of affordable housing (including social housing) and other public benefits may be an appropriate basis to allow discretionary heights to be exceeded, as this would not be inconsistent with the principles underpinning the Amendment.</w:t>
      </w:r>
    </w:p>
    <w:p w:rsidR="00D73C9F" w:rsidRPr="00A12BC6" w:rsidRDefault="00D73C9F" w:rsidP="00D73C9F">
      <w:pPr>
        <w:pStyle w:val="PPVBody"/>
      </w:pPr>
      <w:r w:rsidRPr="00C91639">
        <w:t>An alternative to including transitional provisions in the CCZ and the DDO could be to prepare an Incorporated Document under Clause 52.03 (Specific sites and exclusions) which generally exempts</w:t>
      </w:r>
      <w:r w:rsidR="00384D3D">
        <w:t xml:space="preserve"> </w:t>
      </w:r>
      <w:r w:rsidRPr="00C91639">
        <w:t>live applications from the new controls, but specifies appropriate aspects of the new controls agains</w:t>
      </w:r>
      <w:r w:rsidR="00384D3D">
        <w:t>t which the live applications c</w:t>
      </w:r>
      <w:r w:rsidRPr="00C91639">
        <w:t>ould</w:t>
      </w:r>
      <w:r w:rsidRPr="00A12BC6">
        <w:t xml:space="preserve"> be assessed.</w:t>
      </w:r>
    </w:p>
    <w:p w:rsidR="00D73C9F" w:rsidRDefault="00D73C9F" w:rsidP="00D73C9F">
      <w:pPr>
        <w:pStyle w:val="Heading4"/>
      </w:pPr>
      <w:r>
        <w:lastRenderedPageBreak/>
        <w:t>Amendments to and extensions of existing permits</w:t>
      </w:r>
    </w:p>
    <w:p w:rsidR="00D73C9F" w:rsidRDefault="00D73C9F" w:rsidP="00D73C9F">
      <w:pPr>
        <w:pStyle w:val="PPVBody"/>
      </w:pPr>
      <w:r>
        <w:t>The Review Panel considers that the exemptions for amendments to existing permits in the Minister’s Part C controls are generally appropriate.</w:t>
      </w:r>
    </w:p>
    <w:p w:rsidR="00D73C9F" w:rsidRDefault="00D73C9F" w:rsidP="00D73C9F">
      <w:pPr>
        <w:pStyle w:val="PPVBody"/>
      </w:pPr>
      <w:r>
        <w:t xml:space="preserve">The Review Panel does not consider that transitional provisions are required for extensions to existing permits.  Well-established principles govern the extension of existing permits, and a change in the planning controls is not necessarily an impediment to an extension – even if the </w:t>
      </w:r>
      <w:r w:rsidR="007161D3">
        <w:t>use or development</w:t>
      </w:r>
      <w:r>
        <w:t xml:space="preserve"> has since become prohibited.</w:t>
      </w:r>
    </w:p>
    <w:p w:rsidR="00D73C9F" w:rsidRDefault="00D73C9F" w:rsidP="00D73C9F">
      <w:pPr>
        <w:pStyle w:val="Heading4"/>
      </w:pPr>
      <w:r>
        <w:t>Continuing lawful uses</w:t>
      </w:r>
    </w:p>
    <w:p w:rsidR="00D73C9F" w:rsidRDefault="00D73C9F" w:rsidP="00D73C9F">
      <w:pPr>
        <w:pStyle w:val="PPVBody"/>
      </w:pPr>
      <w:r>
        <w:t xml:space="preserve">The Review Panel supports the principle that continuing lawful uses should be protected, but queries why </w:t>
      </w:r>
      <w:r w:rsidRPr="00F01A80">
        <w:t xml:space="preserve">the </w:t>
      </w:r>
      <w:r>
        <w:t xml:space="preserve">exemptions in the </w:t>
      </w:r>
      <w:r w:rsidRPr="00F01A80">
        <w:t xml:space="preserve">Part C controls </w:t>
      </w:r>
      <w:r>
        <w:t>only extend to industry and warehouse uses.  The Review Panel considers that any lawful continuing use should be protected.  In this regard, it accepts the submissions of Inchcape (S245) regarding the ongoing operation of the Subaru dealership in Lorimer (L44).</w:t>
      </w:r>
    </w:p>
    <w:p w:rsidR="00D73C9F" w:rsidRDefault="00D73C9F" w:rsidP="00D73C9F">
      <w:pPr>
        <w:pStyle w:val="Heading2"/>
      </w:pPr>
      <w:bookmarkStart w:id="523" w:name="_Toc519271041"/>
      <w:bookmarkStart w:id="524" w:name="_Toc519710326"/>
      <w:bookmarkStart w:id="525" w:name="_Toc519766886"/>
      <w:r>
        <w:t>Findings</w:t>
      </w:r>
      <w:bookmarkEnd w:id="523"/>
      <w:bookmarkEnd w:id="524"/>
      <w:bookmarkEnd w:id="525"/>
    </w:p>
    <w:p w:rsidR="00D73C9F" w:rsidRDefault="00D73C9F" w:rsidP="00D73C9F">
      <w:pPr>
        <w:pStyle w:val="PPVBody"/>
      </w:pPr>
      <w:r>
        <w:t>The Review Panel finds:</w:t>
      </w:r>
    </w:p>
    <w:p w:rsidR="00756D59" w:rsidRDefault="00756D59" w:rsidP="00756D59">
      <w:pPr>
        <w:pStyle w:val="PPVBullet1"/>
      </w:pPr>
      <w:r>
        <w:t>Live applications should be assessed against those aspects of the built form, urban structure and preferred character outcomes of the new controls that the Minister considers appropriate, but should otherwise be exempt from the new controls.  Exemptions could be by transitional provisions, or a site specific control prepared in accordance with Clause 52.03.</w:t>
      </w:r>
    </w:p>
    <w:p w:rsidR="00D73C9F" w:rsidRDefault="00D73C9F" w:rsidP="00D73C9F">
      <w:pPr>
        <w:pStyle w:val="PPVBullet1"/>
      </w:pPr>
      <w:r>
        <w:t>The exemptions included in the Part C controls to protect continuing lawful uses are supported, but should be extended to any continuing lawful use</w:t>
      </w:r>
      <w:r w:rsidRPr="00AD7B71">
        <w:t xml:space="preserve"> </w:t>
      </w:r>
      <w:r>
        <w:t>(not just industry or warehouse uses).</w:t>
      </w:r>
    </w:p>
    <w:p w:rsidR="00D73C9F" w:rsidRDefault="00D73C9F" w:rsidP="00D73C9F">
      <w:pPr>
        <w:pStyle w:val="PPVBullet1"/>
      </w:pPr>
      <w:r>
        <w:t>Transitional provisions are not required in respect of the extension of existing permits.</w:t>
      </w:r>
    </w:p>
    <w:p w:rsidR="00D73C9F" w:rsidRDefault="00D73C9F" w:rsidP="00D73C9F">
      <w:pPr>
        <w:pStyle w:val="Heading2"/>
      </w:pPr>
      <w:bookmarkStart w:id="526" w:name="_Toc519271042"/>
      <w:bookmarkStart w:id="527" w:name="_Toc519710327"/>
      <w:bookmarkStart w:id="528" w:name="_Toc519766887"/>
      <w:r w:rsidRPr="00445060">
        <w:t>Conclusions</w:t>
      </w:r>
      <w:r>
        <w:t xml:space="preserve"> and r</w:t>
      </w:r>
      <w:r w:rsidRPr="00DD5F47">
        <w:t>ecommendations</w:t>
      </w:r>
      <w:bookmarkEnd w:id="526"/>
      <w:bookmarkEnd w:id="527"/>
      <w:bookmarkEnd w:id="528"/>
    </w:p>
    <w:p w:rsidR="00D73C9F" w:rsidRPr="001C078B" w:rsidRDefault="00D73C9F" w:rsidP="00D73C9F">
      <w:pPr>
        <w:pStyle w:val="PPVBody"/>
        <w:rPr>
          <w:b/>
        </w:rPr>
      </w:pPr>
      <w:r>
        <w:rPr>
          <w:b/>
        </w:rPr>
        <w:t>In accordance with the primary recommendation of the Review Panel to progress Amendment GC81</w:t>
      </w:r>
      <w:r w:rsidRPr="001C078B">
        <w:rPr>
          <w:b/>
        </w:rPr>
        <w:t>, the following key changes have been included in the amended Capital City Zone and Design and Development Overlays:</w:t>
      </w:r>
    </w:p>
    <w:p w:rsidR="00D73C9F" w:rsidRPr="00181298" w:rsidRDefault="00D73C9F" w:rsidP="00D73C9F">
      <w:pPr>
        <w:pStyle w:val="PPVRecommendationDrafting"/>
      </w:pPr>
      <w:r w:rsidRPr="00181298">
        <w:t xml:space="preserve">In the Capital City Zone and the Design and Development Overlays, include provisions </w:t>
      </w:r>
      <w:r>
        <w:t>exempting applications to amend existing permits and applications associated with continuing lawful uses</w:t>
      </w:r>
      <w:r w:rsidRPr="00181298">
        <w:t xml:space="preserve"> which are based on (but not identical to) the Minister’s Part C controls.</w:t>
      </w:r>
    </w:p>
    <w:p w:rsidR="00874125" w:rsidRPr="00A90F8A" w:rsidRDefault="00874125" w:rsidP="00874125">
      <w:pPr>
        <w:pStyle w:val="Heading1"/>
        <w:numPr>
          <w:ilvl w:val="0"/>
          <w:numId w:val="0"/>
        </w:numPr>
        <w:rPr>
          <w:rFonts w:asciiTheme="minorHAnsi" w:hAnsiTheme="minorHAnsi"/>
        </w:rPr>
      </w:pPr>
      <w:bookmarkStart w:id="529" w:name="_Toc519710328"/>
      <w:bookmarkStart w:id="530" w:name="_Toc519766888"/>
      <w:r w:rsidRPr="00A90F8A">
        <w:rPr>
          <w:rFonts w:asciiTheme="minorHAnsi" w:hAnsiTheme="minorHAnsi"/>
        </w:rPr>
        <w:lastRenderedPageBreak/>
        <w:t xml:space="preserve">PART </w:t>
      </w:r>
      <w:r>
        <w:rPr>
          <w:rFonts w:asciiTheme="minorHAnsi" w:hAnsiTheme="minorHAnsi"/>
        </w:rPr>
        <w:t>D</w:t>
      </w:r>
      <w:r w:rsidRPr="00A90F8A">
        <w:rPr>
          <w:rFonts w:asciiTheme="minorHAnsi" w:hAnsiTheme="minorHAnsi"/>
        </w:rPr>
        <w:t xml:space="preserve"> </w:t>
      </w:r>
      <w:r>
        <w:rPr>
          <w:rFonts w:asciiTheme="minorHAnsi" w:hAnsiTheme="minorHAnsi"/>
        </w:rPr>
        <w:t>–</w:t>
      </w:r>
      <w:r w:rsidRPr="00A90F8A">
        <w:rPr>
          <w:rFonts w:asciiTheme="minorHAnsi" w:hAnsiTheme="minorHAnsi"/>
        </w:rPr>
        <w:t xml:space="preserve"> </w:t>
      </w:r>
      <w:r>
        <w:rPr>
          <w:rFonts w:asciiTheme="minorHAnsi" w:hAnsiTheme="minorHAnsi"/>
        </w:rPr>
        <w:t>PLANNING CONTROLS</w:t>
      </w:r>
      <w:bookmarkEnd w:id="529"/>
      <w:bookmarkEnd w:id="530"/>
    </w:p>
    <w:p w:rsidR="00874125" w:rsidRPr="00A90F8A" w:rsidRDefault="00874125" w:rsidP="00874125">
      <w:pPr>
        <w:pStyle w:val="PPVBody"/>
      </w:pPr>
    </w:p>
    <w:p w:rsidR="00E86739" w:rsidRDefault="00E86739">
      <w:pPr>
        <w:spacing w:before="0"/>
        <w:jc w:val="left"/>
        <w:rPr>
          <w:rFonts w:asciiTheme="minorHAnsi" w:hAnsiTheme="minorHAnsi"/>
        </w:rPr>
      </w:pPr>
      <w:r>
        <w:rPr>
          <w:rFonts w:asciiTheme="minorHAnsi" w:hAnsiTheme="minorHAnsi"/>
        </w:rPr>
        <w:br w:type="page"/>
      </w:r>
    </w:p>
    <w:p w:rsidR="00823032" w:rsidRDefault="00823032" w:rsidP="00823032">
      <w:pPr>
        <w:pStyle w:val="Heading1"/>
      </w:pPr>
      <w:bookmarkStart w:id="531" w:name="_Toc516581150"/>
      <w:bookmarkStart w:id="532" w:name="_Toc519710329"/>
      <w:bookmarkStart w:id="533" w:name="_Toc519766889"/>
      <w:bookmarkStart w:id="534" w:name="_Toc516053906"/>
      <w:bookmarkStart w:id="535" w:name="_Toc516057147"/>
      <w:r>
        <w:lastRenderedPageBreak/>
        <w:t>Structure and language</w:t>
      </w:r>
      <w:bookmarkEnd w:id="531"/>
      <w:bookmarkEnd w:id="532"/>
      <w:bookmarkEnd w:id="533"/>
    </w:p>
    <w:p w:rsidR="00FC60DB" w:rsidRDefault="00FC60DB" w:rsidP="00DD6314">
      <w:pPr>
        <w:pStyle w:val="Heading2"/>
      </w:pPr>
      <w:bookmarkStart w:id="536" w:name="_Toc519710330"/>
      <w:bookmarkStart w:id="537" w:name="_Toc519766890"/>
      <w:r>
        <w:t>The approach of the Review Panel</w:t>
      </w:r>
      <w:bookmarkEnd w:id="536"/>
      <w:bookmarkEnd w:id="537"/>
    </w:p>
    <w:p w:rsidR="00FC60DB" w:rsidRDefault="00FC60DB" w:rsidP="00FC60DB">
      <w:pPr>
        <w:pStyle w:val="PPVBody"/>
      </w:pPr>
      <w:r>
        <w:t xml:space="preserve">The proposed controls are complex.  Fishermans Bend is a large and </w:t>
      </w:r>
      <w:r w:rsidR="007161D3">
        <w:t>diverse</w:t>
      </w:r>
      <w:r>
        <w:t xml:space="preserve"> area, and setting height and setback controls will be more complex than</w:t>
      </w:r>
      <w:r w:rsidR="00FD429D">
        <w:t xml:space="preserve"> in</w:t>
      </w:r>
      <w:r>
        <w:t xml:space="preserve"> other areas </w:t>
      </w:r>
      <w:r w:rsidR="00FD429D">
        <w:t>of</w:t>
      </w:r>
      <w:r>
        <w:t xml:space="preserve"> Melbourne.</w:t>
      </w:r>
    </w:p>
    <w:p w:rsidR="00785416" w:rsidRDefault="00FC60DB" w:rsidP="00FC60DB">
      <w:pPr>
        <w:pStyle w:val="PPVBody"/>
      </w:pPr>
      <w:r>
        <w:t xml:space="preserve">The Review Panel’s Terms of Reference require it to provide a track change version of the controls.  The Review Panel has based </w:t>
      </w:r>
      <w:r w:rsidR="000C281B">
        <w:t xml:space="preserve">these </w:t>
      </w:r>
      <w:r>
        <w:t>on the Ministers’ Part C v</w:t>
      </w:r>
      <w:r w:rsidR="000C281B">
        <w:t>ersions of the draft Amendment.</w:t>
      </w:r>
    </w:p>
    <w:p w:rsidR="00FC60DB" w:rsidRDefault="00FC60DB" w:rsidP="00FC60DB">
      <w:pPr>
        <w:pStyle w:val="PPVBody"/>
      </w:pPr>
      <w:r>
        <w:t>In preparing its version of the controls the Review Panel has been mindful of the Department’s published guidance including:</w:t>
      </w:r>
    </w:p>
    <w:p w:rsidR="00FC60DB" w:rsidRDefault="00FC60DB" w:rsidP="00FC60DB">
      <w:pPr>
        <w:pStyle w:val="PPVBullet1"/>
        <w:rPr>
          <w:lang w:val="en"/>
        </w:rPr>
      </w:pPr>
      <w:r>
        <w:rPr>
          <w:lang w:val="en"/>
        </w:rPr>
        <w:t xml:space="preserve">the Ministerial Direction on </w:t>
      </w:r>
      <w:r w:rsidR="006C32DA" w:rsidRPr="006C32DA">
        <w:rPr>
          <w:i/>
          <w:lang w:val="en"/>
        </w:rPr>
        <w:t>T</w:t>
      </w:r>
      <w:r w:rsidRPr="006C32DA">
        <w:rPr>
          <w:i/>
          <w:lang w:val="en"/>
        </w:rPr>
        <w:t>he Form and Content of Planning Schemes</w:t>
      </w:r>
      <w:r>
        <w:rPr>
          <w:lang w:val="en"/>
        </w:rPr>
        <w:t>, which includes a requirement to draft in plain English</w:t>
      </w:r>
    </w:p>
    <w:p w:rsidR="00FC60DB" w:rsidRDefault="00FC60DB" w:rsidP="00FC60DB">
      <w:pPr>
        <w:pStyle w:val="PPVBullet1"/>
      </w:pPr>
      <w:r w:rsidRPr="0054363F">
        <w:rPr>
          <w:i/>
        </w:rPr>
        <w:t>Using Victoria's planning system, Chapter 9 – Plain English</w:t>
      </w:r>
      <w:r w:rsidRPr="00093310">
        <w:t>,</w:t>
      </w:r>
      <w:r>
        <w:rPr>
          <w:i/>
        </w:rPr>
        <w:t xml:space="preserve"> </w:t>
      </w:r>
      <w:r>
        <w:t>which provides specific guidance on drafting for planning schemes as well as more general plain English advice</w:t>
      </w:r>
    </w:p>
    <w:p w:rsidR="00FC60DB" w:rsidRDefault="00FC60DB" w:rsidP="00FC60DB">
      <w:pPr>
        <w:pStyle w:val="PPVBullet1"/>
      </w:pPr>
      <w:r>
        <w:t>relevant Planning Practice Notes.</w:t>
      </w:r>
    </w:p>
    <w:p w:rsidR="000F348F" w:rsidRDefault="000F348F" w:rsidP="000F348F">
      <w:pPr>
        <w:pStyle w:val="PPVBody"/>
      </w:pPr>
      <w:r>
        <w:t>The Review Panel has adopted a drafting approach that follows the published guidance.  In the opinion of the Review Panel, this makes the draft Amendment easier to navigate and understand.  It also has a broader planning systems benefit of reducing variation in the way planning controls are expressed between different planning schemes.</w:t>
      </w:r>
    </w:p>
    <w:p w:rsidR="000F348F" w:rsidRDefault="000F348F" w:rsidP="000F348F">
      <w:pPr>
        <w:pStyle w:val="PPVBody"/>
      </w:pPr>
      <w:r>
        <w:t>This Chapter sets out the drafting principles that the Review Panel has used in preparing its track changes version of the draft Amendment.  These drafting principles address:</w:t>
      </w:r>
    </w:p>
    <w:p w:rsidR="00FC60DB" w:rsidRDefault="000C281B" w:rsidP="00FC60DB">
      <w:pPr>
        <w:pStyle w:val="PPVBullet1"/>
        <w:rPr>
          <w:rFonts w:asciiTheme="minorHAnsi" w:eastAsiaTheme="minorEastAsia" w:hAnsiTheme="minorHAnsi" w:cstheme="minorBidi"/>
          <w:noProof/>
          <w:sz w:val="22"/>
          <w:szCs w:val="22"/>
        </w:rPr>
      </w:pPr>
      <w:r>
        <w:rPr>
          <w:noProof/>
        </w:rPr>
        <w:t>w</w:t>
      </w:r>
      <w:r w:rsidR="00FC60DB">
        <w:rPr>
          <w:noProof/>
        </w:rPr>
        <w:t>hat should go where</w:t>
      </w:r>
    </w:p>
    <w:p w:rsidR="00FC60DB" w:rsidRDefault="000C281B" w:rsidP="00FC60DB">
      <w:pPr>
        <w:pStyle w:val="PPVBullet1"/>
        <w:rPr>
          <w:rFonts w:asciiTheme="minorHAnsi" w:eastAsiaTheme="minorEastAsia" w:hAnsiTheme="minorHAnsi" w:cstheme="minorBidi"/>
          <w:noProof/>
          <w:sz w:val="22"/>
          <w:szCs w:val="22"/>
        </w:rPr>
      </w:pPr>
      <w:r>
        <w:rPr>
          <w:noProof/>
        </w:rPr>
        <w:t>t</w:t>
      </w:r>
      <w:r w:rsidR="00FC60DB">
        <w:rPr>
          <w:noProof/>
        </w:rPr>
        <w:t>he role of different elements</w:t>
      </w:r>
    </w:p>
    <w:p w:rsidR="00FC60DB" w:rsidRDefault="000C281B" w:rsidP="00FC60DB">
      <w:pPr>
        <w:pStyle w:val="PPVBullet1"/>
        <w:rPr>
          <w:rFonts w:asciiTheme="minorHAnsi" w:eastAsiaTheme="minorEastAsia" w:hAnsiTheme="minorHAnsi" w:cstheme="minorBidi"/>
          <w:noProof/>
          <w:sz w:val="22"/>
          <w:szCs w:val="22"/>
        </w:rPr>
      </w:pPr>
      <w:r>
        <w:rPr>
          <w:noProof/>
        </w:rPr>
        <w:t>i</w:t>
      </w:r>
      <w:r w:rsidR="00FC60DB">
        <w:rPr>
          <w:noProof/>
        </w:rPr>
        <w:t>ssues with expression</w:t>
      </w:r>
    </w:p>
    <w:p w:rsidR="00FC60DB" w:rsidRDefault="000C281B" w:rsidP="00FC60DB">
      <w:pPr>
        <w:pStyle w:val="PPVBullet1"/>
        <w:rPr>
          <w:rFonts w:asciiTheme="minorHAnsi" w:eastAsiaTheme="minorEastAsia" w:hAnsiTheme="minorHAnsi" w:cstheme="minorBidi"/>
          <w:noProof/>
          <w:sz w:val="22"/>
          <w:szCs w:val="22"/>
        </w:rPr>
      </w:pPr>
      <w:r>
        <w:rPr>
          <w:noProof/>
        </w:rPr>
        <w:t>i</w:t>
      </w:r>
      <w:r w:rsidR="00FC60DB">
        <w:rPr>
          <w:noProof/>
        </w:rPr>
        <w:t>nterpretation of requirments</w:t>
      </w:r>
    </w:p>
    <w:p w:rsidR="00FC60DB" w:rsidRDefault="000C281B" w:rsidP="00FC60DB">
      <w:pPr>
        <w:pStyle w:val="PPVBullet1"/>
        <w:rPr>
          <w:rFonts w:asciiTheme="minorHAnsi" w:eastAsiaTheme="minorEastAsia" w:hAnsiTheme="minorHAnsi" w:cstheme="minorBidi"/>
          <w:noProof/>
          <w:sz w:val="22"/>
          <w:szCs w:val="22"/>
        </w:rPr>
      </w:pPr>
      <w:r>
        <w:rPr>
          <w:noProof/>
        </w:rPr>
        <w:t>p</w:t>
      </w:r>
      <w:r w:rsidR="00FC60DB">
        <w:rPr>
          <w:noProof/>
        </w:rPr>
        <w:t>lans and diagrams.</w:t>
      </w:r>
    </w:p>
    <w:p w:rsidR="00FC60DB" w:rsidRDefault="00FC60DB" w:rsidP="00DD6314">
      <w:pPr>
        <w:pStyle w:val="Heading2"/>
      </w:pPr>
      <w:bookmarkStart w:id="538" w:name="_Toc518402920"/>
      <w:bookmarkStart w:id="539" w:name="_Toc519710331"/>
      <w:bookmarkStart w:id="540" w:name="_Toc519766891"/>
      <w:r>
        <w:t>What should go where</w:t>
      </w:r>
      <w:bookmarkEnd w:id="538"/>
      <w:bookmarkEnd w:id="539"/>
      <w:bookmarkEnd w:id="540"/>
    </w:p>
    <w:p w:rsidR="00FC60DB" w:rsidRDefault="00FC60DB" w:rsidP="00FC60DB">
      <w:pPr>
        <w:pStyle w:val="Heading4"/>
      </w:pPr>
      <w:r>
        <w:t>Which schedule</w:t>
      </w:r>
    </w:p>
    <w:p w:rsidR="00FC60DB" w:rsidRDefault="00FC60DB" w:rsidP="00FC60DB">
      <w:pPr>
        <w:pStyle w:val="PPVBody"/>
      </w:pPr>
      <w:r>
        <w:t xml:space="preserve">Requirements in schedules can only address the matters specified in the head </w:t>
      </w:r>
      <w:r w:rsidR="00576336">
        <w:t>c</w:t>
      </w:r>
      <w:r>
        <w:t>lause of that schedule.  For example, bicycle parking cannot be addressed in the Parking Overlay, because there is no power in the head clauses, Clauses 52.06 and 45.09.</w:t>
      </w:r>
    </w:p>
    <w:p w:rsidR="00FC60DB" w:rsidRDefault="00FC60DB" w:rsidP="00FC60DB">
      <w:pPr>
        <w:pStyle w:val="PPVBody"/>
      </w:pPr>
      <w:r>
        <w:t>It became clear in the Hearing that a number of provisions in the Part A version of the controls did not relate to the relevant head clause.  The Part C version of the controls addressed this issue.</w:t>
      </w:r>
    </w:p>
    <w:p w:rsidR="00FC60DB" w:rsidRDefault="00D137BD" w:rsidP="00FC60DB">
      <w:pPr>
        <w:pStyle w:val="PPVBody"/>
      </w:pPr>
      <w:r>
        <w:t xml:space="preserve">In preparing its track change version </w:t>
      </w:r>
      <w:r w:rsidR="00045036">
        <w:t xml:space="preserve">of the controls, </w:t>
      </w:r>
      <w:r>
        <w:t>the Review Panel supports the principle</w:t>
      </w:r>
      <w:r w:rsidR="00FC60DB">
        <w:t>:</w:t>
      </w:r>
    </w:p>
    <w:p w:rsidR="00FC60DB" w:rsidRPr="00630A1A" w:rsidRDefault="00FC60DB" w:rsidP="000C281B">
      <w:pPr>
        <w:pStyle w:val="PPVBullet1"/>
      </w:pPr>
      <w:bookmarkStart w:id="541" w:name="_Toc518287564"/>
      <w:r>
        <w:t>o</w:t>
      </w:r>
      <w:r w:rsidRPr="00630A1A">
        <w:t>nly include requirements that are supported by the head clause of the provision.</w:t>
      </w:r>
      <w:bookmarkEnd w:id="541"/>
    </w:p>
    <w:p w:rsidR="00FC60DB" w:rsidRDefault="00FC60DB" w:rsidP="00FC60DB">
      <w:pPr>
        <w:pStyle w:val="Heading4"/>
      </w:pPr>
      <w:r>
        <w:lastRenderedPageBreak/>
        <w:t>Use of external references</w:t>
      </w:r>
    </w:p>
    <w:p w:rsidR="000F348F" w:rsidRDefault="000F348F" w:rsidP="000F348F">
      <w:pPr>
        <w:pStyle w:val="PPVBody"/>
      </w:pPr>
      <w:r>
        <w:t>The draft Amendment refers to the</w:t>
      </w:r>
      <w:r w:rsidRPr="00D132D4">
        <w:t xml:space="preserve"> </w:t>
      </w:r>
      <w:r w:rsidRPr="00FE5EF2">
        <w:rPr>
          <w:i/>
        </w:rPr>
        <w:t>Fishermans Bend Vision, September 2016</w:t>
      </w:r>
      <w:r w:rsidRPr="00D132D4">
        <w:t xml:space="preserve"> and </w:t>
      </w:r>
      <w:r w:rsidRPr="00FE5EF2">
        <w:rPr>
          <w:i/>
        </w:rPr>
        <w:t xml:space="preserve">Fishermans Bend Framework, </w:t>
      </w:r>
      <w:r>
        <w:rPr>
          <w:i/>
        </w:rPr>
        <w:t>draft for Consultation</w:t>
      </w:r>
      <w:r w:rsidRPr="00D132D4">
        <w:t xml:space="preserve"> in objectives.  </w:t>
      </w:r>
      <w:r>
        <w:t>Land owner submissions pointed out that this was poor drafting practice.</w:t>
      </w:r>
    </w:p>
    <w:p w:rsidR="000F348F" w:rsidRDefault="000F348F" w:rsidP="000F348F">
      <w:pPr>
        <w:pStyle w:val="PPVBody"/>
      </w:pPr>
      <w:r>
        <w:t>The Practice Note on Reference and Incorporated Documents makes it clear that if a document is to be relied on in the exercise of discretion it should be incorporated into the planning scheme.  The draft Framework has not been proposed to be incorporated and incorporating it would be inappropriate, as it is not intended to be relied on</w:t>
      </w:r>
      <w:r w:rsidRPr="00C77EAD">
        <w:t xml:space="preserve"> </w:t>
      </w:r>
      <w:r>
        <w:t>in the exercise of discretion.  Rather, the relevant parts of the draft Framework have been translated directly into the controls.</w:t>
      </w:r>
    </w:p>
    <w:p w:rsidR="000F348F" w:rsidRDefault="000F348F" w:rsidP="000F348F">
      <w:pPr>
        <w:pStyle w:val="PPVBody"/>
      </w:pPr>
      <w:r>
        <w:t>The Victorian planning system provides the opportunity to include strategies in an MSS, and both the Melbourne and Port Philip planning schemes have a local areas section where strategies can be included.</w:t>
      </w:r>
    </w:p>
    <w:p w:rsidR="000F348F" w:rsidRDefault="000F348F" w:rsidP="000F348F">
      <w:pPr>
        <w:pStyle w:val="PPVBody"/>
      </w:pPr>
      <w:r>
        <w:t>Background reports that have informed the preparation of controls can be included as Reference Documents.  The draft Framework is included as a Reference Document.</w:t>
      </w:r>
    </w:p>
    <w:p w:rsidR="000F348F" w:rsidRDefault="000F348F" w:rsidP="000F348F">
      <w:pPr>
        <w:pStyle w:val="PPVBody"/>
      </w:pPr>
      <w:r>
        <w:t>In preparing its track change version of the controls, the Review Panel has sought to:</w:t>
      </w:r>
    </w:p>
    <w:p w:rsidR="000F348F" w:rsidRDefault="000F348F" w:rsidP="000F348F">
      <w:pPr>
        <w:pStyle w:val="PPVBullet1"/>
      </w:pPr>
      <w:r>
        <w:t>remove reference to the draft Framework in the body of the draft Amendment (but retain the draft Framework as a Reference Document).</w:t>
      </w:r>
    </w:p>
    <w:p w:rsidR="00FC60DB" w:rsidRDefault="00FC60DB" w:rsidP="00FC60DB">
      <w:pPr>
        <w:pStyle w:val="Heading4"/>
      </w:pPr>
      <w:r>
        <w:t>Strategy o</w:t>
      </w:r>
      <w:r w:rsidR="000C281B">
        <w:t>r</w:t>
      </w:r>
      <w:r>
        <w:t xml:space="preserve"> policy</w:t>
      </w:r>
    </w:p>
    <w:p w:rsidR="00FC60DB" w:rsidRDefault="00FC60DB" w:rsidP="00FC60DB">
      <w:pPr>
        <w:pStyle w:val="PPVBody"/>
      </w:pPr>
      <w:r>
        <w:t>There are established drafting practices that guide where the contents of the LPPF should be included:</w:t>
      </w:r>
    </w:p>
    <w:p w:rsidR="00FC60DB" w:rsidRDefault="00FC60DB" w:rsidP="00FC60DB">
      <w:pPr>
        <w:pStyle w:val="PPVBullet1"/>
      </w:pPr>
      <w:r>
        <w:t xml:space="preserve">the MSS is the appropriate place for broad </w:t>
      </w:r>
      <w:r w:rsidR="00EE531A">
        <w:t>p</w:t>
      </w:r>
      <w:r>
        <w:t>recinct wide strategies</w:t>
      </w:r>
    </w:p>
    <w:p w:rsidR="00FC60DB" w:rsidRDefault="00FC60DB" w:rsidP="00FC60DB">
      <w:pPr>
        <w:pStyle w:val="PPVBullet1"/>
      </w:pPr>
      <w:r>
        <w:t>a local planning policy is a tool for day-to-day decision making in relation to a specific discretion in the planning scheme.</w:t>
      </w:r>
      <w:r w:rsidRPr="00820B43">
        <w:rPr>
          <w:rStyle w:val="FootnoteReference"/>
        </w:rPr>
        <w:footnoteReference w:id="153"/>
      </w:r>
    </w:p>
    <w:p w:rsidR="00FC60DB" w:rsidRDefault="00FC60DB" w:rsidP="00FC60DB">
      <w:pPr>
        <w:pStyle w:val="PPVBody"/>
      </w:pPr>
      <w:r>
        <w:t xml:space="preserve">The Review Panel is concerned that a number of statements in </w:t>
      </w:r>
      <w:r w:rsidR="000C281B">
        <w:t xml:space="preserve">Clause </w:t>
      </w:r>
      <w:r>
        <w:t xml:space="preserve">22.XX are strategies, and should be included in the MSS, or the policy basis of </w:t>
      </w:r>
      <w:r w:rsidR="000C281B">
        <w:t xml:space="preserve">Clause </w:t>
      </w:r>
      <w:r>
        <w:t xml:space="preserve">22.XX rather than in </w:t>
      </w:r>
      <w:r w:rsidR="000C281B">
        <w:t xml:space="preserve">Clause </w:t>
      </w:r>
      <w:r>
        <w:t>22.XX itself.  For examp</w:t>
      </w:r>
      <w:r w:rsidR="000F348F">
        <w:t>le, the first policy statements</w:t>
      </w:r>
      <w:r>
        <w:t xml:space="preserve"> under ‘</w:t>
      </w:r>
      <w:r w:rsidRPr="00FE70FA">
        <w:t>Providing for employment floor area</w:t>
      </w:r>
      <w:r w:rsidR="000C281B">
        <w:t xml:space="preserve">’ </w:t>
      </w:r>
      <w:r>
        <w:t>are</w:t>
      </w:r>
      <w:r w:rsidRPr="00124380">
        <w:t xml:space="preserve"> clearly not something of direct relevan</w:t>
      </w:r>
      <w:r>
        <w:t xml:space="preserve">ce to </w:t>
      </w:r>
      <w:r w:rsidR="000C281B">
        <w:t xml:space="preserve">assessing </w:t>
      </w:r>
      <w:r>
        <w:t>an individual application</w:t>
      </w:r>
      <w:r w:rsidRPr="00124380">
        <w:t>:</w:t>
      </w:r>
    </w:p>
    <w:p w:rsidR="00FC60DB" w:rsidRDefault="00FC60DB" w:rsidP="00FC60DB">
      <w:pPr>
        <w:pStyle w:val="PPVQuote"/>
      </w:pPr>
      <w:r w:rsidRPr="009F20CB">
        <w:t xml:space="preserve">It is policy to </w:t>
      </w:r>
      <w:r>
        <w:t xml:space="preserve">facilitate </w:t>
      </w:r>
      <w:r w:rsidRPr="009F20CB">
        <w:t>the creation of at least 40,000 jobs in the Fishermans Bend Capital City Zone precincts by:</w:t>
      </w:r>
    </w:p>
    <w:p w:rsidR="00FC60DB" w:rsidRDefault="00FC60DB" w:rsidP="00FC60DB">
      <w:pPr>
        <w:pStyle w:val="PPVQuoteBullet1"/>
      </w:pPr>
      <w:r w:rsidRPr="009F20CB">
        <w:t>Locating the highest densities of employment opportunities close to existing and planned public transport.</w:t>
      </w:r>
    </w:p>
    <w:p w:rsidR="00FC60DB" w:rsidRDefault="000C281B" w:rsidP="00FC60DB">
      <w:pPr>
        <w:pStyle w:val="PPVBody"/>
      </w:pPr>
      <w:r>
        <w:t>G</w:t>
      </w:r>
      <w:r w:rsidR="00FC60DB">
        <w:t xml:space="preserve">eneral statements </w:t>
      </w:r>
      <w:r w:rsidR="000F348F">
        <w:t xml:space="preserve">like this </w:t>
      </w:r>
      <w:r w:rsidR="00FC60DB">
        <w:t xml:space="preserve">need to be removed from the policy.  The Review Panel received submission from landowners to this effect.  The Review Panel has moved these broad statements to the policy basis of </w:t>
      </w:r>
      <w:r>
        <w:t xml:space="preserve">Clause </w:t>
      </w:r>
      <w:r w:rsidR="00FC60DB">
        <w:t xml:space="preserve">22.XX to minimise changes in the draft Amendment while recognising that the relevant Planning Practice Note would suggest that they be </w:t>
      </w:r>
      <w:r w:rsidR="000F348F">
        <w:t>shifted to</w:t>
      </w:r>
      <w:r w:rsidR="00FC60DB">
        <w:t xml:space="preserve"> the MSS.  The changes that the Review Panel recommends for </w:t>
      </w:r>
      <w:r>
        <w:t xml:space="preserve">Clause </w:t>
      </w:r>
      <w:r w:rsidR="00FD429D">
        <w:t>22.XX focus</w:t>
      </w:r>
      <w:r w:rsidR="00FC60DB">
        <w:t xml:space="preserve"> the policy on the issues relevant to the exercise of discretion.</w:t>
      </w:r>
    </w:p>
    <w:p w:rsidR="00FC60DB" w:rsidRDefault="00D137BD" w:rsidP="00FC60DB">
      <w:pPr>
        <w:pStyle w:val="PPVBody"/>
      </w:pPr>
      <w:r>
        <w:t>In</w:t>
      </w:r>
      <w:r w:rsidR="000C281B">
        <w:t xml:space="preserve"> summary, in</w:t>
      </w:r>
      <w:r>
        <w:t xml:space="preserve"> preparing its track change version the Review Panel has sought to:</w:t>
      </w:r>
    </w:p>
    <w:p w:rsidR="00FC60DB" w:rsidRPr="00181298" w:rsidRDefault="00FC60DB" w:rsidP="00181298">
      <w:pPr>
        <w:pStyle w:val="PPVBullet1"/>
      </w:pPr>
      <w:bookmarkStart w:id="542" w:name="_Toc518287566"/>
      <w:r w:rsidRPr="00181298">
        <w:lastRenderedPageBreak/>
        <w:t xml:space="preserve">move broad strategic statements from the body of </w:t>
      </w:r>
      <w:r w:rsidR="000C281B" w:rsidRPr="00181298">
        <w:t xml:space="preserve">Clause </w:t>
      </w:r>
      <w:r w:rsidRPr="00181298">
        <w:t xml:space="preserve">22.XX to the policy basis of </w:t>
      </w:r>
      <w:r w:rsidR="000C281B" w:rsidRPr="00181298">
        <w:t xml:space="preserve">Clause </w:t>
      </w:r>
      <w:r w:rsidRPr="00181298">
        <w:t>22.XX.</w:t>
      </w:r>
      <w:bookmarkEnd w:id="542"/>
    </w:p>
    <w:p w:rsidR="00785416" w:rsidRDefault="00FC60DB" w:rsidP="00FC60DB">
      <w:pPr>
        <w:pStyle w:val="Heading4"/>
      </w:pPr>
      <w:r>
        <w:t>Where</w:t>
      </w:r>
      <w:r w:rsidR="003B41F6">
        <w:t xml:space="preserve"> elements should be located</w:t>
      </w:r>
      <w:r>
        <w:t xml:space="preserve"> in a schedule</w:t>
      </w:r>
    </w:p>
    <w:p w:rsidR="00FC60DB" w:rsidRDefault="00FC60DB" w:rsidP="00FC60DB">
      <w:pPr>
        <w:pStyle w:val="PPVBody"/>
      </w:pPr>
      <w:r>
        <w:t>Where requirements are located in a schedule is determined by the head clause, and the Ministerial Direction on</w:t>
      </w:r>
      <w:r w:rsidRPr="00604A70">
        <w:t xml:space="preserve"> </w:t>
      </w:r>
      <w:r w:rsidR="006C32DA">
        <w:rPr>
          <w:i/>
        </w:rPr>
        <w:t>T</w:t>
      </w:r>
      <w:r w:rsidRPr="00604A70">
        <w:rPr>
          <w:i/>
        </w:rPr>
        <w:t>he Form and Content of Planning Schemes</w:t>
      </w:r>
      <w:r>
        <w:t>.  Beyond this</w:t>
      </w:r>
      <w:r w:rsidR="000F348F">
        <w:t>,</w:t>
      </w:r>
      <w:r>
        <w:t xml:space="preserve"> good drafting suggests that:</w:t>
      </w:r>
    </w:p>
    <w:p w:rsidR="00FC60DB" w:rsidRDefault="00FC60DB" w:rsidP="00FC60DB">
      <w:pPr>
        <w:pStyle w:val="PPVBullet1"/>
      </w:pPr>
      <w:r>
        <w:t>the more significant controls should be earlier in the clause – Port Philip submitted, for example, that the overshadowing provisions should be earlier in the DDO clause given their importance</w:t>
      </w:r>
    </w:p>
    <w:p w:rsidR="00FC60DB" w:rsidRDefault="00045036" w:rsidP="00FC60DB">
      <w:pPr>
        <w:pStyle w:val="PPVBullet1"/>
      </w:pPr>
      <w:r>
        <w:t xml:space="preserve">a </w:t>
      </w:r>
      <w:r w:rsidR="00FC60DB">
        <w:t xml:space="preserve">clause should </w:t>
      </w:r>
      <w:r>
        <w:t xml:space="preserve">first </w:t>
      </w:r>
      <w:r w:rsidR="00FC60DB">
        <w:t>relate to the design process with issues dealing with massing and fundamental constraints</w:t>
      </w:r>
      <w:r w:rsidR="000F348F">
        <w:t>,</w:t>
      </w:r>
      <w:r w:rsidR="00FC60DB">
        <w:t xml:space="preserve"> </w:t>
      </w:r>
      <w:r>
        <w:t>followed by</w:t>
      </w:r>
      <w:r w:rsidR="00FC60DB">
        <w:t xml:space="preserve"> issue</w:t>
      </w:r>
      <w:r>
        <w:t>s dealing with detailed design, similar to</w:t>
      </w:r>
      <w:r w:rsidR="00FC60DB">
        <w:t xml:space="preserve"> the approach taken in ResCode</w:t>
      </w:r>
    </w:p>
    <w:p w:rsidR="00FC60DB" w:rsidRDefault="00045036" w:rsidP="00FC60DB">
      <w:pPr>
        <w:pStyle w:val="PPVBullet1"/>
      </w:pPr>
      <w:r>
        <w:t>a list of</w:t>
      </w:r>
      <w:r w:rsidR="00FC60DB">
        <w:t xml:space="preserve"> requirements that apply to all developments should </w:t>
      </w:r>
      <w:r>
        <w:t>precede</w:t>
      </w:r>
      <w:r w:rsidR="00FC60DB">
        <w:t xml:space="preserve"> requirements that apply to subsets of development</w:t>
      </w:r>
      <w:r w:rsidR="00FC60DB" w:rsidRPr="00820B43">
        <w:rPr>
          <w:rStyle w:val="FootnoteReference"/>
        </w:rPr>
        <w:footnoteReference w:id="154"/>
      </w:r>
    </w:p>
    <w:p w:rsidR="00FC60DB" w:rsidRDefault="00FC60DB" w:rsidP="00FC60DB">
      <w:pPr>
        <w:pStyle w:val="PPVBullet1"/>
      </w:pPr>
      <w:r>
        <w:t>in tables, where only one row of the table will apply, more specific locations should be earlier than generic conditions.</w:t>
      </w:r>
      <w:r w:rsidRPr="00820B43">
        <w:rPr>
          <w:rStyle w:val="FootnoteReference"/>
        </w:rPr>
        <w:footnoteReference w:id="155"/>
      </w:r>
    </w:p>
    <w:p w:rsidR="00FC60DB" w:rsidRDefault="00D137BD" w:rsidP="00FC60DB">
      <w:pPr>
        <w:pStyle w:val="PPVBody"/>
      </w:pPr>
      <w:r>
        <w:t>In preparing its track change version</w:t>
      </w:r>
      <w:r w:rsidR="00045036">
        <w:t xml:space="preserve"> of the controls,</w:t>
      </w:r>
      <w:r>
        <w:t xml:space="preserve"> the Review Panel has sought to:</w:t>
      </w:r>
    </w:p>
    <w:p w:rsidR="00FC60DB" w:rsidRDefault="00FC60DB" w:rsidP="00181298">
      <w:pPr>
        <w:pStyle w:val="PPVBullet1"/>
      </w:pPr>
      <w:bookmarkStart w:id="543" w:name="_Toc517947114"/>
      <w:bookmarkStart w:id="544" w:name="_Toc518287567"/>
      <w:r>
        <w:t>reorder requirements and lists to improve usability.</w:t>
      </w:r>
      <w:bookmarkEnd w:id="543"/>
      <w:bookmarkEnd w:id="544"/>
    </w:p>
    <w:p w:rsidR="00FC60DB" w:rsidRDefault="00FC60DB" w:rsidP="00DD6314">
      <w:pPr>
        <w:pStyle w:val="Heading2"/>
      </w:pPr>
      <w:bookmarkStart w:id="545" w:name="_Toc518402921"/>
      <w:bookmarkStart w:id="546" w:name="_Toc519710332"/>
      <w:bookmarkStart w:id="547" w:name="_Toc519766892"/>
      <w:r>
        <w:t>The role of different elements</w:t>
      </w:r>
      <w:bookmarkEnd w:id="545"/>
      <w:bookmarkEnd w:id="546"/>
      <w:bookmarkEnd w:id="547"/>
    </w:p>
    <w:p w:rsidR="00FC60DB" w:rsidRDefault="00FC60DB" w:rsidP="00FC60DB">
      <w:pPr>
        <w:pStyle w:val="Heading4"/>
      </w:pPr>
      <w:r>
        <w:t>Are definitions needed</w:t>
      </w:r>
      <w:r w:rsidR="000F348F">
        <w:t>?</w:t>
      </w:r>
    </w:p>
    <w:p w:rsidR="00FC60DB" w:rsidRPr="00067A91" w:rsidRDefault="00FC60DB" w:rsidP="00FC60DB">
      <w:pPr>
        <w:pStyle w:val="PPVBody"/>
      </w:pPr>
      <w:r>
        <w:t>The controls define a number of new terms</w:t>
      </w:r>
      <w:r w:rsidR="00B149DB">
        <w:t>.</w:t>
      </w:r>
    </w:p>
    <w:p w:rsidR="00FC60DB" w:rsidRDefault="00FC60DB" w:rsidP="00FC60DB">
      <w:pPr>
        <w:pStyle w:val="PPVBody"/>
      </w:pPr>
      <w:r>
        <w:t xml:space="preserve">In the VPP </w:t>
      </w:r>
      <w:r w:rsidR="00045036">
        <w:t>‘Plot ratio’ is defined and has the same definition as FAR:</w:t>
      </w:r>
    </w:p>
    <w:p w:rsidR="00FC60DB" w:rsidRDefault="00FC60DB" w:rsidP="00FC60DB">
      <w:pPr>
        <w:pStyle w:val="PPVQuote"/>
      </w:pPr>
      <w:r>
        <w:rPr>
          <w:b/>
          <w:bCs/>
        </w:rPr>
        <w:t xml:space="preserve">Plot ratio: </w:t>
      </w:r>
      <w:r>
        <w:t>The gross floor area of all buildings on a site, divided by the area of the site.</w:t>
      </w:r>
    </w:p>
    <w:p w:rsidR="00FC60DB" w:rsidRDefault="00FC60DB" w:rsidP="00FC60DB">
      <w:pPr>
        <w:pStyle w:val="PPVQuote"/>
      </w:pPr>
      <w:r w:rsidRPr="009F4734">
        <w:rPr>
          <w:b/>
        </w:rPr>
        <w:t>Gross floor area</w:t>
      </w:r>
      <w:r>
        <w:t>:</w:t>
      </w:r>
      <w:r w:rsidRPr="009F4734">
        <w:t xml:space="preserve"> The total floor area of a building, measured from the outside of</w:t>
      </w:r>
      <w:r>
        <w:t xml:space="preserve"> </w:t>
      </w:r>
      <w:r w:rsidRPr="009F4734">
        <w:t>external walls or the centre of party walls, and includes all roofed areas.</w:t>
      </w:r>
    </w:p>
    <w:p w:rsidR="000F348F" w:rsidRPr="00316121" w:rsidRDefault="000F348F" w:rsidP="000F348F">
      <w:pPr>
        <w:pStyle w:val="PPVBody"/>
      </w:pPr>
      <w:r w:rsidRPr="00316121">
        <w:t xml:space="preserve">The CCZ defines </w:t>
      </w:r>
      <w:r>
        <w:t>Floor area ratio differently to plot ratio, and adopts a different definition of ‘Gross floor area’ to the VPP</w:t>
      </w:r>
      <w:r w:rsidRPr="00316121">
        <w:t>:</w:t>
      </w:r>
    </w:p>
    <w:p w:rsidR="000F348F" w:rsidRDefault="000F348F" w:rsidP="000F348F">
      <w:pPr>
        <w:pStyle w:val="PPVQuote"/>
      </w:pPr>
      <w:r w:rsidRPr="003631B8">
        <w:rPr>
          <w:b/>
        </w:rPr>
        <w:t>Floor area ratio</w:t>
      </w:r>
      <w:r w:rsidRPr="003631B8">
        <w:t xml:space="preserve"> means the gross floor area divided</w:t>
      </w:r>
      <w:r>
        <w:t xml:space="preserve"> by the gross developable area.</w:t>
      </w:r>
    </w:p>
    <w:p w:rsidR="000F348F" w:rsidRPr="006E1887" w:rsidRDefault="000F348F" w:rsidP="000F348F">
      <w:pPr>
        <w:pStyle w:val="PPVQuote"/>
      </w:pPr>
      <w:r>
        <w:rPr>
          <w:b/>
        </w:rPr>
        <w:t>Gross floor area</w:t>
      </w:r>
      <w:r>
        <w:t xml:space="preserve"> means the area above ground of all buildings on a site, including all enclosed areas, services, lifts, car stackers and covered balconies.  Dedicated communal residential facilities and recreation spaces are excluded from the calculations of gross floor area.  Voids associated with lifts, car stackers and similar service elements should be considered as multiple floors </w:t>
      </w:r>
      <w:r>
        <w:lastRenderedPageBreak/>
        <w:t>of the same height as adjacent floors or 3.0 metres if there is no adjacent floor.</w:t>
      </w:r>
    </w:p>
    <w:p w:rsidR="00FC60DB" w:rsidRDefault="00FC60DB" w:rsidP="00FC60DB">
      <w:r w:rsidRPr="0054363F">
        <w:rPr>
          <w:i/>
        </w:rPr>
        <w:t>Using Victoria's planning system, Chapter 9 – Plain English</w:t>
      </w:r>
      <w:r w:rsidRPr="00614DE7">
        <w:rPr>
          <w:i/>
        </w:rPr>
        <w:t>,</w:t>
      </w:r>
      <w:r>
        <w:t xml:space="preserve"> says:</w:t>
      </w:r>
    </w:p>
    <w:p w:rsidR="00FC60DB" w:rsidRPr="00614DE7" w:rsidRDefault="00FC60DB" w:rsidP="00FC60DB">
      <w:pPr>
        <w:pStyle w:val="PPVQuote"/>
      </w:pPr>
      <w:r w:rsidRPr="00614DE7">
        <w:t>9.6.6 Take care with definitions</w:t>
      </w:r>
    </w:p>
    <w:p w:rsidR="00FC60DB" w:rsidRPr="00614DE7" w:rsidRDefault="00FC60DB" w:rsidP="00FC60DB">
      <w:pPr>
        <w:pStyle w:val="PPVQuote"/>
      </w:pPr>
      <w:r w:rsidRPr="00614DE7">
        <w:t>Use words that have been defined in the planning scheme in strict accordance with their definition. …</w:t>
      </w:r>
    </w:p>
    <w:p w:rsidR="00FC60DB" w:rsidRPr="00614DE7" w:rsidRDefault="00FC60DB" w:rsidP="00FC60DB">
      <w:pPr>
        <w:pStyle w:val="PPVQuote"/>
      </w:pPr>
      <w:r w:rsidRPr="00614DE7">
        <w:t>Before you include a new definition ask yourself: ‘why is a definition needed?’ The VPPs provide a number of definitions and planning schemes should be consistent with these definitions.</w:t>
      </w:r>
    </w:p>
    <w:p w:rsidR="00FC60DB" w:rsidRDefault="00045036" w:rsidP="00FC60DB">
      <w:pPr>
        <w:pStyle w:val="PPVBody"/>
      </w:pPr>
      <w:r>
        <w:t>P</w:t>
      </w:r>
      <w:r w:rsidR="00FC60DB" w:rsidRPr="000C4629">
        <w:t xml:space="preserve">ort Phillip submitted that </w:t>
      </w:r>
      <w:r>
        <w:t xml:space="preserve">for clarity </w:t>
      </w:r>
      <w:r w:rsidR="00FC60DB" w:rsidRPr="000C4629">
        <w:t xml:space="preserve">the definitions should be reordered </w:t>
      </w:r>
      <w:r>
        <w:t>to put all</w:t>
      </w:r>
      <w:r w:rsidR="00FC60DB" w:rsidRPr="000C4629">
        <w:t xml:space="preserve"> wind </w:t>
      </w:r>
      <w:r w:rsidR="00756D59">
        <w:t xml:space="preserve">related </w:t>
      </w:r>
      <w:r w:rsidR="00FC60DB" w:rsidRPr="000C4629">
        <w:t xml:space="preserve">definitions </w:t>
      </w:r>
      <w:r>
        <w:t>together</w:t>
      </w:r>
      <w:r w:rsidR="00FC60DB" w:rsidRPr="000C4629">
        <w:t>.</w:t>
      </w:r>
      <w:r w:rsidR="00FC60DB">
        <w:t xml:space="preserve">  This ha</w:t>
      </w:r>
      <w:r>
        <w:t>s</w:t>
      </w:r>
      <w:r w:rsidR="00FC60DB">
        <w:t xml:space="preserve"> the difficulty that the definitions are no longer in alphabetical order.</w:t>
      </w:r>
    </w:p>
    <w:p w:rsidR="00FC60DB" w:rsidRDefault="00FC60DB" w:rsidP="00FC60DB">
      <w:pPr>
        <w:pStyle w:val="PPVBody"/>
      </w:pPr>
      <w:r>
        <w:t>The DDO provides an exemption to the height control requirements for architectural features as part of the definition:</w:t>
      </w:r>
    </w:p>
    <w:p w:rsidR="00FC60DB" w:rsidRPr="00614DE7" w:rsidRDefault="00FC60DB" w:rsidP="00FC60DB">
      <w:pPr>
        <w:pStyle w:val="PPVQuote"/>
      </w:pPr>
      <w:r w:rsidRPr="00125D5D">
        <w:rPr>
          <w:b/>
        </w:rPr>
        <w:t>Building height</w:t>
      </w:r>
      <w:r w:rsidRPr="00125D5D">
        <w:t xml:space="preserve"> means the vertical distance between the footpath or natural surface level at the centre of the site frontage and the highest p</w:t>
      </w:r>
      <w:r>
        <w:t>oint of the building excluding:</w:t>
      </w:r>
    </w:p>
    <w:p w:rsidR="00FC60DB" w:rsidRPr="00125D5D" w:rsidRDefault="00FC60DB" w:rsidP="00FC60DB">
      <w:pPr>
        <w:pStyle w:val="PPVQuoteBullet1"/>
      </w:pPr>
      <w:r w:rsidRPr="00125D5D">
        <w:t xml:space="preserve">Non-habitable architectural features not </w:t>
      </w:r>
      <w:r>
        <w:t>more than 3.0 metres in height.</w:t>
      </w:r>
    </w:p>
    <w:p w:rsidR="00FC60DB" w:rsidRDefault="00FC60DB" w:rsidP="00FC60DB">
      <w:pPr>
        <w:pStyle w:val="PPVQuoteBullet1"/>
      </w:pPr>
      <w:r w:rsidRPr="00125D5D">
        <w:t>Building services and communal recreation facilities setback at least 3.0 metres behind the building fa</w:t>
      </w:r>
      <w:r>
        <w:t>c</w:t>
      </w:r>
      <w:r w:rsidRPr="00125D5D">
        <w:t>ade.</w:t>
      </w:r>
    </w:p>
    <w:p w:rsidR="00FC60DB" w:rsidRDefault="00FC60DB" w:rsidP="00FC60DB">
      <w:pPr>
        <w:pStyle w:val="PPVBody"/>
      </w:pPr>
      <w:r w:rsidRPr="0054363F">
        <w:rPr>
          <w:i/>
        </w:rPr>
        <w:t>Using Victoria's planning system, Chapter 9 – Plain English</w:t>
      </w:r>
      <w:r w:rsidRPr="00614DE7">
        <w:rPr>
          <w:i/>
        </w:rPr>
        <w:t>,</w:t>
      </w:r>
      <w:r>
        <w:t xml:space="preserve"> specifical</w:t>
      </w:r>
      <w:r w:rsidRPr="00614DE7">
        <w:t>ly caution</w:t>
      </w:r>
      <w:r>
        <w:t>s</w:t>
      </w:r>
      <w:r w:rsidRPr="00614DE7">
        <w:t xml:space="preserve"> against this approach.</w:t>
      </w:r>
      <w:r>
        <w:t xml:space="preserve">  These issues might have limited impact on the usability of these controls but they make the planning system as a whole more difficult to use, when potentially every DDO has its own definition of height.</w:t>
      </w:r>
    </w:p>
    <w:p w:rsidR="00FC60DB" w:rsidRDefault="00D137BD" w:rsidP="00FC60DB">
      <w:pPr>
        <w:pStyle w:val="PPVBody"/>
      </w:pPr>
      <w:r>
        <w:t xml:space="preserve">In preparing its track change version </w:t>
      </w:r>
      <w:r w:rsidR="00045036">
        <w:t xml:space="preserve">of the controls, </w:t>
      </w:r>
      <w:r>
        <w:t>the Review Panel has sought to:</w:t>
      </w:r>
    </w:p>
    <w:p w:rsidR="00FC60DB" w:rsidRDefault="00FC60DB" w:rsidP="00FA6FEC">
      <w:pPr>
        <w:pStyle w:val="PPVBullet1"/>
      </w:pPr>
      <w:bookmarkStart w:id="548" w:name="_Toc518287568"/>
      <w:r>
        <w:t>use already defined VPP terms where they exist</w:t>
      </w:r>
      <w:bookmarkEnd w:id="548"/>
      <w:r w:rsidR="00045036">
        <w:t xml:space="preserve"> and are directly relevant</w:t>
      </w:r>
    </w:p>
    <w:p w:rsidR="00FC60DB" w:rsidRDefault="00FC60DB" w:rsidP="00FA6FEC">
      <w:pPr>
        <w:pStyle w:val="PPVBullet1"/>
      </w:pPr>
      <w:bookmarkStart w:id="549" w:name="_Toc518287569"/>
      <w:r>
        <w:t>reduce, and preferably eliminate definitions in schedules</w:t>
      </w:r>
      <w:bookmarkEnd w:id="549"/>
      <w:r>
        <w:t>.</w:t>
      </w:r>
    </w:p>
    <w:p w:rsidR="00E769A5" w:rsidRDefault="00E769A5" w:rsidP="00E769A5">
      <w:pPr>
        <w:pStyle w:val="Heading4"/>
      </w:pPr>
      <w:r>
        <w:t xml:space="preserve">The role of the </w:t>
      </w:r>
      <w:r w:rsidRPr="00C02D76">
        <w:t>Built form outcome</w:t>
      </w:r>
      <w:r w:rsidRPr="003D3A23">
        <w:t xml:space="preserve"> </w:t>
      </w:r>
      <w:r>
        <w:t>in the DDOs</w:t>
      </w:r>
    </w:p>
    <w:p w:rsidR="00E769A5" w:rsidRDefault="00E769A5" w:rsidP="00E769A5">
      <w:pPr>
        <w:pStyle w:val="PPVBody"/>
      </w:pPr>
      <w:r>
        <w:t xml:space="preserve">It is not clear to the Review Panel the precise role of the </w:t>
      </w:r>
      <w:r w:rsidRPr="00C02D76">
        <w:t>Built form outcome</w:t>
      </w:r>
      <w:r>
        <w:t xml:space="preserve">s in the DDO.  Typically, </w:t>
      </w:r>
      <w:r w:rsidRPr="00C02D76">
        <w:t>Built form outcome</w:t>
      </w:r>
      <w:r>
        <w:t>s in a DDO are used to guide discretion, and the decision guidelines in the schedule refer to the Built form requirements.  In the draft Amendment, the outcomes presented do not</w:t>
      </w:r>
      <w:r>
        <w:rPr>
          <w:rFonts w:cs="Times New Roman"/>
        </w:rPr>
        <w:t xml:space="preserve"> always</w:t>
      </w:r>
      <w:r>
        <w:t xml:space="preserve"> relate to the discretions in the requirements.  Confusion about their role is compounded because:</w:t>
      </w:r>
    </w:p>
    <w:p w:rsidR="00E769A5" w:rsidRDefault="00E769A5" w:rsidP="00E769A5">
      <w:pPr>
        <w:pStyle w:val="PPVBullet1"/>
      </w:pPr>
      <w:r>
        <w:t>the introductory clause is not consistent across all requirements</w:t>
      </w:r>
    </w:p>
    <w:p w:rsidR="00E769A5" w:rsidRDefault="00E769A5" w:rsidP="00E769A5">
      <w:pPr>
        <w:pStyle w:val="PPVBullet1"/>
      </w:pPr>
      <w:r>
        <w:t>they do not have consistent expression</w:t>
      </w:r>
    </w:p>
    <w:p w:rsidR="00E769A5" w:rsidRDefault="00E769A5" w:rsidP="00E769A5">
      <w:pPr>
        <w:pStyle w:val="PPVBullet1"/>
      </w:pPr>
      <w:r>
        <w:t>they are repetitive in places</w:t>
      </w:r>
    </w:p>
    <w:p w:rsidR="00E769A5" w:rsidRDefault="00E769A5" w:rsidP="00E769A5">
      <w:pPr>
        <w:pStyle w:val="PPVBullet1"/>
      </w:pPr>
      <w:r>
        <w:t>the DDO says that they ‘must’ be achieved, implying they are mandatory requirements.</w:t>
      </w:r>
    </w:p>
    <w:p w:rsidR="00E769A5" w:rsidRDefault="00E769A5" w:rsidP="00E769A5">
      <w:pPr>
        <w:pStyle w:val="PPVBody"/>
      </w:pPr>
      <w:r>
        <w:t>A number of elements that were presented as requirements in the consolidated Part C controls were presented as Built form outcomes in the relevant columns in tables in the four Part C DDOs.  This has added to the confusion.</w:t>
      </w:r>
    </w:p>
    <w:p w:rsidR="00E769A5" w:rsidRDefault="00E769A5" w:rsidP="00E769A5">
      <w:pPr>
        <w:pStyle w:val="PPVBody"/>
      </w:pPr>
      <w:r>
        <w:lastRenderedPageBreak/>
        <w:t>In preparing its track change version of the controls, the Review Panel has sought to:</w:t>
      </w:r>
    </w:p>
    <w:p w:rsidR="00E769A5" w:rsidRDefault="00E769A5" w:rsidP="00E769A5">
      <w:pPr>
        <w:pStyle w:val="PPVBullet1"/>
      </w:pPr>
      <w:r>
        <w:t>clarify the role of Built form outcomes in the DDOs</w:t>
      </w:r>
    </w:p>
    <w:p w:rsidR="00E769A5" w:rsidRPr="00360B30" w:rsidRDefault="00E769A5" w:rsidP="00E769A5">
      <w:pPr>
        <w:pStyle w:val="PPVBullet1"/>
      </w:pPr>
      <w:r>
        <w:t>u</w:t>
      </w:r>
      <w:r w:rsidRPr="00360B30">
        <w:t xml:space="preserve">se a different sentence construction for Built form outcomes </w:t>
      </w:r>
      <w:r>
        <w:t>to that used for</w:t>
      </w:r>
      <w:r w:rsidRPr="00360B30">
        <w:t xml:space="preserve"> requirements</w:t>
      </w:r>
      <w:r>
        <w:t xml:space="preserve"> or objectives, to clearly distinguish the Built form outcomes from requirements and objectives.</w:t>
      </w:r>
    </w:p>
    <w:p w:rsidR="00FC60DB" w:rsidRDefault="00FC60DB" w:rsidP="00FC60DB">
      <w:pPr>
        <w:pStyle w:val="Heading4"/>
      </w:pPr>
      <w:r>
        <w:t>Use of note text</w:t>
      </w:r>
    </w:p>
    <w:p w:rsidR="00045036" w:rsidRDefault="00045036" w:rsidP="00045036">
      <w:pPr>
        <w:pStyle w:val="PPVBody"/>
      </w:pPr>
      <w:r>
        <w:t>Some setback controls measure setbacks from laneways from the centre line of the laneway.  This is set out in notes to tables, for example:</w:t>
      </w:r>
    </w:p>
    <w:p w:rsidR="00FC60DB" w:rsidRDefault="00FC60DB" w:rsidP="00FC60DB">
      <w:pPr>
        <w:pStyle w:val="PPVQuote"/>
        <w:rPr>
          <w:sz w:val="16"/>
          <w:szCs w:val="16"/>
        </w:rPr>
      </w:pPr>
      <w:r>
        <w:t xml:space="preserve">Note: </w:t>
      </w:r>
      <w:r>
        <w:tab/>
        <w:t>For the purpose of Table 4</w:t>
      </w:r>
      <w:r w:rsidRPr="00416178">
        <w:rPr>
          <w:sz w:val="16"/>
          <w:szCs w:val="16"/>
        </w:rPr>
        <w:t>:</w:t>
      </w:r>
    </w:p>
    <w:p w:rsidR="00FC60DB" w:rsidRDefault="00FC60DB" w:rsidP="00FC60DB">
      <w:pPr>
        <w:pStyle w:val="PPVQuoteBullet1"/>
      </w:pPr>
      <w:r>
        <w:t>T</w:t>
      </w:r>
      <w:r w:rsidRPr="0045077D">
        <w:t>he setback of a building above a street wall from a laneway is the shortest horizontal distance from the building fa</w:t>
      </w:r>
      <w:r>
        <w:t>c</w:t>
      </w:r>
      <w:r w:rsidRPr="0045077D">
        <w:t>ade to the centreline of the laneway</w:t>
      </w:r>
      <w:r>
        <w:rPr>
          <w:sz w:val="16"/>
          <w:szCs w:val="16"/>
        </w:rPr>
        <w:t>.</w:t>
      </w:r>
    </w:p>
    <w:p w:rsidR="00FC60DB" w:rsidRDefault="00FC60DB" w:rsidP="00FC60DB">
      <w:pPr>
        <w:pStyle w:val="PPVBody"/>
      </w:pPr>
      <w:r>
        <w:t>It not clear to the Review Panel that using a ‘note’ to fundamentally change the application of a control is appropriate, or would have legal effect.  It would be clearer if this were expressed as part of the requirements.</w:t>
      </w:r>
    </w:p>
    <w:p w:rsidR="00FC60DB" w:rsidRDefault="00D137BD" w:rsidP="00FC60DB">
      <w:pPr>
        <w:pStyle w:val="PPVBody"/>
      </w:pPr>
      <w:r>
        <w:t xml:space="preserve">In preparing its track change version </w:t>
      </w:r>
      <w:r w:rsidR="00045036">
        <w:t xml:space="preserve">of the controls, </w:t>
      </w:r>
      <w:r>
        <w:t>the Review Panel has sought to:</w:t>
      </w:r>
    </w:p>
    <w:p w:rsidR="00FC60DB" w:rsidRDefault="00FC60DB" w:rsidP="00DE1A27">
      <w:pPr>
        <w:pStyle w:val="PPVBullet1"/>
      </w:pPr>
      <w:bookmarkStart w:id="550" w:name="_Toc518287573"/>
      <w:r>
        <w:t>move critical information from note text to requirements.</w:t>
      </w:r>
      <w:bookmarkEnd w:id="550"/>
    </w:p>
    <w:p w:rsidR="00E769A5" w:rsidRDefault="00E769A5" w:rsidP="00E769A5">
      <w:pPr>
        <w:pStyle w:val="Heading4"/>
      </w:pPr>
      <w:bookmarkStart w:id="551" w:name="_Toc518402922"/>
      <w:r>
        <w:t>Use of legend text</w:t>
      </w:r>
    </w:p>
    <w:p w:rsidR="00E769A5" w:rsidRDefault="00E769A5" w:rsidP="00E769A5">
      <w:pPr>
        <w:pStyle w:val="PPVBody"/>
      </w:pPr>
      <w:r>
        <w:t>The overshadowing controls are presented in the legend to plans.  The Review Panel considers the control would be clearer if this critical information was presented in the body of the controls.</w:t>
      </w:r>
    </w:p>
    <w:p w:rsidR="00E769A5" w:rsidRDefault="00E769A5" w:rsidP="00E769A5">
      <w:pPr>
        <w:pStyle w:val="PPVBody"/>
      </w:pPr>
      <w:r>
        <w:t>In preparing its track change version of the controls, the Review Panel has sought to:</w:t>
      </w:r>
    </w:p>
    <w:p w:rsidR="00E769A5" w:rsidRDefault="00E769A5" w:rsidP="00E769A5">
      <w:pPr>
        <w:pStyle w:val="PPVBullet1"/>
      </w:pPr>
      <w:r>
        <w:t>present overshadowing requirements in the body of the controls instead of a legend to plans.</w:t>
      </w:r>
    </w:p>
    <w:p w:rsidR="00FC60DB" w:rsidRPr="00FB76C5" w:rsidRDefault="00FC60DB" w:rsidP="00DD6314">
      <w:pPr>
        <w:pStyle w:val="Heading2"/>
      </w:pPr>
      <w:bookmarkStart w:id="552" w:name="_Toc519710333"/>
      <w:bookmarkStart w:id="553" w:name="_Toc519766893"/>
      <w:r>
        <w:t xml:space="preserve">Issues </w:t>
      </w:r>
      <w:r w:rsidRPr="0036552D">
        <w:t>with</w:t>
      </w:r>
      <w:r>
        <w:t xml:space="preserve"> expression</w:t>
      </w:r>
      <w:bookmarkEnd w:id="551"/>
      <w:bookmarkEnd w:id="552"/>
      <w:bookmarkEnd w:id="553"/>
    </w:p>
    <w:p w:rsidR="00FC60DB" w:rsidRPr="000E329F" w:rsidRDefault="00FC60DB" w:rsidP="00FC60DB">
      <w:pPr>
        <w:pStyle w:val="Heading4"/>
      </w:pPr>
      <w:r w:rsidRPr="000E329F">
        <w:t xml:space="preserve">Following the Practice </w:t>
      </w:r>
      <w:r>
        <w:t>N</w:t>
      </w:r>
      <w:r w:rsidRPr="000E329F">
        <w:t>otes</w:t>
      </w:r>
    </w:p>
    <w:p w:rsidR="00FC60DB" w:rsidRDefault="00FC60DB" w:rsidP="00FC60DB">
      <w:pPr>
        <w:pStyle w:val="PPVBody"/>
        <w:rPr>
          <w:rFonts w:ascii="Arial" w:hAnsi="Arial" w:cs="Times New Roman"/>
          <w:sz w:val="20"/>
        </w:rPr>
      </w:pPr>
      <w:r w:rsidRPr="0054363F">
        <w:rPr>
          <w:i/>
        </w:rPr>
        <w:t>Planning Practice Note 8: Writing a Local Planning Policy</w:t>
      </w:r>
      <w:r>
        <w:t>, June 2015 (PPN8) explains that ther</w:t>
      </w:r>
      <w:r w:rsidR="00DB79F3">
        <w:t>e are three ways in which a Local Planning Policy (LPP)</w:t>
      </w:r>
      <w:r>
        <w:t xml:space="preserve"> can give guidance on how a responsible authority will exercise discretion or what its expectations are:</w:t>
      </w:r>
    </w:p>
    <w:p w:rsidR="00FC60DB" w:rsidRDefault="00FC60DB" w:rsidP="00FC60DB">
      <w:pPr>
        <w:pStyle w:val="PPVBullet1"/>
      </w:pPr>
      <w:r>
        <w:t>by specifying how the responsible authority will exercise its discretion</w:t>
      </w:r>
    </w:p>
    <w:p w:rsidR="00FC60DB" w:rsidRDefault="00FC60DB" w:rsidP="00FC60DB">
      <w:pPr>
        <w:pStyle w:val="PPVBullet1"/>
      </w:pPr>
      <w:r>
        <w:t>by providing criteria, performance measures and sometimes techniques for assessing applications</w:t>
      </w:r>
    </w:p>
    <w:p w:rsidR="00FC60DB" w:rsidRDefault="00FC60DB" w:rsidP="00FC60DB">
      <w:pPr>
        <w:pStyle w:val="PPVBullet1"/>
      </w:pPr>
      <w:r>
        <w:t>by providing decision guidelines.</w:t>
      </w:r>
    </w:p>
    <w:p w:rsidR="00FC60DB" w:rsidRDefault="00FC60DB" w:rsidP="00FC60DB">
      <w:r>
        <w:t>PPN8 advises that each way requires a particular form of words, and specifies the form of words to use:</w:t>
      </w:r>
    </w:p>
    <w:p w:rsidR="00FC60DB" w:rsidRDefault="00FC60DB" w:rsidP="00FC60DB">
      <w:pPr>
        <w:pStyle w:val="PPVBullet1"/>
      </w:pPr>
      <w:r>
        <w:t>Guidance on the exercise of discretion: Statements explaining how a responsible authority will exercise its discretion should be expressed as follows:</w:t>
      </w:r>
    </w:p>
    <w:p w:rsidR="00FC60DB" w:rsidRPr="00F34BD2" w:rsidRDefault="00FC60DB" w:rsidP="00FC60DB">
      <w:pPr>
        <w:pStyle w:val="PPVQuoteBullet1"/>
      </w:pPr>
      <w:r w:rsidRPr="00F34BD2">
        <w:t>It is policy to:</w:t>
      </w:r>
      <w:r>
        <w:t xml:space="preserve"> …</w:t>
      </w:r>
    </w:p>
    <w:p w:rsidR="00FC60DB" w:rsidRDefault="00FC60DB" w:rsidP="00FC60DB">
      <w:pPr>
        <w:pStyle w:val="PPVBullet1"/>
      </w:pPr>
      <w:r>
        <w:lastRenderedPageBreak/>
        <w:t>Providing criteria or performance measures: When an LPP introduces criteria or performance measures for assessing applications, it should begin with an explicit statement such as:</w:t>
      </w:r>
    </w:p>
    <w:p w:rsidR="00FC60DB" w:rsidRPr="002F05AB" w:rsidRDefault="00FC60DB" w:rsidP="00FC60DB">
      <w:pPr>
        <w:pStyle w:val="PPVQuoteBullet1"/>
      </w:pPr>
      <w:r w:rsidRPr="002F05AB">
        <w:t>It is policy to assess proposals against the following criteria:</w:t>
      </w:r>
      <w:r>
        <w:t xml:space="preserve"> …</w:t>
      </w:r>
    </w:p>
    <w:p w:rsidR="00FC60DB" w:rsidRDefault="00FC60DB" w:rsidP="00FC60DB">
      <w:pPr>
        <w:pStyle w:val="PPVBullet1"/>
      </w:pPr>
      <w:r>
        <w:t>Decision guidelines: When an LPP sets out decision guidelines, it should be expressed as follows:</w:t>
      </w:r>
    </w:p>
    <w:p w:rsidR="00FC60DB" w:rsidRPr="002F05AB" w:rsidRDefault="00FC60DB" w:rsidP="00FC60DB">
      <w:pPr>
        <w:pStyle w:val="PPVQuoteBullet1"/>
      </w:pPr>
      <w:r w:rsidRPr="002F05AB">
        <w:t>The responsible authority will consider, as appropriate:</w:t>
      </w:r>
      <w:r>
        <w:t xml:space="preserve"> …</w:t>
      </w:r>
    </w:p>
    <w:p w:rsidR="00FC60DB" w:rsidRPr="002F05AB" w:rsidRDefault="00FC60DB" w:rsidP="00FC60DB">
      <w:pPr>
        <w:pStyle w:val="PPVBody"/>
      </w:pPr>
      <w:r w:rsidRPr="002F05AB">
        <w:t xml:space="preserve">The Part C </w:t>
      </w:r>
      <w:r w:rsidR="00045036">
        <w:t xml:space="preserve">Clause </w:t>
      </w:r>
      <w:r w:rsidRPr="002F05AB">
        <w:t>22.XX has not followed the advice in PPN8</w:t>
      </w:r>
      <w:r w:rsidRPr="00CC03B0">
        <w:t xml:space="preserve">.  The Review Panel can see no reason why the </w:t>
      </w:r>
      <w:r w:rsidR="00DB35EB" w:rsidRPr="00CC03B0">
        <w:t>advice given to planning authorities on drafting Local Planning Policies has not been</w:t>
      </w:r>
      <w:r w:rsidRPr="00CC03B0">
        <w:t xml:space="preserve"> follow</w:t>
      </w:r>
      <w:r w:rsidR="00DB35EB" w:rsidRPr="00CC03B0">
        <w:t>ed</w:t>
      </w:r>
      <w:r w:rsidRPr="00CC03B0">
        <w:t xml:space="preserve"> </w:t>
      </w:r>
      <w:r w:rsidR="00DB35EB" w:rsidRPr="00CC03B0">
        <w:t>in the draft Amendment</w:t>
      </w:r>
      <w:r w:rsidRPr="00CC03B0">
        <w:t xml:space="preserve">. </w:t>
      </w:r>
      <w:r w:rsidR="008C3707">
        <w:t>T</w:t>
      </w:r>
      <w:r w:rsidRPr="00CC03B0">
        <w:t>his is a broader</w:t>
      </w:r>
      <w:r>
        <w:t xml:space="preserve"> issue than just this draft Amendment – consistent drafting practice across the plannin</w:t>
      </w:r>
      <w:r w:rsidR="00E769A5">
        <w:t>g system is a desirable outcome.</w:t>
      </w:r>
    </w:p>
    <w:p w:rsidR="00FC60DB" w:rsidRDefault="00D137BD" w:rsidP="00FC60DB">
      <w:pPr>
        <w:pStyle w:val="PPVBody"/>
      </w:pPr>
      <w:r>
        <w:t xml:space="preserve">In preparing its track change version </w:t>
      </w:r>
      <w:r w:rsidR="00045036">
        <w:t xml:space="preserve">of the controls, </w:t>
      </w:r>
      <w:r>
        <w:t>the Review Panel has sought to:</w:t>
      </w:r>
    </w:p>
    <w:p w:rsidR="00FC60DB" w:rsidRDefault="00FC60DB" w:rsidP="00DE1A27">
      <w:pPr>
        <w:pStyle w:val="PPVBullet1"/>
      </w:pPr>
      <w:bookmarkStart w:id="554" w:name="_Toc518287574"/>
      <w:r>
        <w:t xml:space="preserve">follow </w:t>
      </w:r>
      <w:r w:rsidR="00045036">
        <w:t xml:space="preserve">Planning </w:t>
      </w:r>
      <w:r>
        <w:t>Practice Note</w:t>
      </w:r>
      <w:r w:rsidR="00045036">
        <w:t xml:space="preserve"> 8</w:t>
      </w:r>
      <w:r>
        <w:t xml:space="preserve"> advice in drafting </w:t>
      </w:r>
      <w:r w:rsidR="00045036">
        <w:t xml:space="preserve">Clause </w:t>
      </w:r>
      <w:r>
        <w:t>22.XX.</w:t>
      </w:r>
      <w:bookmarkEnd w:id="554"/>
    </w:p>
    <w:p w:rsidR="00FC60DB" w:rsidRPr="00CF77E3" w:rsidRDefault="00FC60DB" w:rsidP="00FC60DB">
      <w:pPr>
        <w:pStyle w:val="Heading4"/>
      </w:pPr>
      <w:r>
        <w:t>Using</w:t>
      </w:r>
      <w:r w:rsidRPr="00CF77E3">
        <w:t xml:space="preserve"> similar language to other requirements in the VPP</w:t>
      </w:r>
    </w:p>
    <w:p w:rsidR="00FC60DB" w:rsidRPr="00FB76C5" w:rsidRDefault="00FC60DB" w:rsidP="00FC60DB">
      <w:r>
        <w:t>A number of the concepts in the DDOs are addressed in existing VPP provisions such as ResCode</w:t>
      </w:r>
      <w:r w:rsidR="00E769A5">
        <w:t xml:space="preserve"> (Clause 55)</w:t>
      </w:r>
      <w:r>
        <w:t>.  The DDOs do not always adopt the same form of words as those existing VPP provisions.  It is desirable to use the same form of words that occurs elsewhere in the VPP where those words follow good drafting practice.  This makes the overall planning system easier to use.</w:t>
      </w:r>
    </w:p>
    <w:p w:rsidR="00FC60DB" w:rsidRDefault="00D137BD" w:rsidP="00FC60DB">
      <w:pPr>
        <w:pStyle w:val="PPVBody"/>
      </w:pPr>
      <w:r>
        <w:t>In preparing its track change version</w:t>
      </w:r>
      <w:r w:rsidR="00045036">
        <w:t xml:space="preserve"> of the controls,</w:t>
      </w:r>
      <w:r>
        <w:t xml:space="preserve"> the Review Panel has sought to:</w:t>
      </w:r>
    </w:p>
    <w:p w:rsidR="00FC60DB" w:rsidRPr="009C48EA" w:rsidRDefault="00FC60DB" w:rsidP="00DE1A27">
      <w:pPr>
        <w:pStyle w:val="PPVBullet1"/>
      </w:pPr>
      <w:bookmarkStart w:id="555" w:name="_Toc518287575"/>
      <w:r>
        <w:t>use forms of expression already used in the VPP where possible</w:t>
      </w:r>
      <w:r w:rsidRPr="009C48EA">
        <w:t>.</w:t>
      </w:r>
      <w:bookmarkEnd w:id="555"/>
    </w:p>
    <w:p w:rsidR="00FC60DB" w:rsidRDefault="00FC60DB" w:rsidP="00FC60DB">
      <w:pPr>
        <w:pStyle w:val="Heading4"/>
      </w:pPr>
      <w:r>
        <w:t>Using tables to help the reader</w:t>
      </w:r>
    </w:p>
    <w:p w:rsidR="00FC60DB" w:rsidRDefault="00FC60DB" w:rsidP="00FC60DB">
      <w:pPr>
        <w:pStyle w:val="PPVBody"/>
      </w:pPr>
      <w:r>
        <w:t>The Part C DDOs use a three column table format for controls.  These tables serve only a page layout role.  They are not used to reduce the amount of text presented, or to make the relationship between the discretionary and mandatory limit</w:t>
      </w:r>
      <w:r w:rsidR="009572F9">
        <w:t>s</w:t>
      </w:r>
      <w:r>
        <w:t xml:space="preserve"> clear.</w:t>
      </w:r>
    </w:p>
    <w:p w:rsidR="00FC60DB" w:rsidRDefault="00FC60DB" w:rsidP="00FC60DB">
      <w:pPr>
        <w:pStyle w:val="PPVBody"/>
      </w:pPr>
      <w:r>
        <w:t>The Review Panel has identified a number of issues with this approach including:</w:t>
      </w:r>
    </w:p>
    <w:p w:rsidR="00FC60DB" w:rsidRDefault="00FC60DB" w:rsidP="00FC60DB">
      <w:pPr>
        <w:pStyle w:val="PPVBullet1"/>
      </w:pPr>
      <w:r>
        <w:t>it makes the text narrower</w:t>
      </w:r>
      <w:r w:rsidR="009572F9">
        <w:t>, thereby</w:t>
      </w:r>
      <w:r>
        <w:t xml:space="preserve"> reducing readability</w:t>
      </w:r>
    </w:p>
    <w:p w:rsidR="00FC60DB" w:rsidRDefault="00FC60DB" w:rsidP="00FC60DB">
      <w:pPr>
        <w:pStyle w:val="PPVBullet1"/>
      </w:pPr>
      <w:r>
        <w:t>it becomes difficult to follow w</w:t>
      </w:r>
      <w:r w:rsidR="00E769A5">
        <w:t>hen the rows break across pages</w:t>
      </w:r>
    </w:p>
    <w:p w:rsidR="00E769A5" w:rsidRDefault="00E769A5" w:rsidP="00E769A5">
      <w:pPr>
        <w:pStyle w:val="PPVBullet1"/>
      </w:pPr>
      <w:r>
        <w:t>it misleads the reader by suggesting a relationship between elements that are not related.</w:t>
      </w:r>
    </w:p>
    <w:p w:rsidR="00FC60DB" w:rsidRDefault="00FC60DB" w:rsidP="00FC60DB">
      <w:pPr>
        <w:pStyle w:val="PPVBody"/>
      </w:pPr>
      <w:r>
        <w:t xml:space="preserve">A critical impact on usability </w:t>
      </w:r>
      <w:r w:rsidR="00E769A5">
        <w:t>tables</w:t>
      </w:r>
      <w:r>
        <w:t xml:space="preserve"> is that the heights or setbacks that apply are difficult to find in the text, as opposed to a conventional table where each cell contains a specific value.</w:t>
      </w:r>
    </w:p>
    <w:p w:rsidR="00FC60DB" w:rsidRDefault="00FC60DB" w:rsidP="00FC60DB">
      <w:pPr>
        <w:pStyle w:val="PPVBody"/>
      </w:pPr>
      <w:r>
        <w:t xml:space="preserve">In the Part C </w:t>
      </w:r>
      <w:r w:rsidR="009572F9">
        <w:t xml:space="preserve">DDO </w:t>
      </w:r>
      <w:r>
        <w:t>tables</w:t>
      </w:r>
      <w:r w:rsidR="009572F9">
        <w:t>,</w:t>
      </w:r>
      <w:r>
        <w:t xml:space="preserve"> the relationship between the discretionary and mandatory values in controls is not obvious.  If a proposal does not meet a specific discretionary requirement it is not immediately obvious what the relevant mandatory value is; a new block of text needs to be analysed.  The control would be easier to understand and use if the relevant mandatory limit related to a discretionary control could be found by simply stepping </w:t>
      </w:r>
      <w:r w:rsidR="00FD429D">
        <w:t>a</w:t>
      </w:r>
      <w:r>
        <w:t>cross one column in</w:t>
      </w:r>
      <w:r w:rsidR="009572F9">
        <w:t xml:space="preserve"> the same row of the table.</w:t>
      </w:r>
    </w:p>
    <w:p w:rsidR="00FC60DB" w:rsidRDefault="00FC60DB" w:rsidP="00FC60DB">
      <w:pPr>
        <w:pStyle w:val="PPVBody"/>
      </w:pPr>
      <w:r>
        <w:t>The Review Panel believes the controls would be easier to use i</w:t>
      </w:r>
      <w:r w:rsidR="00475975">
        <w:t>f</w:t>
      </w:r>
      <w:r>
        <w:t xml:space="preserve"> a more conventional approach to layout were used where requirements are expressed in body text and tables are used to set out information </w:t>
      </w:r>
      <w:r w:rsidR="00E769A5">
        <w:t xml:space="preserve">(primarily numerical values) </w:t>
      </w:r>
      <w:r>
        <w:t>in a concise layout.</w:t>
      </w:r>
    </w:p>
    <w:p w:rsidR="00FC60DB" w:rsidRDefault="00D137BD" w:rsidP="00FC60DB">
      <w:pPr>
        <w:pStyle w:val="PPVBody"/>
      </w:pPr>
      <w:r>
        <w:lastRenderedPageBreak/>
        <w:t xml:space="preserve">In preparing its track change version </w:t>
      </w:r>
      <w:r w:rsidR="009572F9">
        <w:t xml:space="preserve">of the controls, </w:t>
      </w:r>
      <w:r>
        <w:t>the Review Panel has sought to:</w:t>
      </w:r>
    </w:p>
    <w:p w:rsidR="00FC60DB" w:rsidRDefault="00FC60DB" w:rsidP="00DE1A27">
      <w:pPr>
        <w:pStyle w:val="PPVBullet1"/>
      </w:pPr>
      <w:bookmarkStart w:id="556" w:name="_Toc518287576"/>
      <w:r>
        <w:t>express Built form outcomes and Requirements in body text, and use table</w:t>
      </w:r>
      <w:r w:rsidR="00E769A5">
        <w:t>s</w:t>
      </w:r>
      <w:r>
        <w:t xml:space="preserve"> to concisely communicate the numerical values that apply in a specific situation</w:t>
      </w:r>
      <w:bookmarkEnd w:id="556"/>
    </w:p>
    <w:p w:rsidR="00FC60DB" w:rsidRDefault="00FC60DB" w:rsidP="00DE1A27">
      <w:pPr>
        <w:pStyle w:val="PPVBullet1"/>
      </w:pPr>
      <w:bookmarkStart w:id="557" w:name="_Toc518287577"/>
      <w:r>
        <w:t>make the relationship between the discretionary value and the mandatory value clear.</w:t>
      </w:r>
      <w:bookmarkEnd w:id="557"/>
    </w:p>
    <w:p w:rsidR="00FC60DB" w:rsidRDefault="00FC60DB" w:rsidP="00FC60DB">
      <w:pPr>
        <w:pStyle w:val="Heading4"/>
      </w:pPr>
      <w:r>
        <w:t>Active voice</w:t>
      </w:r>
    </w:p>
    <w:p w:rsidR="00FC60DB" w:rsidRDefault="00FC60DB" w:rsidP="00FC60DB">
      <w:pPr>
        <w:pStyle w:val="PPVBody"/>
      </w:pPr>
      <w:r w:rsidRPr="008F6374">
        <w:rPr>
          <w:i/>
        </w:rPr>
        <w:t>Using Victoria's planning system, Chapter 9 – Plain English</w:t>
      </w:r>
      <w:r>
        <w:t>, says:</w:t>
      </w:r>
    </w:p>
    <w:p w:rsidR="00FC60DB" w:rsidRDefault="00FC60DB" w:rsidP="00FC60DB">
      <w:pPr>
        <w:pStyle w:val="PPVQuote"/>
      </w:pPr>
      <w:r w:rsidRPr="00FA77E7">
        <w:t>Use the active voice</w:t>
      </w:r>
      <w:r>
        <w:t>.</w:t>
      </w:r>
    </w:p>
    <w:p w:rsidR="00FC60DB" w:rsidRDefault="00FC60DB" w:rsidP="00FC60DB">
      <w:pPr>
        <w:pStyle w:val="PPVBody"/>
      </w:pPr>
      <w:r>
        <w:t>Many of the controls are written in the passive voice.  There are occasions when the passive voice is a better choice, but the passive voice does not appear to have been used in a deliberative fashion for an explicit purpose.</w:t>
      </w:r>
    </w:p>
    <w:p w:rsidR="00FC60DB" w:rsidRDefault="00D137BD" w:rsidP="00FC60DB">
      <w:pPr>
        <w:pStyle w:val="PPVBody"/>
      </w:pPr>
      <w:r>
        <w:t>In preparing its track change version</w:t>
      </w:r>
      <w:r w:rsidR="009572F9">
        <w:t xml:space="preserve"> of the controls,</w:t>
      </w:r>
      <w:r>
        <w:t xml:space="preserve"> the Review Panel has sought to:</w:t>
      </w:r>
    </w:p>
    <w:p w:rsidR="00FC60DB" w:rsidRDefault="00FC60DB" w:rsidP="00DE1A27">
      <w:pPr>
        <w:pStyle w:val="PPVBullet1"/>
      </w:pPr>
      <w:bookmarkStart w:id="558" w:name="_Toc518287578"/>
      <w:r>
        <w:t>use the active voice.</w:t>
      </w:r>
      <w:bookmarkEnd w:id="558"/>
    </w:p>
    <w:p w:rsidR="00FC60DB" w:rsidRDefault="00FC60DB" w:rsidP="00FC60DB">
      <w:pPr>
        <w:pStyle w:val="Heading4"/>
      </w:pPr>
      <w:r>
        <w:t>Parallel structures</w:t>
      </w:r>
    </w:p>
    <w:p w:rsidR="00FC60DB" w:rsidRDefault="00FC60DB" w:rsidP="00FC60DB">
      <w:pPr>
        <w:pStyle w:val="PPVBody"/>
      </w:pPr>
      <w:r w:rsidRPr="0054363F">
        <w:rPr>
          <w:i/>
        </w:rPr>
        <w:t>Using Victoria's planning system, Chapter 9 – Plain English</w:t>
      </w:r>
      <w:r>
        <w:rPr>
          <w:i/>
        </w:rPr>
        <w:t xml:space="preserve">, </w:t>
      </w:r>
      <w:r w:rsidRPr="005B54D0">
        <w:t>says:</w:t>
      </w:r>
    </w:p>
    <w:p w:rsidR="00FC60DB" w:rsidRDefault="00FC60DB" w:rsidP="00FC60DB">
      <w:pPr>
        <w:pStyle w:val="PPVQuote"/>
      </w:pPr>
      <w:r>
        <w:t>If two or more coordinated elements (words, phrases or clauses) occur together, they should have the same grammatical structure.</w:t>
      </w:r>
    </w:p>
    <w:p w:rsidR="00FC60DB" w:rsidRPr="00C02D76" w:rsidRDefault="00FC60DB" w:rsidP="00FC60DB">
      <w:pPr>
        <w:pStyle w:val="PPVBody"/>
      </w:pPr>
      <w:r>
        <w:t xml:space="preserve">In a number of places, most notably in the </w:t>
      </w:r>
      <w:r w:rsidRPr="00C02D76">
        <w:t>Built form outcomes</w:t>
      </w:r>
      <w:r>
        <w:t xml:space="preserve"> in the DDOs, parallel structure</w:t>
      </w:r>
      <w:r w:rsidR="00FD429D">
        <w:t>s</w:t>
      </w:r>
      <w:r>
        <w:t xml:space="preserve"> have not been used, that is, not all outcomes have the same sentence structure.</w:t>
      </w:r>
      <w:r w:rsidR="00E769A5">
        <w:t xml:space="preserve">  This creates confusion as to whether different meanings are intended.</w:t>
      </w:r>
    </w:p>
    <w:p w:rsidR="00FC60DB" w:rsidRDefault="00D137BD" w:rsidP="00FC60DB">
      <w:pPr>
        <w:pStyle w:val="PPVBody"/>
      </w:pPr>
      <w:r>
        <w:t>In preparing its track change version</w:t>
      </w:r>
      <w:r w:rsidR="009572F9">
        <w:t xml:space="preserve"> of the controls,</w:t>
      </w:r>
      <w:r>
        <w:t xml:space="preserve"> the Review Panel has sought to:</w:t>
      </w:r>
    </w:p>
    <w:p w:rsidR="00FC60DB" w:rsidRDefault="00FC60DB" w:rsidP="00DE1A27">
      <w:pPr>
        <w:pStyle w:val="PPVBullet1"/>
      </w:pPr>
      <w:bookmarkStart w:id="559" w:name="_Toc518287579"/>
      <w:r>
        <w:t>use parallel grammatical structures.</w:t>
      </w:r>
      <w:bookmarkEnd w:id="559"/>
    </w:p>
    <w:p w:rsidR="00FC60DB" w:rsidRDefault="00FC60DB" w:rsidP="00FC60DB">
      <w:pPr>
        <w:pStyle w:val="Heading4"/>
      </w:pPr>
      <w:r>
        <w:t>Must or should</w:t>
      </w:r>
    </w:p>
    <w:p w:rsidR="00E769A5" w:rsidRDefault="00E769A5" w:rsidP="00E769A5">
      <w:pPr>
        <w:pStyle w:val="PPVBody"/>
      </w:pPr>
      <w:r>
        <w:t>Mr Glossop gave evidence for the Minister that it was appropriate to use ‘must’ for numerical controls, and ‘should’ for non-numerical controls, rather than the more conventional approach of using ‘must’ for mandatory controls, and ‘should’ for discretionary controls.  The Minister did not adopt Mr Glossop’s approach.  The Part C DDOs explicitly state that a permit cannot be granted to vary a control expressed with the term ‘must’ (that is, a mandatory requirement).  The Review Panel supports this approach.</w:t>
      </w:r>
    </w:p>
    <w:p w:rsidR="00E769A5" w:rsidRDefault="00E769A5" w:rsidP="00E769A5">
      <w:pPr>
        <w:pStyle w:val="PPVBody"/>
      </w:pPr>
      <w:r>
        <w:t>In preparing its track change version of the controls, the Review Panel has applied the principle:</w:t>
      </w:r>
    </w:p>
    <w:p w:rsidR="00E769A5" w:rsidRDefault="00E769A5" w:rsidP="00E769A5">
      <w:pPr>
        <w:pStyle w:val="PPVBullet1"/>
      </w:pPr>
      <w:r>
        <w:t>use ‘must’ for mandatory controls and ‘should’ for discretionary controls, and make this explicit in the DDO.</w:t>
      </w:r>
    </w:p>
    <w:p w:rsidR="00FC60DB" w:rsidRDefault="00E769A5" w:rsidP="00FC60DB">
      <w:pPr>
        <w:pStyle w:val="Heading4"/>
      </w:pPr>
      <w:r>
        <w:t xml:space="preserve"> </w:t>
      </w:r>
      <w:r w:rsidR="00FC60DB">
        <w:t>‘If–then’ or ‘this–if’</w:t>
      </w:r>
    </w:p>
    <w:p w:rsidR="00E769A5" w:rsidRPr="000906E5" w:rsidRDefault="00E769A5" w:rsidP="00E769A5">
      <w:pPr>
        <w:pStyle w:val="PPVBody"/>
      </w:pPr>
      <w:r>
        <w:t xml:space="preserve">‘If you’re happy and you know it clap your hands’.  This is more direct than: ‘Clap your hands if you know that you are happy’.  The first instruction is an ‘if–then’ statement.  Unfortunately the DDOs have adopted the practice of presenting information in a ‘this–if’ form; that is, presenting the height or setback that applies and then telling the reader where this applies.  The control would be easier to use if the conditions that determined the height </w:t>
      </w:r>
      <w:r>
        <w:lastRenderedPageBreak/>
        <w:t>or setback (location, overall building height and the like – that is, the ‘if’) were presented first, and the actual metric to be achieved last.</w:t>
      </w:r>
    </w:p>
    <w:p w:rsidR="00FC60DB" w:rsidRDefault="00D137BD" w:rsidP="00FC60DB">
      <w:pPr>
        <w:pStyle w:val="PPVBody"/>
      </w:pPr>
      <w:r>
        <w:t>In preparing its track change version the Review Panel has sought to:</w:t>
      </w:r>
    </w:p>
    <w:p w:rsidR="00FC60DB" w:rsidRDefault="00FC60DB" w:rsidP="00DE1A27">
      <w:pPr>
        <w:pStyle w:val="PPVBullet1"/>
      </w:pPr>
      <w:bookmarkStart w:id="560" w:name="_Toc518287582"/>
      <w:r>
        <w:t>present conditional requirements in an ‘if–then’ order.</w:t>
      </w:r>
      <w:bookmarkEnd w:id="560"/>
    </w:p>
    <w:p w:rsidR="00FC60DB" w:rsidRDefault="00FC60DB" w:rsidP="00FC60DB">
      <w:pPr>
        <w:pStyle w:val="Heading4"/>
      </w:pPr>
      <w:r>
        <w:t>Choosing between ‘which’</w:t>
      </w:r>
      <w:r w:rsidRPr="00B028F3">
        <w:t xml:space="preserve"> and ‘that’</w:t>
      </w:r>
    </w:p>
    <w:p w:rsidR="00FC60DB" w:rsidRDefault="00FC60DB" w:rsidP="00FC60DB">
      <w:pPr>
        <w:pStyle w:val="PPVBody"/>
      </w:pPr>
      <w:r>
        <w:t xml:space="preserve">The draft Amendment typically uses ‘which’ to introduce essential qualifications in the controls.  </w:t>
      </w:r>
      <w:r w:rsidRPr="00FA77E7">
        <w:rPr>
          <w:i/>
        </w:rPr>
        <w:t>Using Victoria's planning system, Chapter 9 – Plain English</w:t>
      </w:r>
      <w:r>
        <w:t>, says:</w:t>
      </w:r>
    </w:p>
    <w:p w:rsidR="00FC60DB" w:rsidRDefault="00FC60DB" w:rsidP="00FC60DB">
      <w:pPr>
        <w:pStyle w:val="PPVQuote"/>
      </w:pPr>
      <w:r>
        <w:t>When making an essential qualification use ‘that’; use ‘which’ when providing additional information about something being discussed.</w:t>
      </w:r>
    </w:p>
    <w:p w:rsidR="00FC60DB" w:rsidRDefault="00D137BD" w:rsidP="00FC60DB">
      <w:pPr>
        <w:pStyle w:val="PPVBody"/>
      </w:pPr>
      <w:r>
        <w:t>In preparing its track change version</w:t>
      </w:r>
      <w:r w:rsidR="00623590">
        <w:t xml:space="preserve"> of the controls,</w:t>
      </w:r>
      <w:r>
        <w:t xml:space="preserve"> the Review Panel has sought to:</w:t>
      </w:r>
    </w:p>
    <w:p w:rsidR="00FC60DB" w:rsidRDefault="00FC60DB" w:rsidP="00B93FAD">
      <w:pPr>
        <w:pStyle w:val="PPVBullet1"/>
      </w:pPr>
      <w:bookmarkStart w:id="561" w:name="_Toc518287583"/>
      <w:r>
        <w:t>use ‘that’ when making an essential qualification.</w:t>
      </w:r>
      <w:bookmarkEnd w:id="561"/>
    </w:p>
    <w:p w:rsidR="00FC60DB" w:rsidRDefault="00FC60DB" w:rsidP="00FC60DB">
      <w:pPr>
        <w:pStyle w:val="Heading4"/>
      </w:pPr>
      <w:r>
        <w:t>Consistent use of terms</w:t>
      </w:r>
    </w:p>
    <w:p w:rsidR="00E769A5" w:rsidRDefault="00E769A5" w:rsidP="00E769A5">
      <w:pPr>
        <w:pStyle w:val="PPVBody"/>
      </w:pPr>
      <w:r>
        <w:t>The various iterations of the draft Amendment have not always used the same term for the same thing, or referred to a table that presents the information under heading using different wording than the wording in the requirement that refers to it.  This is poor drafting practice, and creates confusion as to whether different meanings are intended.  For example, in the Part C version of the controls a requirement states:</w:t>
      </w:r>
    </w:p>
    <w:p w:rsidR="00E769A5" w:rsidRPr="00B044BD" w:rsidRDefault="00E769A5" w:rsidP="00E769A5">
      <w:pPr>
        <w:pStyle w:val="PPVQuote"/>
      </w:pPr>
      <w:r>
        <w:t>T</w:t>
      </w:r>
      <w:r w:rsidRPr="00B044BD">
        <w:t>he height of new buildings in all areas must:</w:t>
      </w:r>
    </w:p>
    <w:p w:rsidR="00E769A5" w:rsidRPr="00B044BD" w:rsidRDefault="00E769A5" w:rsidP="00E769A5">
      <w:pPr>
        <w:pStyle w:val="PPVQuoteBullet1"/>
      </w:pPr>
      <w:r w:rsidRPr="00B044BD">
        <w:t xml:space="preserve">Respond to the preferred future precinct character and building typologies in Table 1 </w:t>
      </w:r>
      <w:r>
        <w:t>…</w:t>
      </w:r>
    </w:p>
    <w:p w:rsidR="00E769A5" w:rsidRDefault="00E769A5" w:rsidP="00E769A5">
      <w:pPr>
        <w:pStyle w:val="PPVBody"/>
        <w:rPr>
          <w:rFonts w:eastAsia="Calibri"/>
        </w:rPr>
      </w:pPr>
      <w:r>
        <w:t>In Table 1, the column that contains the ‘</w:t>
      </w:r>
      <w:r w:rsidRPr="00B044BD">
        <w:rPr>
          <w:rFonts w:eastAsia="Calibri"/>
        </w:rPr>
        <w:t>preferred future precinct character and building typologies</w:t>
      </w:r>
      <w:r>
        <w:rPr>
          <w:rFonts w:eastAsia="Calibri"/>
        </w:rPr>
        <w:t>’ is labelled ‘Built form outcomes’.</w:t>
      </w:r>
    </w:p>
    <w:p w:rsidR="00E769A5" w:rsidRDefault="00E769A5" w:rsidP="00E769A5">
      <w:pPr>
        <w:pStyle w:val="PPVBody"/>
      </w:pPr>
      <w:r>
        <w:t>In preparing its track change version of the controls, the Review Panel has sought to:</w:t>
      </w:r>
    </w:p>
    <w:p w:rsidR="00E769A5" w:rsidRDefault="00E769A5" w:rsidP="00E769A5">
      <w:pPr>
        <w:pStyle w:val="PPVBullet1"/>
      </w:pPr>
      <w:r>
        <w:t>use consistent terminology and cross-referencing.</w:t>
      </w:r>
    </w:p>
    <w:p w:rsidR="00FC60DB" w:rsidRDefault="00FC60DB" w:rsidP="00FC60DB">
      <w:pPr>
        <w:pStyle w:val="Heading4"/>
      </w:pPr>
      <w:r>
        <w:t>Using fewer, simpler word</w:t>
      </w:r>
      <w:r w:rsidR="00FD429D">
        <w:t>s</w:t>
      </w:r>
    </w:p>
    <w:p w:rsidR="00FC60DB" w:rsidRDefault="00FC60DB" w:rsidP="00FC60DB">
      <w:pPr>
        <w:pStyle w:val="PPVBody"/>
        <w:rPr>
          <w:rStyle w:val="PPVBodyChar"/>
        </w:rPr>
      </w:pPr>
      <w:r>
        <w:t>The simplest English words have not always been used in the drafting</w:t>
      </w:r>
      <w:r>
        <w:rPr>
          <w:rStyle w:val="PPVBodyChar"/>
        </w:rPr>
        <w:t>.</w:t>
      </w:r>
    </w:p>
    <w:p w:rsidR="00FC60DB" w:rsidRDefault="00FC60DB" w:rsidP="00FC60DB">
      <w:pPr>
        <w:pStyle w:val="PPVBody"/>
      </w:pPr>
      <w:r>
        <w:t>Some elements of the draft Amendment use unnecessary words.  Consider the following Built form outcome in the DDOs:</w:t>
      </w:r>
    </w:p>
    <w:p w:rsidR="00FC60DB" w:rsidRDefault="00FC60DB" w:rsidP="00FC60DB">
      <w:pPr>
        <w:pStyle w:val="PPVQuote"/>
      </w:pPr>
      <w:r w:rsidRPr="00B0444C">
        <w:t>Buildings are not designed in a manner that creates blank facades.</w:t>
      </w:r>
    </w:p>
    <w:p w:rsidR="00FC60DB" w:rsidRDefault="00FC60DB" w:rsidP="00FC60DB">
      <w:pPr>
        <w:pStyle w:val="PPVBody"/>
      </w:pPr>
      <w:r>
        <w:t>First, this would be clearer if the confusing negative were changed:</w:t>
      </w:r>
      <w:r w:rsidRPr="00820B43">
        <w:rPr>
          <w:rStyle w:val="FootnoteReference"/>
        </w:rPr>
        <w:footnoteReference w:id="156"/>
      </w:r>
    </w:p>
    <w:p w:rsidR="00FC60DB" w:rsidRDefault="00FC60DB" w:rsidP="00FC60DB">
      <w:pPr>
        <w:pStyle w:val="PPVQuote"/>
      </w:pPr>
      <w:r w:rsidRPr="00B0444C">
        <w:t xml:space="preserve">Buildings are designed in a manner that </w:t>
      </w:r>
      <w:r>
        <w:t>does not</w:t>
      </w:r>
      <w:r w:rsidRPr="00B0444C">
        <w:t xml:space="preserve"> </w:t>
      </w:r>
      <w:r>
        <w:t>create</w:t>
      </w:r>
      <w:r w:rsidRPr="00B0444C">
        <w:t xml:space="preserve"> blank facades.</w:t>
      </w:r>
    </w:p>
    <w:p w:rsidR="00FC60DB" w:rsidRDefault="00FC60DB" w:rsidP="00FC60DB">
      <w:pPr>
        <w:pStyle w:val="PPVBody"/>
      </w:pPr>
      <w:r>
        <w:t>Second, there is no need to reference the manner of the design, just the outcome sought:</w:t>
      </w:r>
    </w:p>
    <w:p w:rsidR="00FC60DB" w:rsidRDefault="00FC60DB" w:rsidP="00FC60DB">
      <w:pPr>
        <w:pStyle w:val="PPVQuote"/>
      </w:pPr>
      <w:r w:rsidRPr="00B0444C">
        <w:t xml:space="preserve">Buildings </w:t>
      </w:r>
      <w:r>
        <w:t>do not</w:t>
      </w:r>
      <w:r w:rsidRPr="00B0444C">
        <w:t xml:space="preserve"> </w:t>
      </w:r>
      <w:r>
        <w:t>create</w:t>
      </w:r>
      <w:r w:rsidRPr="00B0444C">
        <w:t xml:space="preserve"> blank facades.</w:t>
      </w:r>
    </w:p>
    <w:p w:rsidR="00FC60DB" w:rsidRDefault="00FC60DB" w:rsidP="00FC60DB">
      <w:pPr>
        <w:pStyle w:val="PPVBody"/>
      </w:pPr>
      <w:r>
        <w:t>Third, ‘do not create’ can be replaced with the single word ‘avoid’:</w:t>
      </w:r>
    </w:p>
    <w:p w:rsidR="00FC60DB" w:rsidRDefault="00FC60DB" w:rsidP="00FC60DB">
      <w:pPr>
        <w:pStyle w:val="PPVQuote"/>
      </w:pPr>
      <w:r w:rsidRPr="00B0444C">
        <w:t xml:space="preserve">Buildings </w:t>
      </w:r>
      <w:r>
        <w:t>avoid</w:t>
      </w:r>
      <w:r w:rsidRPr="00B0444C">
        <w:t xml:space="preserve"> blank facades.</w:t>
      </w:r>
    </w:p>
    <w:p w:rsidR="00FC60DB" w:rsidRDefault="00D137BD" w:rsidP="00FC60DB">
      <w:pPr>
        <w:pStyle w:val="PPVBody"/>
      </w:pPr>
      <w:r>
        <w:lastRenderedPageBreak/>
        <w:t>In preparing its track change version</w:t>
      </w:r>
      <w:r w:rsidR="00623590">
        <w:t xml:space="preserve"> of the controls,</w:t>
      </w:r>
      <w:r>
        <w:t xml:space="preserve"> the Review Panel has sought to:</w:t>
      </w:r>
    </w:p>
    <w:p w:rsidR="00FC60DB" w:rsidRDefault="00FC60DB" w:rsidP="00B93FAD">
      <w:pPr>
        <w:pStyle w:val="PPVBullet1"/>
      </w:pPr>
      <w:bookmarkStart w:id="562" w:name="_Toc518287584"/>
      <w:r>
        <w:t>use everyday words</w:t>
      </w:r>
      <w:bookmarkEnd w:id="562"/>
    </w:p>
    <w:p w:rsidR="00FC60DB" w:rsidRDefault="00FC60DB" w:rsidP="00B93FAD">
      <w:pPr>
        <w:pStyle w:val="PPVBullet1"/>
      </w:pPr>
      <w:bookmarkStart w:id="563" w:name="_Toc518287586"/>
      <w:r>
        <w:t>avoid unnecessary words.</w:t>
      </w:r>
      <w:bookmarkEnd w:id="563"/>
    </w:p>
    <w:p w:rsidR="00FC60DB" w:rsidRDefault="00FC60DB" w:rsidP="00FC60DB">
      <w:pPr>
        <w:pStyle w:val="Heading4"/>
      </w:pPr>
      <w:r>
        <w:t>R</w:t>
      </w:r>
      <w:r w:rsidRPr="00CF77E3">
        <w:t>estructuring and editing to remove repetitive text</w:t>
      </w:r>
    </w:p>
    <w:p w:rsidR="00FC60DB" w:rsidRDefault="00FC60DB" w:rsidP="00FC60DB">
      <w:pPr>
        <w:pStyle w:val="PPVBody"/>
      </w:pPr>
      <w:r>
        <w:t>There are some examples of repetitive text, but these are clear examples of drafting error.  More importantly the way requirements are expressed in the DDOs require repetition of the same phrase, such as ‘</w:t>
      </w:r>
      <w:r w:rsidRPr="003809C4">
        <w:t>setback</w:t>
      </w:r>
      <w:r w:rsidRPr="003809C4">
        <w:rPr>
          <w:rFonts w:eastAsia="Calibri"/>
        </w:rPr>
        <w:t xml:space="preserve"> </w:t>
      </w:r>
      <w:r w:rsidRPr="003809C4">
        <w:t>from the side or rear boundary</w:t>
      </w:r>
      <w:r>
        <w:t>’ multiple times.  Some of this repetition can be removed.</w:t>
      </w:r>
    </w:p>
    <w:p w:rsidR="00FC60DB" w:rsidRDefault="00D137BD" w:rsidP="00FC60DB">
      <w:pPr>
        <w:pStyle w:val="PPVBody"/>
      </w:pPr>
      <w:r>
        <w:t>In preparing its track change version</w:t>
      </w:r>
      <w:r w:rsidR="00623590">
        <w:t xml:space="preserve"> of the controls,</w:t>
      </w:r>
      <w:r>
        <w:t xml:space="preserve"> the Review Panel has sought to:</w:t>
      </w:r>
    </w:p>
    <w:p w:rsidR="00FC60DB" w:rsidRPr="00B54722" w:rsidRDefault="00FC60DB" w:rsidP="00B93FAD">
      <w:pPr>
        <w:pStyle w:val="PPVBullet1"/>
      </w:pPr>
      <w:bookmarkStart w:id="564" w:name="_Toc518287587"/>
      <w:r>
        <w:t>r</w:t>
      </w:r>
      <w:r w:rsidRPr="00B54722">
        <w:t>estructure requirement</w:t>
      </w:r>
      <w:r w:rsidR="00623590">
        <w:t>s</w:t>
      </w:r>
      <w:r w:rsidRPr="00B54722">
        <w:t xml:space="preserve"> to remove the need for repetition where possible.</w:t>
      </w:r>
      <w:bookmarkEnd w:id="564"/>
    </w:p>
    <w:p w:rsidR="00FC60DB" w:rsidRDefault="00FC60DB" w:rsidP="00FC60DB">
      <w:pPr>
        <w:pStyle w:val="Heading4"/>
      </w:pPr>
      <w:r>
        <w:t>Bulleted lists</w:t>
      </w:r>
    </w:p>
    <w:p w:rsidR="00FC60DB" w:rsidRPr="00032C98" w:rsidRDefault="00FC60DB" w:rsidP="00FC60DB">
      <w:pPr>
        <w:pStyle w:val="PPVBody"/>
      </w:pPr>
      <w:r w:rsidRPr="0054363F">
        <w:rPr>
          <w:i/>
        </w:rPr>
        <w:t>Using Victoria's planning system, Chapter 9 – Plain English</w:t>
      </w:r>
      <w:r>
        <w:t>, says:</w:t>
      </w:r>
    </w:p>
    <w:p w:rsidR="00FC60DB" w:rsidRPr="00930318" w:rsidRDefault="00FC60DB" w:rsidP="00FC60DB">
      <w:pPr>
        <w:pStyle w:val="PPVQuote"/>
        <w:rPr>
          <w:lang w:val="en-GB"/>
        </w:rPr>
      </w:pPr>
      <w:r w:rsidRPr="00930318">
        <w:rPr>
          <w:lang w:val="en-GB"/>
        </w:rPr>
        <w:t>9.6.5</w:t>
      </w:r>
      <w:r w:rsidRPr="00930318">
        <w:rPr>
          <w:lang w:val="en-GB"/>
        </w:rPr>
        <w:tab/>
      </w:r>
      <w:r>
        <w:rPr>
          <w:lang w:val="en-GB"/>
        </w:rPr>
        <w:t>Using bulleted lists</w:t>
      </w:r>
    </w:p>
    <w:p w:rsidR="00FC60DB" w:rsidRPr="00930318" w:rsidRDefault="00FC60DB" w:rsidP="00FC60DB">
      <w:pPr>
        <w:pStyle w:val="PPVQuote"/>
        <w:rPr>
          <w:lang w:val="en-GB"/>
        </w:rPr>
      </w:pPr>
      <w:r>
        <w:rPr>
          <w:lang w:val="en-GB"/>
        </w:rPr>
        <w:t xml:space="preserve">… </w:t>
      </w:r>
      <w:r w:rsidRPr="00930318">
        <w:rPr>
          <w:lang w:val="en-GB"/>
        </w:rPr>
        <w:t>In bulleted lists neither ‘and’ nor ‘or’ should be used.</w:t>
      </w:r>
      <w:r>
        <w:rPr>
          <w:lang w:val="en-GB"/>
        </w:rPr>
        <w:t xml:space="preserve">  </w:t>
      </w:r>
      <w:r w:rsidRPr="00930318">
        <w:rPr>
          <w:lang w:val="en-GB"/>
        </w:rPr>
        <w:t>The introduction to the list must make it clear whether all the requirements specified need to be met or just one of them.</w:t>
      </w:r>
    </w:p>
    <w:p w:rsidR="00FC60DB" w:rsidRDefault="00FC60DB" w:rsidP="00E769A5">
      <w:pPr>
        <w:pStyle w:val="PPVBody"/>
      </w:pPr>
      <w:r>
        <w:t>The draft Amendment generally follows this advice, but it was not universally adopted in submissions to the Revie</w:t>
      </w:r>
      <w:r w:rsidRPr="001A382A">
        <w:t>w Panel.  In planning schemes bulleted lists start each point with a capital letter and end each point with a full stop.</w:t>
      </w:r>
    </w:p>
    <w:p w:rsidR="00FC60DB" w:rsidRDefault="00D137BD" w:rsidP="00FC60DB">
      <w:pPr>
        <w:pStyle w:val="PPVBody"/>
      </w:pPr>
      <w:r>
        <w:t xml:space="preserve">In preparing its track change version </w:t>
      </w:r>
      <w:r w:rsidR="00623590">
        <w:t xml:space="preserve">of the controls, </w:t>
      </w:r>
      <w:r>
        <w:t>the Review Panel supports the principle:</w:t>
      </w:r>
    </w:p>
    <w:p w:rsidR="00FC60DB" w:rsidRDefault="00FC60DB" w:rsidP="00B93FAD">
      <w:pPr>
        <w:pStyle w:val="PPVBullet1"/>
      </w:pPr>
      <w:bookmarkStart w:id="565" w:name="_Toc518287588"/>
      <w:r>
        <w:t xml:space="preserve">avoid </w:t>
      </w:r>
      <w:r>
        <w:rPr>
          <w:lang w:val="en-GB"/>
        </w:rPr>
        <w:t xml:space="preserve">‘and’ </w:t>
      </w:r>
      <w:r w:rsidR="00E769A5">
        <w:rPr>
          <w:lang w:val="en-GB"/>
        </w:rPr>
        <w:t>or ‘or’ i</w:t>
      </w:r>
      <w:r w:rsidRPr="00930318">
        <w:rPr>
          <w:lang w:val="en-GB"/>
        </w:rPr>
        <w:t>n bulleted lists</w:t>
      </w:r>
      <w:r>
        <w:rPr>
          <w:lang w:val="en-GB"/>
        </w:rPr>
        <w:t>, and use standard VPP punctuation</w:t>
      </w:r>
      <w:r>
        <w:t>.</w:t>
      </w:r>
      <w:bookmarkEnd w:id="565"/>
    </w:p>
    <w:p w:rsidR="00FC60DB" w:rsidRDefault="00FC60DB" w:rsidP="00DD6314">
      <w:pPr>
        <w:pStyle w:val="Heading2"/>
      </w:pPr>
      <w:bookmarkStart w:id="566" w:name="_Toc518402923"/>
      <w:bookmarkStart w:id="567" w:name="_Toc519710334"/>
      <w:bookmarkStart w:id="568" w:name="_Toc519766894"/>
      <w:r>
        <w:t xml:space="preserve">Issues with the interpretation </w:t>
      </w:r>
      <w:r w:rsidR="00E769A5">
        <w:t xml:space="preserve">of </w:t>
      </w:r>
      <w:r>
        <w:t>requirements</w:t>
      </w:r>
      <w:bookmarkEnd w:id="566"/>
      <w:bookmarkEnd w:id="567"/>
      <w:bookmarkEnd w:id="568"/>
    </w:p>
    <w:p w:rsidR="00FC60DB" w:rsidRDefault="00FC60DB" w:rsidP="00FC60DB">
      <w:pPr>
        <w:pStyle w:val="Heading4"/>
      </w:pPr>
      <w:r>
        <w:t>E</w:t>
      </w:r>
      <w:r w:rsidRPr="00125D5D">
        <w:t>xisting industrial use</w:t>
      </w:r>
      <w:r>
        <w:t>s</w:t>
      </w:r>
      <w:r w:rsidRPr="00125D5D">
        <w:t xml:space="preserve"> which facilitates the urban renewal of Fishermans Bend</w:t>
      </w:r>
    </w:p>
    <w:p w:rsidR="00FC60DB" w:rsidRDefault="00FC60DB" w:rsidP="00FC60DB">
      <w:pPr>
        <w:pStyle w:val="PPVBody"/>
      </w:pPr>
      <w:r>
        <w:t>The DDOs provide an exemption</w:t>
      </w:r>
      <w:r w:rsidR="00623590">
        <w:t xml:space="preserve"> for uses which facilitate urban renewal in Fishermans Bend</w:t>
      </w:r>
      <w:r>
        <w:t>:</w:t>
      </w:r>
    </w:p>
    <w:p w:rsidR="00FC60DB" w:rsidRPr="00125D5D" w:rsidRDefault="00FC60DB" w:rsidP="00FC60DB">
      <w:pPr>
        <w:pStyle w:val="PPVQuote"/>
      </w:pPr>
      <w:r w:rsidRPr="00125D5D">
        <w:t>The followin</w:t>
      </w:r>
      <w:r>
        <w:t>g requirements do not apply to:</w:t>
      </w:r>
    </w:p>
    <w:p w:rsidR="00FC60DB" w:rsidRDefault="00FC60DB" w:rsidP="00FC60DB">
      <w:pPr>
        <w:pStyle w:val="PPVQuoteBullet1"/>
      </w:pPr>
      <w:r w:rsidRPr="00125D5D">
        <w:t xml:space="preserve">An application for buildings and works associated with </w:t>
      </w:r>
      <w:bookmarkStart w:id="569" w:name="_Hlk518219885"/>
      <w:r w:rsidRPr="00125D5D">
        <w:t>an existing industrial use which facilitates the urban renewal of Fishermans Bend</w:t>
      </w:r>
      <w:bookmarkEnd w:id="569"/>
      <w:r w:rsidRPr="00125D5D">
        <w:t>.</w:t>
      </w:r>
    </w:p>
    <w:p w:rsidR="00FC60DB" w:rsidRDefault="00FC60DB" w:rsidP="00FC60DB">
      <w:pPr>
        <w:pStyle w:val="PPVBody"/>
      </w:pPr>
      <w:r>
        <w:t>The Review Panel understands that ‘</w:t>
      </w:r>
      <w:r w:rsidRPr="00125D5D">
        <w:t>facilitates the urban renewal of Fishermans Bend</w:t>
      </w:r>
      <w:r>
        <w:t>’ is meant to apply to a class of industrial activities, not the type of application, and this class includes Delta demolition yard and the concrete batching plants.</w:t>
      </w:r>
    </w:p>
    <w:p w:rsidR="00FC60DB" w:rsidRDefault="00D137BD" w:rsidP="00FC60DB">
      <w:pPr>
        <w:pStyle w:val="PPVBody"/>
      </w:pPr>
      <w:r>
        <w:t xml:space="preserve">In preparing its track change version </w:t>
      </w:r>
      <w:r w:rsidR="00623590">
        <w:t xml:space="preserve">of the controls, </w:t>
      </w:r>
      <w:r>
        <w:t>the Review Panel has sought to:</w:t>
      </w:r>
    </w:p>
    <w:p w:rsidR="00FC60DB" w:rsidRDefault="00FC60DB" w:rsidP="00B93FAD">
      <w:pPr>
        <w:pStyle w:val="PPVBullet1"/>
      </w:pPr>
      <w:bookmarkStart w:id="570" w:name="_Toc518287589"/>
      <w:r>
        <w:t>clarify the phrase ‘</w:t>
      </w:r>
      <w:r w:rsidRPr="00125D5D">
        <w:t>which facilitates the urban renewal of Fishermans Bend</w:t>
      </w:r>
      <w:r>
        <w:t>’.</w:t>
      </w:r>
      <w:bookmarkEnd w:id="570"/>
    </w:p>
    <w:p w:rsidR="00A1032C" w:rsidRDefault="00A1032C" w:rsidP="00A1032C">
      <w:pPr>
        <w:pStyle w:val="Heading4"/>
      </w:pPr>
      <w:r>
        <w:t>Land use table</w:t>
      </w:r>
    </w:p>
    <w:p w:rsidR="00A1032C" w:rsidRDefault="00346B0A" w:rsidP="00A1032C">
      <w:pPr>
        <w:pStyle w:val="PPVBody"/>
      </w:pPr>
      <w:r>
        <w:t>The land use table in the CC</w:t>
      </w:r>
      <w:r w:rsidR="00A1032C">
        <w:t>Z has a number of errors.  Specifically, land use terms not in alphabetical order, uses listed when they should not be, and uses not listed that need to be listed.</w:t>
      </w:r>
    </w:p>
    <w:p w:rsidR="00A1032C" w:rsidRDefault="00A1032C" w:rsidP="00A1032C">
      <w:pPr>
        <w:pStyle w:val="PPVBody"/>
      </w:pPr>
      <w:r>
        <w:lastRenderedPageBreak/>
        <w:t>In preparing its track change version of the controls, the Review Panel has sought to:</w:t>
      </w:r>
    </w:p>
    <w:p w:rsidR="00A1032C" w:rsidRPr="006024F1" w:rsidRDefault="00A1032C" w:rsidP="00A1032C">
      <w:pPr>
        <w:pStyle w:val="PPVBullet1"/>
      </w:pPr>
      <w:r>
        <w:t>correct the errors in the land use table in the CCZ.</w:t>
      </w:r>
    </w:p>
    <w:p w:rsidR="00FC60DB" w:rsidRDefault="00FC60DB" w:rsidP="00FC60DB">
      <w:pPr>
        <w:pStyle w:val="Heading4"/>
      </w:pPr>
      <w:r>
        <w:t>The use of</w:t>
      </w:r>
      <w:r w:rsidR="00623590">
        <w:t xml:space="preserve"> the term</w:t>
      </w:r>
      <w:r>
        <w:t xml:space="preserve"> ‘street wall’</w:t>
      </w:r>
    </w:p>
    <w:p w:rsidR="00FC60DB" w:rsidRDefault="00FC60DB" w:rsidP="00FC60DB">
      <w:r>
        <w:t>A number of control</w:t>
      </w:r>
      <w:r w:rsidR="00623590">
        <w:t>s</w:t>
      </w:r>
      <w:r>
        <w:t xml:space="preserve"> make reference to the setbacks above the street wall.  ‘Street wall’ is defined in the controls:</w:t>
      </w:r>
    </w:p>
    <w:p w:rsidR="00FC60DB" w:rsidRPr="00125D5D" w:rsidRDefault="00FC60DB" w:rsidP="00FC60DB">
      <w:pPr>
        <w:pStyle w:val="PPVQuote"/>
      </w:pPr>
      <w:r w:rsidRPr="00125D5D">
        <w:rPr>
          <w:b/>
        </w:rPr>
        <w:t>Street wall</w:t>
      </w:r>
      <w:r w:rsidRPr="00125D5D">
        <w:t xml:space="preserve"> means any part of the building constructed within 0.3 metres of a lot boundary fronting the street or laneway.</w:t>
      </w:r>
    </w:p>
    <w:p w:rsidR="00FC60DB" w:rsidRDefault="00FC60DB" w:rsidP="00FC60DB">
      <w:r>
        <w:t xml:space="preserve">The effect of drafting </w:t>
      </w:r>
      <w:r w:rsidR="00623590">
        <w:t xml:space="preserve">a </w:t>
      </w:r>
      <w:r>
        <w:t>control in this fashion is that where a development does not have a wall co</w:t>
      </w:r>
      <w:r w:rsidR="00623590">
        <w:t>nstructed on or within 300</w:t>
      </w:r>
      <w:r>
        <w:t>mm of the frontage there is no street wall.</w:t>
      </w:r>
      <w:r w:rsidRPr="00820B43">
        <w:rPr>
          <w:rStyle w:val="FootnoteReference"/>
        </w:rPr>
        <w:footnoteReference w:id="157"/>
      </w:r>
      <w:r>
        <w:t xml:space="preserve">  This means there will be no reference point for upper level setbacks or side and rear setbacks that reference the ‘street wall’.</w:t>
      </w:r>
    </w:p>
    <w:p w:rsidR="00FC60DB" w:rsidRPr="00C82FE3" w:rsidRDefault="00FC60DB" w:rsidP="00FC60DB">
      <w:pPr>
        <w:pStyle w:val="PPVBody"/>
      </w:pPr>
      <w:r w:rsidRPr="00C82FE3">
        <w:t>This issue was raise</w:t>
      </w:r>
      <w:r w:rsidR="00A1032C">
        <w:t>d</w:t>
      </w:r>
      <w:r w:rsidRPr="00C82FE3">
        <w:t xml:space="preserve"> by the Review Panel during the Hearing, but has not been resolved in the Pa</w:t>
      </w:r>
      <w:r w:rsidR="00094AA5">
        <w:t>r</w:t>
      </w:r>
      <w:r w:rsidRPr="00C82FE3">
        <w:t>t C version of the controls.</w:t>
      </w:r>
    </w:p>
    <w:p w:rsidR="00FC60DB" w:rsidRPr="00C82FE3" w:rsidRDefault="00FC60DB" w:rsidP="00FC60DB">
      <w:pPr>
        <w:pStyle w:val="PPVBody"/>
      </w:pPr>
      <w:r w:rsidRPr="00C82FE3">
        <w:t>The use of street wall and street wall height is not consistent, not even in the same set of requirements: Table 5 across the</w:t>
      </w:r>
      <w:r w:rsidR="00623590">
        <w:t xml:space="preserve"> four</w:t>
      </w:r>
      <w:r w:rsidRPr="00C82FE3">
        <w:t xml:space="preserve"> DDO</w:t>
      </w:r>
      <w:r w:rsidR="00623590">
        <w:t>s use</w:t>
      </w:r>
      <w:r w:rsidR="00FD429D">
        <w:t>s</w:t>
      </w:r>
      <w:r w:rsidR="00623590">
        <w:t xml:space="preserve"> ‘</w:t>
      </w:r>
      <w:r w:rsidR="00A1032C">
        <w:t>s</w:t>
      </w:r>
      <w:r w:rsidR="00623590">
        <w:t>treet wall’ three times and</w:t>
      </w:r>
      <w:r w:rsidRPr="00C82FE3">
        <w:t xml:space="preserve"> ‘street wall height’ once for the same control.</w:t>
      </w:r>
    </w:p>
    <w:p w:rsidR="00FC60DB" w:rsidRDefault="00D137BD" w:rsidP="00FC60DB">
      <w:pPr>
        <w:pStyle w:val="PPVBody"/>
      </w:pPr>
      <w:r>
        <w:t xml:space="preserve">In preparing its track change version </w:t>
      </w:r>
      <w:r w:rsidR="00623590">
        <w:t xml:space="preserve">of the controls, </w:t>
      </w:r>
      <w:r>
        <w:t>the Review Panel has sought to:</w:t>
      </w:r>
    </w:p>
    <w:p w:rsidR="00FC60DB" w:rsidRPr="006024F1" w:rsidRDefault="00FC60DB" w:rsidP="00B93FAD">
      <w:pPr>
        <w:pStyle w:val="PPVBullet1"/>
      </w:pPr>
      <w:bookmarkStart w:id="571" w:name="_Toc518287590"/>
      <w:r>
        <w:t xml:space="preserve">redraft DDO controls that </w:t>
      </w:r>
      <w:r w:rsidR="00623590">
        <w:t xml:space="preserve">make </w:t>
      </w:r>
      <w:r>
        <w:t xml:space="preserve">reference to ‘street wall’ and ‘street wall height’ so that the controls have meaning when </w:t>
      </w:r>
      <w:r w:rsidR="00A1032C">
        <w:t>the</w:t>
      </w:r>
      <w:r>
        <w:t xml:space="preserve"> building is </w:t>
      </w:r>
      <w:r w:rsidR="00A1032C">
        <w:t xml:space="preserve">not </w:t>
      </w:r>
      <w:r>
        <w:t xml:space="preserve">constructed </w:t>
      </w:r>
      <w:bookmarkEnd w:id="571"/>
      <w:r w:rsidR="00A1032C">
        <w:t>with a street wall.</w:t>
      </w:r>
    </w:p>
    <w:p w:rsidR="00FC60DB" w:rsidRPr="002E4DB5" w:rsidRDefault="00FC60DB" w:rsidP="00FC60DB">
      <w:pPr>
        <w:pStyle w:val="Heading4"/>
      </w:pPr>
      <w:r w:rsidRPr="002E4DB5">
        <w:t>Front setback controls</w:t>
      </w:r>
    </w:p>
    <w:p w:rsidR="00FC60DB" w:rsidRPr="002E4DB5" w:rsidRDefault="00FC60DB" w:rsidP="00FC60DB">
      <w:pPr>
        <w:pStyle w:val="PPVBody"/>
      </w:pPr>
      <w:r w:rsidRPr="002E4DB5">
        <w:t>The DDOs include a discretionary requirement, under the Street wall</w:t>
      </w:r>
      <w:r>
        <w:t xml:space="preserve"> height</w:t>
      </w:r>
      <w:r w:rsidRPr="002E4DB5">
        <w:t xml:space="preserve"> heading</w:t>
      </w:r>
      <w:r w:rsidR="00623590">
        <w:t>,</w:t>
      </w:r>
      <w:r w:rsidRPr="002E4DB5">
        <w:t xml:space="preserve"> that a street wall be constructed on the boundary, except:</w:t>
      </w:r>
    </w:p>
    <w:p w:rsidR="00FC60DB" w:rsidRPr="00D91AD9" w:rsidRDefault="00FC60DB" w:rsidP="00FC60DB">
      <w:pPr>
        <w:pStyle w:val="PPVBullet1"/>
      </w:pPr>
      <w:r w:rsidRPr="00D91AD9">
        <w:t xml:space="preserve">in Wirraway </w:t>
      </w:r>
      <w:r>
        <w:t xml:space="preserve">and </w:t>
      </w:r>
      <w:r w:rsidRPr="00D91AD9">
        <w:rPr>
          <w:rFonts w:eastAsia="Calibri"/>
        </w:rPr>
        <w:t xml:space="preserve">Sandridge </w:t>
      </w:r>
      <w:r w:rsidRPr="00D91AD9">
        <w:t xml:space="preserve">for </w:t>
      </w:r>
      <w:r w:rsidRPr="00D91AD9">
        <w:rPr>
          <w:rFonts w:eastAsia="Calibri"/>
        </w:rPr>
        <w:t xml:space="preserve">dwellings in </w:t>
      </w:r>
      <w:r w:rsidR="00673AF0">
        <w:rPr>
          <w:rFonts w:eastAsia="Calibri"/>
        </w:rPr>
        <w:t>non-core</w:t>
      </w:r>
      <w:r w:rsidRPr="00D91AD9">
        <w:rPr>
          <w:rFonts w:eastAsia="Calibri"/>
        </w:rPr>
        <w:t xml:space="preserve"> areas not on a Secondary active frontage</w:t>
      </w:r>
    </w:p>
    <w:p w:rsidR="00FC60DB" w:rsidRPr="00D91AD9" w:rsidRDefault="00FC60DB" w:rsidP="00FC60DB">
      <w:pPr>
        <w:pStyle w:val="PPVBullet1"/>
        <w:rPr>
          <w:rFonts w:eastAsia="Calibri"/>
        </w:rPr>
      </w:pPr>
      <w:r w:rsidRPr="00D91AD9">
        <w:rPr>
          <w:rFonts w:eastAsia="Calibri"/>
        </w:rPr>
        <w:t>in Sandridge for the north east corner of Fennell and Bridge Streets.</w:t>
      </w:r>
    </w:p>
    <w:p w:rsidR="00FC60DB" w:rsidRDefault="00FC60DB" w:rsidP="00FC60DB">
      <w:pPr>
        <w:pStyle w:val="PPVBody"/>
        <w:rPr>
          <w:rFonts w:eastAsia="Calibri"/>
        </w:rPr>
      </w:pPr>
      <w:r>
        <w:t xml:space="preserve">In Wirraway, a separate control is presented several pages later under ‘Table 6: Minimum setbacks for dwellings in </w:t>
      </w:r>
      <w:r w:rsidR="00673AF0">
        <w:t>non-core</w:t>
      </w:r>
      <w:r>
        <w:t xml:space="preserve"> areas’ to apply to </w:t>
      </w:r>
      <w:r>
        <w:rPr>
          <w:rFonts w:eastAsia="Calibri"/>
        </w:rPr>
        <w:t>dwellings i</w:t>
      </w:r>
      <w:r w:rsidRPr="009B6881">
        <w:rPr>
          <w:rFonts w:eastAsia="Calibri"/>
        </w:rPr>
        <w:t xml:space="preserve">n </w:t>
      </w:r>
      <w:r w:rsidR="00673AF0">
        <w:rPr>
          <w:rFonts w:eastAsia="Calibri"/>
        </w:rPr>
        <w:t>non-core</w:t>
      </w:r>
      <w:r w:rsidRPr="009B6881">
        <w:rPr>
          <w:rFonts w:eastAsia="Calibri"/>
        </w:rPr>
        <w:t xml:space="preserve"> areas</w:t>
      </w:r>
      <w:r>
        <w:rPr>
          <w:rFonts w:eastAsia="Calibri"/>
        </w:rPr>
        <w:t xml:space="preserve"> not on a Secondary active frontage.  This is potentially confusing.  It also implies there is no discretionary street wall height for dwellings in the nominated areas.</w:t>
      </w:r>
    </w:p>
    <w:p w:rsidR="00FC60DB" w:rsidRDefault="00D137BD" w:rsidP="00FC60DB">
      <w:pPr>
        <w:pStyle w:val="PPVBody"/>
      </w:pPr>
      <w:r>
        <w:t>In preparing its track change version</w:t>
      </w:r>
      <w:r w:rsidR="00623590">
        <w:t xml:space="preserve"> of the controls,</w:t>
      </w:r>
      <w:r>
        <w:t xml:space="preserve"> the Review Panel has sought to:</w:t>
      </w:r>
    </w:p>
    <w:p w:rsidR="00FC60DB" w:rsidRDefault="00FC60DB" w:rsidP="00B93FAD">
      <w:pPr>
        <w:pStyle w:val="PPVBullet1"/>
      </w:pPr>
      <w:bookmarkStart w:id="572" w:name="_Toc518287591"/>
      <w:r>
        <w:t xml:space="preserve">consolidate street wall </w:t>
      </w:r>
      <w:r w:rsidR="00A1032C">
        <w:t xml:space="preserve">height and </w:t>
      </w:r>
      <w:r>
        <w:t>setback requirements into one set of requirements.</w:t>
      </w:r>
      <w:bookmarkEnd w:id="572"/>
    </w:p>
    <w:p w:rsidR="00FC60DB" w:rsidRDefault="00FC60DB" w:rsidP="00FC60DB">
      <w:pPr>
        <w:pStyle w:val="Heading4"/>
      </w:pPr>
      <w:r>
        <w:t>Setbacks above the street wall for laneways</w:t>
      </w:r>
    </w:p>
    <w:p w:rsidR="00FC60DB" w:rsidRDefault="00FC60DB" w:rsidP="00FC60DB">
      <w:r>
        <w:t>Melbourne submitted that t</w:t>
      </w:r>
      <w:r w:rsidRPr="00E262E9">
        <w:t xml:space="preserve">he </w:t>
      </w:r>
      <w:r>
        <w:t xml:space="preserve">Part C </w:t>
      </w:r>
      <w:r w:rsidR="00623590">
        <w:t>controls</w:t>
      </w:r>
      <w:r>
        <w:t xml:space="preserve"> have</w:t>
      </w:r>
      <w:r w:rsidRPr="00E262E9">
        <w:t xml:space="preserve"> not satisfactorily addressed the issue that arises from measuring the minimum setb</w:t>
      </w:r>
      <w:r>
        <w:t>ack requirement from the centre</w:t>
      </w:r>
      <w:r w:rsidRPr="00E262E9">
        <w:t>line of a laneway.</w:t>
      </w:r>
    </w:p>
    <w:p w:rsidR="00FC60DB" w:rsidRDefault="00FC60DB" w:rsidP="00FC60DB">
      <w:pPr>
        <w:pStyle w:val="PPVBody"/>
      </w:pPr>
      <w:r>
        <w:lastRenderedPageBreak/>
        <w:t>Port Phillip submitted u</w:t>
      </w:r>
      <w:r w:rsidRPr="00735A29">
        <w:t>pper level setbacks on lanes should be measured from t</w:t>
      </w:r>
      <w:r>
        <w:t>he facade or</w:t>
      </w:r>
      <w:r w:rsidRPr="00735A29">
        <w:t xml:space="preserve"> street wall and not the centreline of laneways.</w:t>
      </w:r>
    </w:p>
    <w:p w:rsidR="00FC60DB" w:rsidRDefault="00FC60DB" w:rsidP="00FC60DB">
      <w:pPr>
        <w:pStyle w:val="PPVBody"/>
      </w:pPr>
      <w:r>
        <w:t>Because setbacks above the street wall for laneways are measured from the centre line of the laneway a ‘negative’ setback can be required.</w:t>
      </w:r>
    </w:p>
    <w:p w:rsidR="00FC60DB" w:rsidRDefault="00D137BD" w:rsidP="00FC60DB">
      <w:pPr>
        <w:pStyle w:val="PPVBody"/>
      </w:pPr>
      <w:r>
        <w:t xml:space="preserve">In preparing its track change version </w:t>
      </w:r>
      <w:r w:rsidR="00623590">
        <w:t xml:space="preserve">of the controls, </w:t>
      </w:r>
      <w:r>
        <w:t>the Review Panel has sought to:</w:t>
      </w:r>
    </w:p>
    <w:p w:rsidR="00FC60DB" w:rsidRDefault="00FC60DB" w:rsidP="00B93FAD">
      <w:pPr>
        <w:pStyle w:val="PPVBullet1"/>
      </w:pPr>
      <w:r>
        <w:t>clarify the requirements for setbacks above the street wall for laneways.</w:t>
      </w:r>
    </w:p>
    <w:p w:rsidR="00FC60DB" w:rsidRDefault="00FC60DB" w:rsidP="00FC60DB">
      <w:pPr>
        <w:pStyle w:val="Heading4"/>
      </w:pPr>
      <w:r>
        <w:t>Interface with the West</w:t>
      </w:r>
      <w:r w:rsidR="00475975">
        <w:t xml:space="preserve"> G</w:t>
      </w:r>
      <w:r>
        <w:t>ate Freeway</w:t>
      </w:r>
    </w:p>
    <w:p w:rsidR="00FC60DB" w:rsidRDefault="00623590" w:rsidP="00FC60DB">
      <w:pPr>
        <w:pStyle w:val="PPVBody"/>
      </w:pPr>
      <w:r>
        <w:t>Some T</w:t>
      </w:r>
      <w:r w:rsidR="00FC60DB" w:rsidRPr="00977B19">
        <w:t>able</w:t>
      </w:r>
      <w:r w:rsidR="00FC60DB">
        <w:t>s</w:t>
      </w:r>
      <w:r w:rsidR="00FC60DB" w:rsidRPr="00977B19">
        <w:t xml:space="preserve"> include </w:t>
      </w:r>
      <w:r w:rsidR="00FC60DB">
        <w:t xml:space="preserve">a different setback that applies </w:t>
      </w:r>
      <w:r w:rsidR="00FC60DB" w:rsidRPr="00977B19">
        <w:rPr>
          <w:i/>
        </w:rPr>
        <w:t>“where the building has direct interface with the West</w:t>
      </w:r>
      <w:r w:rsidR="00475975">
        <w:rPr>
          <w:i/>
        </w:rPr>
        <w:t xml:space="preserve"> G</w:t>
      </w:r>
      <w:r w:rsidR="00FC60DB" w:rsidRPr="00977B19">
        <w:rPr>
          <w:i/>
        </w:rPr>
        <w:t>ate Freeway”</w:t>
      </w:r>
      <w:r>
        <w:t xml:space="preserve">.  As </w:t>
      </w:r>
      <w:r w:rsidR="00FC60DB" w:rsidRPr="00977B19">
        <w:t>Port Phillip point</w:t>
      </w:r>
      <w:r>
        <w:t>ed</w:t>
      </w:r>
      <w:r w:rsidR="00FC60DB" w:rsidRPr="00977B19">
        <w:t xml:space="preserve"> out</w:t>
      </w:r>
      <w:r>
        <w:t>,</w:t>
      </w:r>
      <w:r w:rsidR="00FC60DB" w:rsidRPr="00977B19">
        <w:t xml:space="preserve"> this wording and </w:t>
      </w:r>
      <w:r w:rsidR="00FC60DB">
        <w:t xml:space="preserve">the associated diagram </w:t>
      </w:r>
      <w:r w:rsidR="00FC60DB" w:rsidRPr="00977B19">
        <w:t xml:space="preserve">implies that the upper level setback only applies where the building directly abuts the freeway, city link or tram corridor. </w:t>
      </w:r>
      <w:r w:rsidR="00FC60DB">
        <w:t xml:space="preserve"> </w:t>
      </w:r>
      <w:r w:rsidR="00FC60DB" w:rsidRPr="00977B19">
        <w:t xml:space="preserve">Therefore, this requirement only applies to side and rear setbacks, not setbacks above the street wall. </w:t>
      </w:r>
      <w:r w:rsidR="00FC60DB">
        <w:t xml:space="preserve"> The Review Panel agrees that this needs to be clarified</w:t>
      </w:r>
      <w:r w:rsidR="00FC60DB" w:rsidRPr="00977B19">
        <w:t>.</w:t>
      </w:r>
    </w:p>
    <w:p w:rsidR="00FC60DB" w:rsidRDefault="00D137BD" w:rsidP="00FC60DB">
      <w:pPr>
        <w:pStyle w:val="PPVBody"/>
      </w:pPr>
      <w:r>
        <w:t>In preparing its track change version</w:t>
      </w:r>
      <w:r w:rsidR="00623590">
        <w:t xml:space="preserve"> of the controls,</w:t>
      </w:r>
      <w:r>
        <w:t xml:space="preserve"> the Review Panel has sought to:</w:t>
      </w:r>
    </w:p>
    <w:p w:rsidR="00FC60DB" w:rsidRDefault="00FC60DB" w:rsidP="00B93FAD">
      <w:pPr>
        <w:pStyle w:val="PPVBullet1"/>
      </w:pPr>
      <w:r>
        <w:t>clarify th</w:t>
      </w:r>
      <w:r w:rsidRPr="00B93FAD">
        <w:rPr>
          <w:rStyle w:val="PPVBullet1Char"/>
        </w:rPr>
        <w:t>e</w:t>
      </w:r>
      <w:r>
        <w:t xml:space="preserve"> requirements for setbacks above the street wall for development fronting a street that runs beside the West</w:t>
      </w:r>
      <w:r w:rsidR="00475975">
        <w:t xml:space="preserve"> G</w:t>
      </w:r>
      <w:r>
        <w:t>ate Freeway, and other nominated transport corridors.</w:t>
      </w:r>
    </w:p>
    <w:p w:rsidR="00FC60DB" w:rsidRDefault="00FC60DB" w:rsidP="00FC60DB">
      <w:pPr>
        <w:pStyle w:val="Heading4"/>
      </w:pPr>
      <w:r>
        <w:t>What happens when half a new street is built?</w:t>
      </w:r>
    </w:p>
    <w:p w:rsidR="00FC60DB" w:rsidRDefault="00FC60DB" w:rsidP="00FC60DB">
      <w:pPr>
        <w:pStyle w:val="PPVBody"/>
      </w:pPr>
      <w:r>
        <w:t>A number of the controls specify street wall heights and setbacks in reference to street width.  The terms ‘Laneway’ and ‘Street’ a</w:t>
      </w:r>
      <w:r w:rsidR="00A1032C">
        <w:t>re</w:t>
      </w:r>
      <w:r>
        <w:t xml:space="preserve"> defined in terms of road reserves:</w:t>
      </w:r>
    </w:p>
    <w:p w:rsidR="00FC60DB" w:rsidRPr="006D29F2" w:rsidRDefault="00FC60DB" w:rsidP="00FC60DB">
      <w:pPr>
        <w:pStyle w:val="PPVQuote"/>
      </w:pPr>
      <w:r>
        <w:t>‘</w:t>
      </w:r>
      <w:r w:rsidRPr="006D29F2">
        <w:t>Laneway</w:t>
      </w:r>
      <w:r>
        <w:t>’</w:t>
      </w:r>
      <w:r w:rsidRPr="006D29F2">
        <w:t xml:space="preserve"> means a road reserve of 9 metres or less in width.</w:t>
      </w:r>
    </w:p>
    <w:p w:rsidR="00D76261" w:rsidRDefault="00FC60DB" w:rsidP="00FC60DB">
      <w:pPr>
        <w:pStyle w:val="PPVQuote"/>
      </w:pPr>
      <w:r>
        <w:t>‘</w:t>
      </w:r>
      <w:r w:rsidRPr="006D29F2">
        <w:t>Street</w:t>
      </w:r>
      <w:r>
        <w:t>’</w:t>
      </w:r>
      <w:r w:rsidRPr="006D29F2">
        <w:t xml:space="preserve"> means a road reserve of greater than 9 metres in width.</w:t>
      </w:r>
    </w:p>
    <w:p w:rsidR="00FC60DB" w:rsidRDefault="00FC60DB" w:rsidP="00FC60DB">
      <w:pPr>
        <w:pStyle w:val="PPVBody"/>
      </w:pPr>
      <w:r>
        <w:t>During the development of Fishermans Bend it is conceivable that:</w:t>
      </w:r>
    </w:p>
    <w:p w:rsidR="00FC60DB" w:rsidRDefault="00FC60DB" w:rsidP="00FC60DB">
      <w:pPr>
        <w:pStyle w:val="PPVBullet1"/>
      </w:pPr>
      <w:r>
        <w:t xml:space="preserve">only half the width of new streets will be constructed as part of development </w:t>
      </w:r>
      <w:r w:rsidR="00623590">
        <w:t xml:space="preserve">in the first instance, </w:t>
      </w:r>
      <w:r>
        <w:t>raising the issue as to what street width applies</w:t>
      </w:r>
    </w:p>
    <w:p w:rsidR="00FC60DB" w:rsidRPr="00756D59" w:rsidRDefault="00FC60DB" w:rsidP="00FC60DB">
      <w:pPr>
        <w:pStyle w:val="PPVBullet1"/>
      </w:pPr>
      <w:r>
        <w:t xml:space="preserve">some streets or laneways will be retained as private roads and therefore not have a ‘road reserve’ in any legal sense – the Review Panel notes that the VPP defines </w:t>
      </w:r>
      <w:r w:rsidRPr="00756D59">
        <w:t>‘street reserve’.</w:t>
      </w:r>
    </w:p>
    <w:p w:rsidR="00785416" w:rsidRDefault="00F70663" w:rsidP="00F70663">
      <w:pPr>
        <w:pStyle w:val="PPVBody"/>
      </w:pPr>
      <w:r w:rsidRPr="00756D59">
        <w:t>The controls need to be clear that it is the proposed width of the final street that drives the street wall and setback requirements, and this applies independent of the precise legal status of the street.</w:t>
      </w:r>
    </w:p>
    <w:p w:rsidR="00FC60DB" w:rsidRPr="00756D59" w:rsidRDefault="00D137BD" w:rsidP="00FC60DB">
      <w:pPr>
        <w:pStyle w:val="PPVBody"/>
      </w:pPr>
      <w:r w:rsidRPr="00756D59">
        <w:t>In preparing its track change version</w:t>
      </w:r>
      <w:r w:rsidR="00623590" w:rsidRPr="00756D59">
        <w:t xml:space="preserve"> of the controls,</w:t>
      </w:r>
      <w:r w:rsidRPr="00756D59">
        <w:t xml:space="preserve"> the Review Panel has sought to:</w:t>
      </w:r>
    </w:p>
    <w:p w:rsidR="00FC60DB" w:rsidRPr="00756D59" w:rsidRDefault="00FC60DB" w:rsidP="00B93FAD">
      <w:pPr>
        <w:pStyle w:val="PPVBullet1"/>
      </w:pPr>
      <w:bookmarkStart w:id="573" w:name="_Toc518287592"/>
      <w:r w:rsidRPr="00756D59">
        <w:t>make it clear that when half a street is delivered as part of a development</w:t>
      </w:r>
      <w:r w:rsidR="00475975" w:rsidRPr="00756D59">
        <w:t>,</w:t>
      </w:r>
      <w:r w:rsidRPr="00756D59">
        <w:t xml:space="preserve"> requirements for street walls and setbacks should be based on the proposed total width of the new street</w:t>
      </w:r>
      <w:bookmarkEnd w:id="573"/>
    </w:p>
    <w:p w:rsidR="00FC60DB" w:rsidRDefault="00FC60DB" w:rsidP="00B93FAD">
      <w:pPr>
        <w:pStyle w:val="PPVBullet1"/>
      </w:pPr>
      <w:bookmarkStart w:id="574" w:name="_Toc518287593"/>
      <w:r w:rsidRPr="00756D59">
        <w:t>make it clear that setback requirements</w:t>
      </w:r>
      <w:r>
        <w:t xml:space="preserve"> apply when the street or laneway is publicly accessible</w:t>
      </w:r>
      <w:r w:rsidR="00A1032C">
        <w:t>,</w:t>
      </w:r>
      <w:r>
        <w:t xml:space="preserve"> whether or not it is a public road or private street.</w:t>
      </w:r>
      <w:bookmarkEnd w:id="574"/>
    </w:p>
    <w:p w:rsidR="00FC60DB" w:rsidRPr="00BF6112" w:rsidRDefault="00623590" w:rsidP="00FC60DB">
      <w:pPr>
        <w:pStyle w:val="Heading4"/>
        <w:rPr>
          <w:rFonts w:eastAsia="Calibri"/>
        </w:rPr>
      </w:pPr>
      <w:r>
        <w:rPr>
          <w:rFonts w:eastAsia="Calibri"/>
        </w:rPr>
        <w:t>Singular and plural references</w:t>
      </w:r>
    </w:p>
    <w:p w:rsidR="00FC60DB" w:rsidRDefault="00FC60DB" w:rsidP="00FC60DB">
      <w:pPr>
        <w:pStyle w:val="PPVBody"/>
        <w:rPr>
          <w:rFonts w:eastAsia="Calibri"/>
        </w:rPr>
      </w:pPr>
      <w:r>
        <w:rPr>
          <w:rFonts w:eastAsia="Calibri"/>
        </w:rPr>
        <w:t xml:space="preserve">A number of controls, for example Montague </w:t>
      </w:r>
      <w:r w:rsidR="00A1032C">
        <w:rPr>
          <w:rFonts w:eastAsia="Calibri"/>
        </w:rPr>
        <w:t xml:space="preserve">DDO </w:t>
      </w:r>
      <w:r>
        <w:rPr>
          <w:rFonts w:eastAsia="Calibri"/>
        </w:rPr>
        <w:t>Table 3</w:t>
      </w:r>
      <w:r w:rsidR="00A1032C">
        <w:rPr>
          <w:rFonts w:eastAsia="Calibri"/>
        </w:rPr>
        <w:t>,</w:t>
      </w:r>
      <w:r>
        <w:rPr>
          <w:rFonts w:eastAsia="Calibri"/>
        </w:rPr>
        <w:t xml:space="preserve"> specify a street wall height but include the condition “</w:t>
      </w:r>
      <w:r w:rsidRPr="004163BE">
        <w:rPr>
          <w:i/>
        </w:rPr>
        <w:t xml:space="preserve">except where a lower height is necessary to respond to adjoining </w:t>
      </w:r>
      <w:r w:rsidRPr="004163BE">
        <w:rPr>
          <w:i/>
        </w:rPr>
        <w:lastRenderedPageBreak/>
        <w:t>heritage places</w:t>
      </w:r>
      <w:r>
        <w:t>”.  Leaving aside the vagueness of what height might be required, the control introduce</w:t>
      </w:r>
      <w:r w:rsidR="00A1032C">
        <w:t>s</w:t>
      </w:r>
      <w:r>
        <w:t xml:space="preserve"> additional room for confusion by referring to heritage places in the plural.  This raise</w:t>
      </w:r>
      <w:r w:rsidR="00475975">
        <w:t>s</w:t>
      </w:r>
      <w:r>
        <w:t xml:space="preserve"> the question of whether this requirement applies if there is just one heritage place ‘adjoining’.</w:t>
      </w:r>
    </w:p>
    <w:p w:rsidR="00FC60DB" w:rsidRDefault="00D137BD" w:rsidP="00FC60DB">
      <w:pPr>
        <w:pStyle w:val="PPVBody"/>
      </w:pPr>
      <w:r>
        <w:t>In preparing its track change version</w:t>
      </w:r>
      <w:r w:rsidR="00623590">
        <w:t xml:space="preserve"> of the controls,</w:t>
      </w:r>
      <w:r>
        <w:t xml:space="preserve"> the Review Panel has sought to:</w:t>
      </w:r>
    </w:p>
    <w:p w:rsidR="00FC60DB" w:rsidRDefault="00FC60DB" w:rsidP="00B93FAD">
      <w:pPr>
        <w:pStyle w:val="PPVBullet1"/>
      </w:pPr>
      <w:bookmarkStart w:id="575" w:name="_Toc518287594"/>
      <w:r>
        <w:t>use the singular rather than the plural in controls.</w:t>
      </w:r>
      <w:bookmarkEnd w:id="575"/>
    </w:p>
    <w:p w:rsidR="00FC60DB" w:rsidRDefault="00FC60DB" w:rsidP="00FC60DB">
      <w:pPr>
        <w:pStyle w:val="Heading4"/>
      </w:pPr>
      <w:r>
        <w:t>Overshadowing and street wall height</w:t>
      </w:r>
    </w:p>
    <w:p w:rsidR="00A1032C" w:rsidRDefault="00A1032C" w:rsidP="00A1032C">
      <w:pPr>
        <w:pStyle w:val="PPVBody"/>
      </w:pPr>
      <w:r>
        <w:t>The overshadowing controls state:</w:t>
      </w:r>
    </w:p>
    <w:p w:rsidR="00A1032C" w:rsidRDefault="00A1032C" w:rsidP="00A1032C">
      <w:pPr>
        <w:pStyle w:val="PPVQuote"/>
      </w:pPr>
      <w:r w:rsidRPr="00776F2D">
        <w:t>Buildings and works must not cast any additional shadow above the maximum street wall</w:t>
      </w:r>
      <w:r>
        <w:t xml:space="preserve"> …</w:t>
      </w:r>
    </w:p>
    <w:p w:rsidR="00785416" w:rsidRDefault="00A1032C" w:rsidP="00A1032C">
      <w:pPr>
        <w:pStyle w:val="PPVBody"/>
      </w:pPr>
      <w:r>
        <w:t>The Review Panel understands that the intent is that shadows are permitted to the extent that they would be cast by the hypothetical street wall if built to the maximum allowable height, rather than the actual street wall (which may be lower than the maximum permitted).</w:t>
      </w:r>
    </w:p>
    <w:p w:rsidR="00A1032C" w:rsidRDefault="00A1032C" w:rsidP="00A1032C">
      <w:pPr>
        <w:pStyle w:val="PPVBody"/>
      </w:pPr>
      <w:r>
        <w:t>Street walls are specified in storeys in the Part C version of the controls.  The requirements in storeys need to be converted into metres in order to map the extent of shadow.  The control needs to be clear on how to treat the architectural features that can extend above the specified height.</w:t>
      </w:r>
    </w:p>
    <w:p w:rsidR="00A1032C" w:rsidRDefault="00A1032C" w:rsidP="00A1032C">
      <w:pPr>
        <w:pStyle w:val="PPVBody"/>
      </w:pPr>
      <w:r>
        <w:t>In preparing its track change version of the controls, the Review Panel has sought to:</w:t>
      </w:r>
    </w:p>
    <w:p w:rsidR="00A1032C" w:rsidRDefault="00A1032C" w:rsidP="00A1032C">
      <w:pPr>
        <w:pStyle w:val="PPVBullet1"/>
      </w:pPr>
      <w:r>
        <w:t>clarify that shadows are permitted to the extent that they would be cast by a hypothetical building with the maximum allowable height (rather than the actual street wall on the building)</w:t>
      </w:r>
    </w:p>
    <w:p w:rsidR="00A1032C" w:rsidRDefault="00A1032C" w:rsidP="00A1032C">
      <w:pPr>
        <w:pStyle w:val="PPVBullet1"/>
      </w:pPr>
      <w:r>
        <w:t>provide explicit guidance on how to convert street wall height expressed in storeys into metres for the overshadowing controls.</w:t>
      </w:r>
    </w:p>
    <w:p w:rsidR="00FC60DB" w:rsidRDefault="00FC60DB" w:rsidP="00DD6314">
      <w:pPr>
        <w:pStyle w:val="Heading2"/>
      </w:pPr>
      <w:bookmarkStart w:id="576" w:name="_Toc518402924"/>
      <w:bookmarkStart w:id="577" w:name="_Toc519710335"/>
      <w:bookmarkStart w:id="578" w:name="_Toc519766895"/>
      <w:r>
        <w:t>Plans and diagrams</w:t>
      </w:r>
      <w:bookmarkEnd w:id="576"/>
      <w:bookmarkEnd w:id="577"/>
      <w:bookmarkEnd w:id="578"/>
    </w:p>
    <w:p w:rsidR="00FC60DB" w:rsidRDefault="00FC60DB" w:rsidP="00FC60DB">
      <w:pPr>
        <w:pStyle w:val="Heading4"/>
      </w:pPr>
      <w:r>
        <w:t>Is a structure plan needed?</w:t>
      </w:r>
    </w:p>
    <w:p w:rsidR="00FC60DB" w:rsidRDefault="00FC60DB" w:rsidP="00FC60DB">
      <w:pPr>
        <w:pStyle w:val="PPVBody"/>
      </w:pPr>
      <w:r>
        <w:t>The Part C controls propose the following plans:</w:t>
      </w:r>
    </w:p>
    <w:p w:rsidR="00FC60DB" w:rsidRPr="00085EF8" w:rsidRDefault="00FC60DB" w:rsidP="00FC60DB">
      <w:pPr>
        <w:pStyle w:val="PPVBullet1"/>
      </w:pPr>
      <w:r w:rsidRPr="00085EF8">
        <w:t>M</w:t>
      </w:r>
      <w:r w:rsidR="00756D59">
        <w:t xml:space="preserve">unicipal Strategic </w:t>
      </w:r>
      <w:r w:rsidRPr="00085EF8">
        <w:t>S</w:t>
      </w:r>
      <w:r w:rsidR="00756D59">
        <w:t>tatement</w:t>
      </w:r>
    </w:p>
    <w:p w:rsidR="00FC60DB" w:rsidRPr="00094DE9" w:rsidRDefault="00FC60DB" w:rsidP="000947CB">
      <w:pPr>
        <w:pStyle w:val="PPVBullet2"/>
        <w:numPr>
          <w:ilvl w:val="0"/>
          <w:numId w:val="14"/>
        </w:numPr>
        <w:ind w:left="1276" w:hanging="425"/>
      </w:pPr>
      <w:r w:rsidRPr="00094DE9">
        <w:t>Fishermans Bend Urban Renewal Area showing the area in context</w:t>
      </w:r>
    </w:p>
    <w:p w:rsidR="00FC60DB" w:rsidRPr="00094DE9" w:rsidRDefault="00FC60DB" w:rsidP="000947CB">
      <w:pPr>
        <w:pStyle w:val="PPVBullet2"/>
        <w:numPr>
          <w:ilvl w:val="0"/>
          <w:numId w:val="14"/>
        </w:numPr>
        <w:ind w:left="1276" w:hanging="425"/>
      </w:pPr>
      <w:r>
        <w:t>Sub</w:t>
      </w:r>
      <w:r w:rsidR="006236F3">
        <w:t>precincts</w:t>
      </w:r>
      <w:r w:rsidRPr="00094DE9">
        <w:t xml:space="preserve"> plan</w:t>
      </w:r>
    </w:p>
    <w:p w:rsidR="00FC60DB" w:rsidRPr="00363F3F" w:rsidRDefault="00FC60DB" w:rsidP="000947CB">
      <w:pPr>
        <w:pStyle w:val="PPVBullet2"/>
        <w:numPr>
          <w:ilvl w:val="0"/>
          <w:numId w:val="14"/>
        </w:numPr>
        <w:ind w:left="1276" w:hanging="425"/>
      </w:pPr>
      <w:r w:rsidRPr="00363F3F">
        <w:t xml:space="preserve">Community Investigation Areas showing locations for Sport and recreation, </w:t>
      </w:r>
      <w:r w:rsidR="00465059">
        <w:t xml:space="preserve">Health and wellbeing, </w:t>
      </w:r>
      <w:r w:rsidRPr="00363F3F">
        <w:t>Arts and cultural</w:t>
      </w:r>
      <w:r w:rsidR="00465059">
        <w:t>,</w:t>
      </w:r>
      <w:r w:rsidRPr="00363F3F">
        <w:t xml:space="preserve"> and Education hubs.</w:t>
      </w:r>
    </w:p>
    <w:p w:rsidR="00785416" w:rsidRDefault="00756D59" w:rsidP="00FC60DB">
      <w:pPr>
        <w:pStyle w:val="PPVBullet1"/>
      </w:pPr>
      <w:r>
        <w:t>C</w:t>
      </w:r>
      <w:r w:rsidR="00F34EE4">
        <w:t>apital City Zone</w:t>
      </w:r>
    </w:p>
    <w:p w:rsidR="00FC60DB" w:rsidRDefault="00FC60DB" w:rsidP="000947CB">
      <w:pPr>
        <w:pStyle w:val="PPVBullet2"/>
        <w:numPr>
          <w:ilvl w:val="0"/>
          <w:numId w:val="14"/>
        </w:numPr>
        <w:ind w:left="1276" w:hanging="425"/>
      </w:pPr>
      <w:r>
        <w:t xml:space="preserve">Urban </w:t>
      </w:r>
      <w:r w:rsidR="00A1032C">
        <w:t>s</w:t>
      </w:r>
      <w:r>
        <w:t>tructure plans</w:t>
      </w:r>
    </w:p>
    <w:p w:rsidR="00785416" w:rsidRDefault="00756D59" w:rsidP="00FC60DB">
      <w:pPr>
        <w:pStyle w:val="PPVBullet1"/>
      </w:pPr>
      <w:r>
        <w:t>Design and Development Overlay</w:t>
      </w:r>
    </w:p>
    <w:p w:rsidR="00FC60DB" w:rsidRPr="00B35CBA" w:rsidRDefault="00FC60DB" w:rsidP="000947CB">
      <w:pPr>
        <w:pStyle w:val="PPVBullet2"/>
        <w:numPr>
          <w:ilvl w:val="0"/>
          <w:numId w:val="14"/>
        </w:numPr>
        <w:ind w:left="1276" w:hanging="425"/>
      </w:pPr>
      <w:r w:rsidRPr="00B35CBA">
        <w:t>Building typologies</w:t>
      </w:r>
    </w:p>
    <w:p w:rsidR="00FC60DB" w:rsidRPr="00B35CBA" w:rsidRDefault="00FC60DB" w:rsidP="000947CB">
      <w:pPr>
        <w:pStyle w:val="PPVBullet2"/>
        <w:numPr>
          <w:ilvl w:val="0"/>
          <w:numId w:val="14"/>
        </w:numPr>
        <w:ind w:left="1276" w:hanging="425"/>
      </w:pPr>
      <w:r w:rsidRPr="00B35CBA">
        <w:t>Building heights also showing Core area and exi</w:t>
      </w:r>
      <w:r>
        <w:t>sting and new public open space</w:t>
      </w:r>
    </w:p>
    <w:p w:rsidR="00FC60DB" w:rsidRPr="00B35CBA" w:rsidRDefault="00FC60DB" w:rsidP="000947CB">
      <w:pPr>
        <w:pStyle w:val="PPVBullet2"/>
        <w:numPr>
          <w:ilvl w:val="0"/>
          <w:numId w:val="14"/>
        </w:numPr>
        <w:ind w:left="1276" w:hanging="425"/>
      </w:pPr>
      <w:r w:rsidRPr="00B35CBA">
        <w:t xml:space="preserve">Active street frontages also showing </w:t>
      </w:r>
      <w:r>
        <w:t xml:space="preserve">new streets and </w:t>
      </w:r>
      <w:r w:rsidRPr="00B35CBA">
        <w:t>indicative new laneways</w:t>
      </w:r>
    </w:p>
    <w:p w:rsidR="00FC60DB" w:rsidRDefault="00FC60DB" w:rsidP="000947CB">
      <w:pPr>
        <w:pStyle w:val="PPVBullet2"/>
        <w:numPr>
          <w:ilvl w:val="0"/>
          <w:numId w:val="14"/>
        </w:numPr>
        <w:ind w:left="1276" w:hanging="425"/>
      </w:pPr>
      <w:r w:rsidRPr="00B35CBA">
        <w:t>Overshadowing</w:t>
      </w:r>
    </w:p>
    <w:p w:rsidR="00FC60DB" w:rsidRDefault="00FC60DB" w:rsidP="00FC60DB">
      <w:pPr>
        <w:pStyle w:val="PPVBody"/>
      </w:pPr>
      <w:r>
        <w:t xml:space="preserve">Port Phillip submitted that </w:t>
      </w:r>
      <w:r w:rsidR="00A1032C">
        <w:t>s</w:t>
      </w:r>
      <w:r>
        <w:t xml:space="preserve">tructure </w:t>
      </w:r>
      <w:r w:rsidR="00A1032C">
        <w:t>p</w:t>
      </w:r>
      <w:r>
        <w:t>lans were needed, and provided its interpretation of what these would entail</w:t>
      </w:r>
      <w:r w:rsidR="00A1032C">
        <w:t>.</w:t>
      </w:r>
    </w:p>
    <w:p w:rsidR="00FC60DB" w:rsidRDefault="00FC60DB" w:rsidP="00FC60DB">
      <w:pPr>
        <w:pStyle w:val="PPVBody"/>
      </w:pPr>
      <w:r>
        <w:lastRenderedPageBreak/>
        <w:t xml:space="preserve">The Review Panel agrees that the controls </w:t>
      </w:r>
      <w:r w:rsidR="00623590">
        <w:t xml:space="preserve">would be </w:t>
      </w:r>
      <w:r>
        <w:t>improved by the pre</w:t>
      </w:r>
      <w:r w:rsidR="00F70663">
        <w:t>paration</w:t>
      </w:r>
      <w:r>
        <w:t xml:space="preserve"> of </w:t>
      </w:r>
      <w:r w:rsidR="00EE531A">
        <w:t>s</w:t>
      </w:r>
      <w:r w:rsidR="00F70663">
        <w:t xml:space="preserve">tructure </w:t>
      </w:r>
      <w:r w:rsidR="00EE531A">
        <w:t>p</w:t>
      </w:r>
      <w:r w:rsidR="00F70663">
        <w:t>lans</w:t>
      </w:r>
      <w:r>
        <w:t>.  The key issue is whether these plans should be in the local area section of the MSS or in the CCZ.</w:t>
      </w:r>
      <w:r w:rsidR="00A1032C">
        <w:t xml:space="preserve">  The Review Panel accepts the inclusion of the structure plans in the CCZ, but their inclusion in the MSS should be contemplated once </w:t>
      </w:r>
      <w:r w:rsidR="00FC563B">
        <w:t>Precinct Plans</w:t>
      </w:r>
      <w:r w:rsidR="00A1032C">
        <w:t xml:space="preserve"> are completed.</w:t>
      </w:r>
    </w:p>
    <w:p w:rsidR="00FC60DB" w:rsidRDefault="00FC60DB" w:rsidP="00FC60DB">
      <w:pPr>
        <w:pStyle w:val="Heading4"/>
      </w:pPr>
      <w:r>
        <w:t>Details on the plans</w:t>
      </w:r>
    </w:p>
    <w:p w:rsidR="00FC60DB" w:rsidRDefault="00FC60DB" w:rsidP="00FC60DB">
      <w:pPr>
        <w:pStyle w:val="PPVBody"/>
      </w:pPr>
      <w:r>
        <w:t>During the course of the Hearing it was clear that:</w:t>
      </w:r>
    </w:p>
    <w:p w:rsidR="00FC60DB" w:rsidRDefault="00FC60DB" w:rsidP="00FC60DB">
      <w:pPr>
        <w:pStyle w:val="PPVBullet1"/>
      </w:pPr>
      <w:r>
        <w:t>there were a number of inconsistencies between the CCZ plans and DDO plans</w:t>
      </w:r>
    </w:p>
    <w:p w:rsidR="00FC60DB" w:rsidRDefault="00FC60DB" w:rsidP="00FC60DB">
      <w:pPr>
        <w:pStyle w:val="PPVBullet1"/>
      </w:pPr>
      <w:r>
        <w:t>the resolution of the printed plans made interpretation difficult at times</w:t>
      </w:r>
      <w:r w:rsidR="00623590">
        <w:t>.</w:t>
      </w:r>
    </w:p>
    <w:p w:rsidR="00FC60DB" w:rsidRDefault="00FC60DB" w:rsidP="00FC60DB">
      <w:pPr>
        <w:pStyle w:val="PPVBody"/>
        <w:rPr>
          <w:rFonts w:eastAsia="Times"/>
        </w:rPr>
      </w:pPr>
      <w:bookmarkStart w:id="579" w:name="_Toc435709430"/>
      <w:bookmarkStart w:id="580" w:name="_Toc323882646"/>
      <w:bookmarkStart w:id="581" w:name="_Toc450215906"/>
      <w:bookmarkStart w:id="582" w:name="_Toc450216908"/>
      <w:bookmarkStart w:id="583" w:name="_Toc450221659"/>
      <w:bookmarkStart w:id="584" w:name="_Toc450564220"/>
      <w:bookmarkStart w:id="585" w:name="_Toc450573583"/>
      <w:bookmarkStart w:id="586" w:name="_Toc450577858"/>
      <w:bookmarkStart w:id="587" w:name="_Toc451427644"/>
      <w:bookmarkStart w:id="588" w:name="_Toc469902774"/>
      <w:bookmarkStart w:id="589" w:name="_Toc477790397"/>
      <w:bookmarkStart w:id="590" w:name="_Toc477963901"/>
      <w:bookmarkStart w:id="591" w:name="_Toc479760232"/>
      <w:r>
        <w:t xml:space="preserve">In planning schemes </w:t>
      </w:r>
      <w:r>
        <w:rPr>
          <w:rFonts w:eastAsia="Times"/>
        </w:rPr>
        <w:t>t</w:t>
      </w:r>
      <w:r w:rsidRPr="006237DE">
        <w:rPr>
          <w:rFonts w:eastAsia="Times"/>
        </w:rPr>
        <w:t xml:space="preserve">he image </w:t>
      </w:r>
      <w:r>
        <w:rPr>
          <w:rFonts w:eastAsia="Times"/>
        </w:rPr>
        <w:t xml:space="preserve">must have </w:t>
      </w:r>
      <w:r w:rsidRPr="006237DE">
        <w:rPr>
          <w:rFonts w:eastAsia="Times"/>
        </w:rPr>
        <w:t>a maximum file size of 3</w:t>
      </w:r>
      <w:r>
        <w:rPr>
          <w:rFonts w:eastAsia="Times"/>
        </w:rPr>
        <w:t>,000</w:t>
      </w:r>
      <w:r w:rsidRPr="006237DE">
        <w:rPr>
          <w:rFonts w:eastAsia="Times"/>
        </w:rPr>
        <w:t xml:space="preserve"> kilobyte</w:t>
      </w:r>
      <w:r w:rsidR="00623590">
        <w:rPr>
          <w:rFonts w:eastAsia="Times"/>
        </w:rPr>
        <w:t>s and 300 pixels per inch</w:t>
      </w:r>
      <w:r>
        <w:rPr>
          <w:rFonts w:eastAsia="Times"/>
        </w:rPr>
        <w:t>.  This, coupled with the way Microsoft word treats pdf files, can make detailed maps hard to interpret.</w:t>
      </w:r>
    </w:p>
    <w:bookmarkEnd w:id="579"/>
    <w:bookmarkEnd w:id="580"/>
    <w:bookmarkEnd w:id="581"/>
    <w:bookmarkEnd w:id="582"/>
    <w:bookmarkEnd w:id="583"/>
    <w:bookmarkEnd w:id="584"/>
    <w:bookmarkEnd w:id="585"/>
    <w:bookmarkEnd w:id="586"/>
    <w:bookmarkEnd w:id="587"/>
    <w:bookmarkEnd w:id="588"/>
    <w:bookmarkEnd w:id="589"/>
    <w:bookmarkEnd w:id="590"/>
    <w:bookmarkEnd w:id="591"/>
    <w:p w:rsidR="00FC60DB" w:rsidRDefault="00FC60DB" w:rsidP="00FC60DB">
      <w:pPr>
        <w:pStyle w:val="PPVBody"/>
      </w:pPr>
      <w:r w:rsidRPr="00AC4AD1">
        <w:t xml:space="preserve">Some </w:t>
      </w:r>
      <w:r w:rsidR="00576336">
        <w:t>c</w:t>
      </w:r>
      <w:r w:rsidRPr="00AC4AD1">
        <w:t xml:space="preserve">ouncils </w:t>
      </w:r>
      <w:r>
        <w:t>adopt</w:t>
      </w:r>
      <w:r w:rsidRPr="00AC4AD1">
        <w:t xml:space="preserve"> an approach whereby a geographic information system (GIS) or CAD ‘model’ </w:t>
      </w:r>
      <w:r>
        <w:t>is</w:t>
      </w:r>
      <w:r w:rsidRPr="00AC4AD1">
        <w:t xml:space="preserve"> developed that includes all the relevant information in one file. </w:t>
      </w:r>
      <w:r>
        <w:t xml:space="preserve"> In such an approach different</w:t>
      </w:r>
      <w:r w:rsidRPr="00AC4AD1">
        <w:t xml:space="preserve"> plan</w:t>
      </w:r>
      <w:r>
        <w:t>s</w:t>
      </w:r>
      <w:r w:rsidR="00F70663">
        <w:t xml:space="preserve"> map</w:t>
      </w:r>
      <w:r w:rsidRPr="00AC4AD1">
        <w:t xml:space="preserve"> different ‘views’ </w:t>
      </w:r>
      <w:r w:rsidR="00A1032C">
        <w:t xml:space="preserve">or layers </w:t>
      </w:r>
      <w:r w:rsidRPr="00AC4AD1">
        <w:t xml:space="preserve">of this one model or database. </w:t>
      </w:r>
      <w:r>
        <w:t xml:space="preserve"> </w:t>
      </w:r>
      <w:r w:rsidRPr="00AC4AD1">
        <w:t xml:space="preserve">This ensures consistency between </w:t>
      </w:r>
      <w:r>
        <w:t>plans</w:t>
      </w:r>
      <w:r w:rsidRPr="00AC4AD1">
        <w:t>.</w:t>
      </w:r>
      <w:r>
        <w:t xml:space="preserve">  It also has the advantage that plans can be integrated at a large scale to determine boundaries.</w:t>
      </w:r>
    </w:p>
    <w:p w:rsidR="00FC60DB" w:rsidRPr="00AC4AD1" w:rsidRDefault="00FC60DB" w:rsidP="00FC60DB">
      <w:pPr>
        <w:pStyle w:val="PPVBody"/>
      </w:pPr>
      <w:r>
        <w:t>Given the detail on the various plans the Review Panel thinks there would be merit in formally incorporating a ‘map book’ for Fishermans Bend to present the various plans at a better resolution.</w:t>
      </w:r>
    </w:p>
    <w:p w:rsidR="00FC60DB" w:rsidRDefault="00FC60DB" w:rsidP="00FC60DB">
      <w:pPr>
        <w:pStyle w:val="Heading4"/>
      </w:pPr>
      <w:r>
        <w:t xml:space="preserve">Use of </w:t>
      </w:r>
      <w:r w:rsidRPr="0036552D">
        <w:t>diagrams</w:t>
      </w:r>
    </w:p>
    <w:p w:rsidR="00623590" w:rsidRPr="00B27033" w:rsidRDefault="00623590" w:rsidP="00623590">
      <w:pPr>
        <w:pStyle w:val="PPVBody"/>
      </w:pPr>
      <w:r>
        <w:t>The Part C DDOs include diagrams to illustrate setback requirements.  Submitters and</w:t>
      </w:r>
      <w:r w:rsidR="00094AA5">
        <w:t xml:space="preserve"> </w:t>
      </w:r>
      <w:r>
        <w:t>the Review Panel have identified a number of issues with these diagrams:</w:t>
      </w:r>
    </w:p>
    <w:p w:rsidR="00623590" w:rsidRDefault="00623590" w:rsidP="00623590">
      <w:pPr>
        <w:pStyle w:val="PPVBullet1"/>
      </w:pPr>
      <w:r>
        <w:t xml:space="preserve">the diagrams are </w:t>
      </w:r>
      <w:r w:rsidR="00A1032C">
        <w:t>given</w:t>
      </w:r>
      <w:r>
        <w:t xml:space="preserve"> statutory weight</w:t>
      </w:r>
    </w:p>
    <w:p w:rsidR="00623590" w:rsidRDefault="00623590" w:rsidP="00623590">
      <w:pPr>
        <w:pStyle w:val="PPVBullet1"/>
      </w:pPr>
      <w:r>
        <w:t>the diagrams do not present the complete picture for any specific condition</w:t>
      </w:r>
    </w:p>
    <w:p w:rsidR="00623590" w:rsidRDefault="00623590" w:rsidP="00623590">
      <w:pPr>
        <w:pStyle w:val="PPVBullet1"/>
      </w:pPr>
      <w:r>
        <w:t>the diagrams do not present discretionary and mandatory requirements</w:t>
      </w:r>
    </w:p>
    <w:p w:rsidR="00623590" w:rsidRPr="007C4E47" w:rsidRDefault="00623590" w:rsidP="00623590">
      <w:pPr>
        <w:pStyle w:val="PPVBullet1"/>
      </w:pPr>
      <w:r>
        <w:t>a number of diagrams present different metrics to the text controls – it is not clear to the Review Panel that the diagrams should automatically be considered ‘wrong’ and the text ‘right’ in these circumstances</w:t>
      </w:r>
    </w:p>
    <w:p w:rsidR="00623590" w:rsidRDefault="00623590" w:rsidP="00623590">
      <w:pPr>
        <w:pStyle w:val="PPVBullet1"/>
      </w:pPr>
      <w:r>
        <w:t>in many cases it is not clear what the diagrams add to interpretation.</w:t>
      </w:r>
    </w:p>
    <w:p w:rsidR="00623590" w:rsidRDefault="00623590" w:rsidP="00623590">
      <w:pPr>
        <w:pStyle w:val="PPVBody"/>
      </w:pPr>
      <w:r>
        <w:t>Melbourne submitted:</w:t>
      </w:r>
    </w:p>
    <w:p w:rsidR="00623590" w:rsidRDefault="00623590" w:rsidP="00623590">
      <w:pPr>
        <w:pStyle w:val="PPVQuote"/>
      </w:pPr>
      <w:r w:rsidRPr="00E262E9">
        <w:t>If a mandatory built form requirement makes specific reference to a diagram for the purpose of interpreting the control, the more specific unit of measurement will always be preferred for the purpose of applying the requirement.</w:t>
      </w:r>
    </w:p>
    <w:p w:rsidR="00623590" w:rsidRDefault="00623590" w:rsidP="00623590">
      <w:pPr>
        <w:pStyle w:val="PPVBody"/>
      </w:pPr>
      <w:r>
        <w:t>Port Phillip submitted that the diagrams should indicate the number of storeys.</w:t>
      </w:r>
    </w:p>
    <w:p w:rsidR="00623590" w:rsidRDefault="00623590" w:rsidP="00623590">
      <w:pPr>
        <w:pStyle w:val="PPVBody"/>
      </w:pPr>
      <w:r>
        <w:t>The Review Panel considers revising the text of the DDOs rather than adding diagrams will make them easier to use.  The diagrams could do more work than simply repeating the text if they combined the controls from the street wall height and setback above the street wall into one set of diagrams which included the discretionary and mandatory requirements.</w:t>
      </w:r>
    </w:p>
    <w:p w:rsidR="00FC60DB" w:rsidRDefault="008A669B" w:rsidP="00DD6314">
      <w:pPr>
        <w:pStyle w:val="Heading2"/>
      </w:pPr>
      <w:bookmarkStart w:id="592" w:name="_Toc518402925"/>
      <w:bookmarkStart w:id="593" w:name="_Toc519710336"/>
      <w:bookmarkStart w:id="594" w:name="_Toc519766896"/>
      <w:r>
        <w:lastRenderedPageBreak/>
        <w:t>Findings</w:t>
      </w:r>
      <w:r w:rsidR="00FC60DB">
        <w:t xml:space="preserve"> and recommendations</w:t>
      </w:r>
      <w:bookmarkEnd w:id="592"/>
      <w:bookmarkEnd w:id="593"/>
      <w:bookmarkEnd w:id="594"/>
    </w:p>
    <w:p w:rsidR="00FC60DB" w:rsidRDefault="00FC60DB" w:rsidP="00FC60DB">
      <w:pPr>
        <w:pStyle w:val="PPVBody"/>
      </w:pPr>
      <w:r>
        <w:t xml:space="preserve">The Review Panel </w:t>
      </w:r>
      <w:r w:rsidR="008A669B">
        <w:t xml:space="preserve">finds </w:t>
      </w:r>
      <w:r>
        <w:t>that the redrafted Amendment should apply the following drafting principles:</w:t>
      </w:r>
      <w:r w:rsidRPr="00820B43">
        <w:rPr>
          <w:rStyle w:val="FootnoteReference"/>
        </w:rPr>
        <w:footnoteReference w:id="158"/>
      </w:r>
    </w:p>
    <w:p w:rsidR="008A669B" w:rsidRDefault="008A669B" w:rsidP="008A669B">
      <w:pPr>
        <w:pStyle w:val="PPVBullet1"/>
      </w:pPr>
      <w:r>
        <w:t>only include requirements that are supported by the head clause of the provision</w:t>
      </w:r>
    </w:p>
    <w:p w:rsidR="008A669B" w:rsidRDefault="008A669B" w:rsidP="008A669B">
      <w:pPr>
        <w:pStyle w:val="PPVBullet1"/>
      </w:pPr>
      <w:r>
        <w:t>remove reference to the draft Framework in the body of the draft Amendment (but retain the draft Framework as a Reference Document)</w:t>
      </w:r>
    </w:p>
    <w:p w:rsidR="008A669B" w:rsidRDefault="008A669B" w:rsidP="008A669B">
      <w:pPr>
        <w:pStyle w:val="PPVBullet1"/>
      </w:pPr>
      <w:r>
        <w:t>move broad strategic statements from the body of Clause 22.XX to the policy basis of Clause 22.XX</w:t>
      </w:r>
    </w:p>
    <w:p w:rsidR="008A669B" w:rsidRDefault="008A669B" w:rsidP="008A669B">
      <w:pPr>
        <w:pStyle w:val="PPVBullet1"/>
      </w:pPr>
      <w:r>
        <w:t>reorder requirements and lists to improve usability</w:t>
      </w:r>
    </w:p>
    <w:p w:rsidR="008A669B" w:rsidRDefault="008A669B" w:rsidP="008A669B">
      <w:pPr>
        <w:pStyle w:val="PPVBullet1"/>
      </w:pPr>
      <w:r>
        <w:t>use already defined VPP terms where they exist</w:t>
      </w:r>
    </w:p>
    <w:p w:rsidR="008A669B" w:rsidRDefault="008A669B" w:rsidP="008A669B">
      <w:pPr>
        <w:pStyle w:val="PPVBullet1"/>
      </w:pPr>
      <w:r>
        <w:t>reduce, and preferably eliminate definitions in schedules</w:t>
      </w:r>
    </w:p>
    <w:p w:rsidR="008A669B" w:rsidRDefault="008A669B" w:rsidP="008A669B">
      <w:pPr>
        <w:pStyle w:val="PPVBullet1"/>
      </w:pPr>
      <w:r>
        <w:t>clarify the role of Built form outcomes in the DDOs</w:t>
      </w:r>
    </w:p>
    <w:p w:rsidR="008A669B" w:rsidRDefault="008A669B" w:rsidP="008A669B">
      <w:pPr>
        <w:pStyle w:val="PPVBullet1"/>
      </w:pPr>
      <w:r>
        <w:t>use a different sentence construction for Built form outcomes to that used for related requirements or objectives, to clearly distinguish the Built form outcomes from requirements and objectives</w:t>
      </w:r>
    </w:p>
    <w:p w:rsidR="008A669B" w:rsidRDefault="008A669B" w:rsidP="008A669B">
      <w:pPr>
        <w:pStyle w:val="PPVBullet1"/>
      </w:pPr>
      <w:r>
        <w:t>move critical information from note text to requirements</w:t>
      </w:r>
    </w:p>
    <w:p w:rsidR="008A669B" w:rsidRDefault="008A669B" w:rsidP="008A669B">
      <w:pPr>
        <w:pStyle w:val="PPVBullet1"/>
      </w:pPr>
      <w:r>
        <w:t>follow Practice Note advice in drafting Clause 22.XX</w:t>
      </w:r>
    </w:p>
    <w:p w:rsidR="008A669B" w:rsidRDefault="008A669B" w:rsidP="008A669B">
      <w:pPr>
        <w:pStyle w:val="PPVBullet1"/>
      </w:pPr>
      <w:r>
        <w:t>use forms of expression already used in the VPP where possible</w:t>
      </w:r>
    </w:p>
    <w:p w:rsidR="008A669B" w:rsidRDefault="008A669B" w:rsidP="008A669B">
      <w:pPr>
        <w:pStyle w:val="PPVBullet1"/>
      </w:pPr>
      <w:r>
        <w:t>express Built form outcomes and Requirements in body text, and use tables to concisely communicate the numerical values that apply in a specific situation</w:t>
      </w:r>
    </w:p>
    <w:p w:rsidR="008A669B" w:rsidRDefault="008A669B" w:rsidP="008A669B">
      <w:pPr>
        <w:pStyle w:val="PPVBullet1"/>
      </w:pPr>
      <w:r>
        <w:t>make the relationship between the discretionary value and the mandatory value clear</w:t>
      </w:r>
    </w:p>
    <w:p w:rsidR="008A669B" w:rsidRDefault="008A669B" w:rsidP="008A669B">
      <w:pPr>
        <w:pStyle w:val="PPVBullet1"/>
      </w:pPr>
      <w:r>
        <w:t>use the active voice</w:t>
      </w:r>
    </w:p>
    <w:p w:rsidR="008A669B" w:rsidRDefault="008A669B" w:rsidP="008A669B">
      <w:pPr>
        <w:pStyle w:val="PPVBullet1"/>
      </w:pPr>
      <w:r>
        <w:t>use parallel grammatical structures</w:t>
      </w:r>
    </w:p>
    <w:p w:rsidR="008A669B" w:rsidRDefault="008A669B" w:rsidP="008A669B">
      <w:pPr>
        <w:pStyle w:val="PPVBullet1"/>
      </w:pPr>
      <w:r>
        <w:t>use ‘must’ for mandatory control and ‘should’ for discretionary controls and make this explicit in the DDO</w:t>
      </w:r>
    </w:p>
    <w:p w:rsidR="008A669B" w:rsidRDefault="008A669B" w:rsidP="008A669B">
      <w:pPr>
        <w:pStyle w:val="PPVBullet1"/>
      </w:pPr>
      <w:r>
        <w:t>present conditional requirements in an ‘if–then’ order</w:t>
      </w:r>
    </w:p>
    <w:p w:rsidR="008A669B" w:rsidRDefault="008A669B" w:rsidP="008A669B">
      <w:pPr>
        <w:pStyle w:val="PPVBullet1"/>
      </w:pPr>
      <w:r>
        <w:t>use ‘that’ when making an essential qualification</w:t>
      </w:r>
    </w:p>
    <w:p w:rsidR="008A669B" w:rsidRDefault="008A669B" w:rsidP="008A669B">
      <w:pPr>
        <w:pStyle w:val="PPVBullet1"/>
      </w:pPr>
      <w:r>
        <w:t>use consistent terminology and cross-referencing</w:t>
      </w:r>
    </w:p>
    <w:p w:rsidR="008A669B" w:rsidRDefault="008A669B" w:rsidP="008A669B">
      <w:pPr>
        <w:pStyle w:val="PPVBullet1"/>
      </w:pPr>
      <w:r>
        <w:t>use everyday words</w:t>
      </w:r>
    </w:p>
    <w:p w:rsidR="008A669B" w:rsidRDefault="008A669B" w:rsidP="008A669B">
      <w:pPr>
        <w:pStyle w:val="PPVBullet1"/>
      </w:pPr>
      <w:r>
        <w:t>avoid unnecessary words</w:t>
      </w:r>
    </w:p>
    <w:p w:rsidR="008A669B" w:rsidRDefault="008A669B" w:rsidP="008A669B">
      <w:pPr>
        <w:pStyle w:val="PPVBullet1"/>
      </w:pPr>
      <w:r>
        <w:t>restructure requirement to remove the need for repetition where possible</w:t>
      </w:r>
    </w:p>
    <w:p w:rsidR="008A669B" w:rsidRDefault="008A669B" w:rsidP="008A669B">
      <w:pPr>
        <w:pStyle w:val="PPVBullet1"/>
      </w:pPr>
      <w:r>
        <w:t>avoid ‘and’ or ‘or’ in bulleted lists</w:t>
      </w:r>
      <w:r>
        <w:rPr>
          <w:lang w:val="en-GB"/>
        </w:rPr>
        <w:t>, and use standard VPP punctuation</w:t>
      </w:r>
    </w:p>
    <w:p w:rsidR="008A669B" w:rsidRDefault="008A669B" w:rsidP="008A669B">
      <w:pPr>
        <w:pStyle w:val="PPVBullet1"/>
      </w:pPr>
      <w:r>
        <w:t>clarify the phrase ‘which facilitates the urban renewal of Fishermans Bend’</w:t>
      </w:r>
    </w:p>
    <w:p w:rsidR="008A669B" w:rsidRPr="006024F1" w:rsidRDefault="008A669B" w:rsidP="008A669B">
      <w:pPr>
        <w:pStyle w:val="PPVBullet1"/>
      </w:pPr>
      <w:r>
        <w:t>correct the errors in the land use table in the CCZ</w:t>
      </w:r>
    </w:p>
    <w:p w:rsidR="00785416" w:rsidRDefault="008A669B" w:rsidP="008A669B">
      <w:pPr>
        <w:pStyle w:val="PPVBullet1"/>
      </w:pPr>
      <w:r>
        <w:t>redraft DDO controls that make reference to ‘street wall’ and ‘street wall height’ so that the controls have meaning when the building is not constructed with a street wall</w:t>
      </w:r>
    </w:p>
    <w:p w:rsidR="008A669B" w:rsidRDefault="008A669B" w:rsidP="008A669B">
      <w:pPr>
        <w:pStyle w:val="PPVBullet1"/>
      </w:pPr>
      <w:r>
        <w:t>consolidate street wall height and setback requirements into one set of requirements</w:t>
      </w:r>
    </w:p>
    <w:p w:rsidR="008A669B" w:rsidRDefault="008A669B" w:rsidP="008A669B">
      <w:pPr>
        <w:pStyle w:val="PPVBullet1"/>
      </w:pPr>
      <w:r>
        <w:t>clarify the requirements for setbacks above the street wall for laneways</w:t>
      </w:r>
    </w:p>
    <w:p w:rsidR="008A669B" w:rsidRDefault="008A669B" w:rsidP="008A669B">
      <w:pPr>
        <w:pStyle w:val="PPVBullet1"/>
      </w:pPr>
      <w:r>
        <w:lastRenderedPageBreak/>
        <w:t>clarify the requirements for setbacks above the street wall for development fronting a street that runs beside the West Gate Freeway, and the other nominated transport corridors</w:t>
      </w:r>
    </w:p>
    <w:p w:rsidR="008A669B" w:rsidRDefault="008A669B" w:rsidP="008A669B">
      <w:pPr>
        <w:pStyle w:val="PPVBullet1"/>
      </w:pPr>
      <w:r>
        <w:t>make it clear that when half a street is delivered as part of a development requirements for street walls and setbacks should be based on the proposed total width of the new street</w:t>
      </w:r>
    </w:p>
    <w:p w:rsidR="008A669B" w:rsidRDefault="008A669B" w:rsidP="008A669B">
      <w:pPr>
        <w:pStyle w:val="PPVBullet1"/>
      </w:pPr>
      <w:r>
        <w:t>make it clear that setback requirements apply when the street or laneway is publicly accessible whether or not it is a public road or private street</w:t>
      </w:r>
    </w:p>
    <w:p w:rsidR="008A669B" w:rsidRDefault="008A669B" w:rsidP="008A669B">
      <w:pPr>
        <w:pStyle w:val="PPVBullet1"/>
      </w:pPr>
      <w:r>
        <w:t>use the singular rather than the plural in controls</w:t>
      </w:r>
    </w:p>
    <w:p w:rsidR="008A669B" w:rsidRDefault="008A669B" w:rsidP="008A669B">
      <w:pPr>
        <w:pStyle w:val="PPVBullet1"/>
      </w:pPr>
      <w:r>
        <w:t>clarify that shadows are permitted to the extent that they would be cast by a hypothetical building with the maximum allowable height (rather than the actual street wall on the building)</w:t>
      </w:r>
    </w:p>
    <w:p w:rsidR="008A669B" w:rsidRDefault="008A669B" w:rsidP="008A669B">
      <w:pPr>
        <w:pStyle w:val="PPVBullet1"/>
      </w:pPr>
      <w:r>
        <w:t>provide explicit guidance on how to convert street wall in storeys into metres for the overshadowing controls.</w:t>
      </w:r>
    </w:p>
    <w:p w:rsidR="00DF1AD6" w:rsidRPr="001C078B" w:rsidRDefault="00DF1AD6" w:rsidP="00DF1AD6">
      <w:pPr>
        <w:pStyle w:val="PPVBody"/>
        <w:rPr>
          <w:b/>
        </w:rPr>
      </w:pPr>
      <w:r w:rsidRPr="001C078B">
        <w:rPr>
          <w:b/>
        </w:rPr>
        <w:t xml:space="preserve">In accordance with the primary recommendation of the Review Panel to </w:t>
      </w:r>
      <w:r w:rsidR="000507EF">
        <w:rPr>
          <w:b/>
        </w:rPr>
        <w:t xml:space="preserve">progress </w:t>
      </w:r>
      <w:r w:rsidRPr="001C078B">
        <w:rPr>
          <w:b/>
        </w:rPr>
        <w:t xml:space="preserve">Amendment GC81, the following key changes have been included in the amended </w:t>
      </w:r>
      <w:r w:rsidR="00FA6FEC">
        <w:rPr>
          <w:b/>
        </w:rPr>
        <w:t>planning controls</w:t>
      </w:r>
      <w:r w:rsidRPr="001C078B">
        <w:rPr>
          <w:b/>
        </w:rPr>
        <w:t>:</w:t>
      </w:r>
    </w:p>
    <w:p w:rsidR="00FC60DB" w:rsidRPr="00FA6FEC" w:rsidRDefault="00FC60DB" w:rsidP="00181298">
      <w:pPr>
        <w:pStyle w:val="PPVRecommendationDrafting"/>
      </w:pPr>
      <w:bookmarkStart w:id="595" w:name="_Toc518048312"/>
      <w:bookmarkStart w:id="596" w:name="_Toc518210923"/>
      <w:bookmarkStart w:id="597" w:name="_Toc518216967"/>
      <w:bookmarkStart w:id="598" w:name="_Toc518290538"/>
      <w:bookmarkStart w:id="599" w:name="_Toc518290695"/>
      <w:bookmarkStart w:id="600" w:name="_Toc518396315"/>
      <w:bookmarkStart w:id="601" w:name="_Toc518400751"/>
      <w:bookmarkStart w:id="602" w:name="_Toc518402934"/>
      <w:bookmarkStart w:id="603" w:name="_Toc518480327"/>
      <w:bookmarkStart w:id="604" w:name="_Toc518480755"/>
      <w:bookmarkStart w:id="605" w:name="_Toc518480921"/>
      <w:bookmarkStart w:id="606" w:name="_Toc518480990"/>
      <w:bookmarkStart w:id="607" w:name="_Toc518481777"/>
      <w:bookmarkStart w:id="608" w:name="_Toc518541424"/>
      <w:bookmarkStart w:id="609" w:name="_Toc518541624"/>
      <w:bookmarkStart w:id="610" w:name="_Toc518546422"/>
      <w:bookmarkStart w:id="611" w:name="_Toc518569388"/>
      <w:bookmarkStart w:id="612" w:name="_Toc518569559"/>
      <w:bookmarkStart w:id="613" w:name="_Toc518595182"/>
      <w:bookmarkStart w:id="614" w:name="_Toc518595689"/>
      <w:bookmarkStart w:id="615" w:name="_Toc518595930"/>
      <w:bookmarkStart w:id="616" w:name="_Toc518629974"/>
      <w:bookmarkStart w:id="617" w:name="_Toc518633411"/>
      <w:bookmarkStart w:id="618" w:name="_Toc518633578"/>
      <w:bookmarkStart w:id="619" w:name="_Toc518634242"/>
      <w:bookmarkStart w:id="620" w:name="_Toc518651665"/>
      <w:bookmarkStart w:id="621" w:name="_Toc518901573"/>
      <w:bookmarkStart w:id="622" w:name="_Toc518902726"/>
      <w:bookmarkStart w:id="623" w:name="_Toc518905664"/>
      <w:bookmarkStart w:id="624" w:name="_Toc518905841"/>
      <w:bookmarkStart w:id="625" w:name="_Toc518906044"/>
      <w:bookmarkStart w:id="626" w:name="_Toc518986475"/>
      <w:bookmarkStart w:id="627" w:name="_Toc518986512"/>
      <w:bookmarkStart w:id="628" w:name="_Toc518986549"/>
      <w:bookmarkStart w:id="629" w:name="_Toc518986717"/>
      <w:r w:rsidRPr="00FA6FEC">
        <w:t>Redraft the Amendment applying a consistent set of drafting principles based on Planning Practice Notes and plain English guidance.</w:t>
      </w:r>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p>
    <w:p w:rsidR="00FC60DB" w:rsidRPr="00FA6FEC" w:rsidRDefault="00FC60DB" w:rsidP="00181298">
      <w:pPr>
        <w:pStyle w:val="PPVRecommendationDrafting"/>
      </w:pPr>
      <w:bookmarkStart w:id="630" w:name="_Toc518216960"/>
      <w:bookmarkStart w:id="631" w:name="_Toc518290531"/>
      <w:bookmarkStart w:id="632" w:name="_Toc518290688"/>
      <w:bookmarkStart w:id="633" w:name="_Toc518396308"/>
      <w:bookmarkStart w:id="634" w:name="_Toc518400750"/>
      <w:bookmarkStart w:id="635" w:name="_Toc518402935"/>
      <w:bookmarkStart w:id="636" w:name="_Toc518480328"/>
      <w:bookmarkStart w:id="637" w:name="_Toc518480756"/>
      <w:bookmarkStart w:id="638" w:name="_Toc518480922"/>
      <w:bookmarkStart w:id="639" w:name="_Toc518480991"/>
      <w:bookmarkStart w:id="640" w:name="_Toc518481778"/>
      <w:bookmarkStart w:id="641" w:name="_Toc518541425"/>
      <w:bookmarkStart w:id="642" w:name="_Toc518541625"/>
      <w:bookmarkStart w:id="643" w:name="_Toc518546423"/>
      <w:bookmarkStart w:id="644" w:name="_Toc518569389"/>
      <w:bookmarkStart w:id="645" w:name="_Toc518569560"/>
      <w:bookmarkStart w:id="646" w:name="_Toc518595183"/>
      <w:bookmarkStart w:id="647" w:name="_Toc518595690"/>
      <w:bookmarkStart w:id="648" w:name="_Toc518595931"/>
      <w:bookmarkStart w:id="649" w:name="_Toc518629975"/>
      <w:bookmarkStart w:id="650" w:name="_Toc518633412"/>
      <w:bookmarkStart w:id="651" w:name="_Toc518633579"/>
      <w:bookmarkStart w:id="652" w:name="_Toc518634243"/>
      <w:bookmarkStart w:id="653" w:name="_Toc518651666"/>
      <w:bookmarkStart w:id="654" w:name="_Toc518901574"/>
      <w:bookmarkStart w:id="655" w:name="_Toc518902727"/>
      <w:bookmarkStart w:id="656" w:name="_Toc518905665"/>
      <w:bookmarkStart w:id="657" w:name="_Toc518905842"/>
      <w:bookmarkStart w:id="658" w:name="_Toc518906045"/>
      <w:bookmarkStart w:id="659" w:name="_Toc518986476"/>
      <w:bookmarkStart w:id="660" w:name="_Toc518986513"/>
      <w:bookmarkStart w:id="661" w:name="_Toc518986550"/>
      <w:bookmarkStart w:id="662" w:name="_Toc518986718"/>
      <w:bookmarkStart w:id="663" w:name="_Toc518048310"/>
      <w:bookmarkStart w:id="664" w:name="_Toc518210921"/>
      <w:bookmarkStart w:id="665" w:name="_Toc518216961"/>
      <w:bookmarkStart w:id="666" w:name="_Toc518290532"/>
      <w:bookmarkStart w:id="667" w:name="_Toc518290689"/>
      <w:bookmarkStart w:id="668" w:name="_Toc518396309"/>
      <w:bookmarkStart w:id="669" w:name="_Toc518400752"/>
      <w:r w:rsidRPr="00FA6FEC">
        <w:t>Prepare GIS versions of the various plans and formally incorporate a ‘map book’ in the planning schemes to assist in interpreting the plans.</w:t>
      </w:r>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rsidR="00FC60DB" w:rsidRPr="00FA6FEC" w:rsidRDefault="00FC60DB" w:rsidP="00181298">
      <w:pPr>
        <w:pStyle w:val="PPVRecommendationDrafting"/>
      </w:pPr>
      <w:bookmarkStart w:id="670" w:name="_Toc518402936"/>
      <w:bookmarkStart w:id="671" w:name="_Toc518480329"/>
      <w:bookmarkStart w:id="672" w:name="_Toc518480757"/>
      <w:bookmarkStart w:id="673" w:name="_Toc518480923"/>
      <w:bookmarkStart w:id="674" w:name="_Toc518480992"/>
      <w:bookmarkStart w:id="675" w:name="_Toc518481779"/>
      <w:bookmarkStart w:id="676" w:name="_Toc518541426"/>
      <w:bookmarkStart w:id="677" w:name="_Toc518541626"/>
      <w:bookmarkStart w:id="678" w:name="_Toc518546424"/>
      <w:bookmarkStart w:id="679" w:name="_Toc518569390"/>
      <w:bookmarkStart w:id="680" w:name="_Toc518569561"/>
      <w:bookmarkStart w:id="681" w:name="_Toc518595184"/>
      <w:bookmarkStart w:id="682" w:name="_Toc518595691"/>
      <w:bookmarkStart w:id="683" w:name="_Toc518595932"/>
      <w:bookmarkStart w:id="684" w:name="_Toc518629976"/>
      <w:bookmarkStart w:id="685" w:name="_Toc518633413"/>
      <w:bookmarkStart w:id="686" w:name="_Toc518633580"/>
      <w:bookmarkStart w:id="687" w:name="_Toc518634244"/>
      <w:bookmarkStart w:id="688" w:name="_Toc518651667"/>
      <w:bookmarkStart w:id="689" w:name="_Toc518901575"/>
      <w:bookmarkStart w:id="690" w:name="_Toc518902728"/>
      <w:bookmarkStart w:id="691" w:name="_Toc518905666"/>
      <w:bookmarkStart w:id="692" w:name="_Toc518905843"/>
      <w:bookmarkStart w:id="693" w:name="_Toc518906046"/>
      <w:bookmarkStart w:id="694" w:name="_Toc518986477"/>
      <w:bookmarkStart w:id="695" w:name="_Toc518986514"/>
      <w:bookmarkStart w:id="696" w:name="_Toc518986551"/>
      <w:bookmarkStart w:id="697" w:name="_Toc518986719"/>
      <w:r w:rsidRPr="00FA6FEC">
        <w:t xml:space="preserve">In the </w:t>
      </w:r>
      <w:r w:rsidR="00DD6314" w:rsidRPr="00FA6FEC">
        <w:t>Design and Development Overlay</w:t>
      </w:r>
      <w:r w:rsidRPr="00FA6FEC">
        <w:t>s, revise the diagrams to:</w:t>
      </w:r>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p>
    <w:p w:rsidR="00FC60DB" w:rsidRPr="00FA6FEC" w:rsidRDefault="00FC60DB" w:rsidP="00FA6FEC">
      <w:pPr>
        <w:pStyle w:val="PPVBullet1"/>
        <w:rPr>
          <w:b/>
          <w:i/>
        </w:rPr>
      </w:pPr>
      <w:bookmarkStart w:id="698" w:name="_Toc518048311"/>
      <w:bookmarkStart w:id="699" w:name="_Toc518210922"/>
      <w:bookmarkStart w:id="700" w:name="_Toc518216962"/>
      <w:bookmarkStart w:id="701" w:name="_Toc518290533"/>
      <w:bookmarkStart w:id="702" w:name="_Toc518290690"/>
      <w:bookmarkStart w:id="703" w:name="_Toc518396310"/>
      <w:bookmarkStart w:id="704" w:name="_Toc518400753"/>
      <w:bookmarkStart w:id="705" w:name="_Toc518402937"/>
      <w:bookmarkStart w:id="706" w:name="_Toc518480330"/>
      <w:bookmarkStart w:id="707" w:name="_Toc518480758"/>
      <w:bookmarkStart w:id="708" w:name="_Toc518480924"/>
      <w:bookmarkStart w:id="709" w:name="_Toc518480993"/>
      <w:bookmarkStart w:id="710" w:name="_Toc518481780"/>
      <w:bookmarkStart w:id="711" w:name="_Toc518541427"/>
      <w:bookmarkStart w:id="712" w:name="_Toc518541627"/>
      <w:bookmarkStart w:id="713" w:name="_Toc518546425"/>
      <w:bookmarkStart w:id="714" w:name="_Toc518569391"/>
      <w:bookmarkStart w:id="715" w:name="_Toc518569562"/>
      <w:bookmarkStart w:id="716" w:name="_Toc518595185"/>
      <w:bookmarkStart w:id="717" w:name="_Toc518595692"/>
      <w:bookmarkStart w:id="718" w:name="_Toc518595933"/>
      <w:bookmarkStart w:id="719" w:name="_Toc518629977"/>
      <w:bookmarkStart w:id="720" w:name="_Toc518633414"/>
      <w:bookmarkStart w:id="721" w:name="_Toc518633581"/>
      <w:bookmarkStart w:id="722" w:name="_Toc518634245"/>
      <w:bookmarkStart w:id="723" w:name="_Toc518651668"/>
      <w:bookmarkStart w:id="724" w:name="_Toc518901576"/>
      <w:bookmarkStart w:id="725" w:name="_Toc518902729"/>
      <w:bookmarkStart w:id="726" w:name="_Toc518905667"/>
      <w:bookmarkStart w:id="727" w:name="_Toc518905844"/>
      <w:bookmarkStart w:id="728" w:name="_Toc518906047"/>
      <w:bookmarkStart w:id="729" w:name="_Toc518986478"/>
      <w:bookmarkStart w:id="730" w:name="_Toc518986515"/>
      <w:bookmarkStart w:id="731" w:name="_Toc518986552"/>
      <w:bookmarkStart w:id="732" w:name="_Toc518986720"/>
      <w:bookmarkEnd w:id="698"/>
      <w:bookmarkEnd w:id="699"/>
      <w:r w:rsidRPr="00FA6FEC">
        <w:rPr>
          <w:b/>
          <w:i/>
        </w:rPr>
        <w:t>make it clear they do not have statutory weight</w:t>
      </w:r>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p>
    <w:p w:rsidR="00FC60DB" w:rsidRPr="00FA6FEC" w:rsidRDefault="00FC60DB" w:rsidP="00FA6FEC">
      <w:pPr>
        <w:pStyle w:val="PPVBullet1"/>
        <w:rPr>
          <w:b/>
          <w:i/>
        </w:rPr>
      </w:pPr>
      <w:bookmarkStart w:id="733" w:name="_Toc518216963"/>
      <w:bookmarkStart w:id="734" w:name="_Toc518290534"/>
      <w:bookmarkStart w:id="735" w:name="_Toc518290691"/>
      <w:bookmarkStart w:id="736" w:name="_Toc518396311"/>
      <w:bookmarkStart w:id="737" w:name="_Toc518400754"/>
      <w:bookmarkStart w:id="738" w:name="_Toc518402938"/>
      <w:bookmarkStart w:id="739" w:name="_Toc518480331"/>
      <w:bookmarkStart w:id="740" w:name="_Toc518480759"/>
      <w:bookmarkStart w:id="741" w:name="_Toc518480925"/>
      <w:bookmarkStart w:id="742" w:name="_Toc518480994"/>
      <w:bookmarkStart w:id="743" w:name="_Toc518481781"/>
      <w:bookmarkStart w:id="744" w:name="_Toc518541428"/>
      <w:bookmarkStart w:id="745" w:name="_Toc518541628"/>
      <w:bookmarkStart w:id="746" w:name="_Toc518546426"/>
      <w:bookmarkStart w:id="747" w:name="_Toc518569392"/>
      <w:bookmarkStart w:id="748" w:name="_Toc518569563"/>
      <w:bookmarkStart w:id="749" w:name="_Toc518595186"/>
      <w:bookmarkStart w:id="750" w:name="_Toc518595693"/>
      <w:bookmarkStart w:id="751" w:name="_Toc518595934"/>
      <w:bookmarkStart w:id="752" w:name="_Toc518629978"/>
      <w:bookmarkStart w:id="753" w:name="_Toc518633415"/>
      <w:bookmarkStart w:id="754" w:name="_Toc518633582"/>
      <w:bookmarkStart w:id="755" w:name="_Toc518634246"/>
      <w:bookmarkStart w:id="756" w:name="_Toc518651669"/>
      <w:bookmarkStart w:id="757" w:name="_Toc518901577"/>
      <w:bookmarkStart w:id="758" w:name="_Toc518902730"/>
      <w:bookmarkStart w:id="759" w:name="_Toc518905668"/>
      <w:bookmarkStart w:id="760" w:name="_Toc518905845"/>
      <w:bookmarkStart w:id="761" w:name="_Toc518906048"/>
      <w:bookmarkStart w:id="762" w:name="_Toc518986479"/>
      <w:bookmarkStart w:id="763" w:name="_Toc518986516"/>
      <w:bookmarkStart w:id="764" w:name="_Toc518986553"/>
      <w:bookmarkStart w:id="765" w:name="_Toc518986721"/>
      <w:r w:rsidRPr="00FA6FEC">
        <w:rPr>
          <w:b/>
          <w:i/>
        </w:rPr>
        <w:t>indicate storeys</w:t>
      </w:r>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p>
    <w:p w:rsidR="00FC60DB" w:rsidRPr="00FA6FEC" w:rsidRDefault="00FC60DB" w:rsidP="00FA6FEC">
      <w:pPr>
        <w:pStyle w:val="PPVBullet1"/>
        <w:rPr>
          <w:b/>
          <w:i/>
        </w:rPr>
      </w:pPr>
      <w:bookmarkStart w:id="766" w:name="_Toc518216964"/>
      <w:bookmarkStart w:id="767" w:name="_Toc518290535"/>
      <w:bookmarkStart w:id="768" w:name="_Toc518290692"/>
      <w:bookmarkStart w:id="769" w:name="_Toc518396312"/>
      <w:bookmarkStart w:id="770" w:name="_Toc518400755"/>
      <w:bookmarkStart w:id="771" w:name="_Toc518402939"/>
      <w:bookmarkStart w:id="772" w:name="_Toc518480332"/>
      <w:bookmarkStart w:id="773" w:name="_Toc518480760"/>
      <w:bookmarkStart w:id="774" w:name="_Toc518480926"/>
      <w:bookmarkStart w:id="775" w:name="_Toc518480995"/>
      <w:bookmarkStart w:id="776" w:name="_Toc518481782"/>
      <w:bookmarkStart w:id="777" w:name="_Toc518541429"/>
      <w:bookmarkStart w:id="778" w:name="_Toc518541629"/>
      <w:bookmarkStart w:id="779" w:name="_Toc518546427"/>
      <w:bookmarkStart w:id="780" w:name="_Toc518569393"/>
      <w:bookmarkStart w:id="781" w:name="_Toc518569564"/>
      <w:bookmarkStart w:id="782" w:name="_Toc518595187"/>
      <w:bookmarkStart w:id="783" w:name="_Toc518595694"/>
      <w:bookmarkStart w:id="784" w:name="_Toc518595935"/>
      <w:bookmarkStart w:id="785" w:name="_Toc518629979"/>
      <w:bookmarkStart w:id="786" w:name="_Toc518633416"/>
      <w:bookmarkStart w:id="787" w:name="_Toc518633583"/>
      <w:bookmarkStart w:id="788" w:name="_Toc518634247"/>
      <w:bookmarkStart w:id="789" w:name="_Toc518651670"/>
      <w:bookmarkStart w:id="790" w:name="_Toc518901578"/>
      <w:bookmarkStart w:id="791" w:name="_Toc518902731"/>
      <w:bookmarkStart w:id="792" w:name="_Toc518905669"/>
      <w:bookmarkStart w:id="793" w:name="_Toc518905846"/>
      <w:bookmarkStart w:id="794" w:name="_Toc518906049"/>
      <w:bookmarkStart w:id="795" w:name="_Toc518986480"/>
      <w:bookmarkStart w:id="796" w:name="_Toc518986517"/>
      <w:bookmarkStart w:id="797" w:name="_Toc518986554"/>
      <w:bookmarkStart w:id="798" w:name="_Toc518986722"/>
      <w:r w:rsidRPr="00FA6FEC">
        <w:rPr>
          <w:b/>
          <w:i/>
        </w:rPr>
        <w:t>combine the street wall and set back above a street wall diagrams to present the complete picture for any specific condition</w:t>
      </w:r>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p>
    <w:p w:rsidR="00FC60DB" w:rsidRPr="00FA6FEC" w:rsidRDefault="00FC60DB" w:rsidP="00FA6FEC">
      <w:pPr>
        <w:pStyle w:val="PPVBullet1"/>
        <w:rPr>
          <w:b/>
          <w:i/>
        </w:rPr>
      </w:pPr>
      <w:bookmarkStart w:id="799" w:name="_Toc518216965"/>
      <w:bookmarkStart w:id="800" w:name="_Toc518290536"/>
      <w:bookmarkStart w:id="801" w:name="_Toc518290693"/>
      <w:bookmarkStart w:id="802" w:name="_Toc518396313"/>
      <w:bookmarkStart w:id="803" w:name="_Toc518400756"/>
      <w:bookmarkStart w:id="804" w:name="_Toc518402940"/>
      <w:bookmarkStart w:id="805" w:name="_Toc518480333"/>
      <w:bookmarkStart w:id="806" w:name="_Toc518480761"/>
      <w:bookmarkStart w:id="807" w:name="_Toc518480927"/>
      <w:bookmarkStart w:id="808" w:name="_Toc518480996"/>
      <w:bookmarkStart w:id="809" w:name="_Toc518481783"/>
      <w:bookmarkStart w:id="810" w:name="_Toc518541430"/>
      <w:bookmarkStart w:id="811" w:name="_Toc518541630"/>
      <w:bookmarkStart w:id="812" w:name="_Toc518546428"/>
      <w:bookmarkStart w:id="813" w:name="_Toc518569394"/>
      <w:bookmarkStart w:id="814" w:name="_Toc518569565"/>
      <w:bookmarkStart w:id="815" w:name="_Toc518595188"/>
      <w:bookmarkStart w:id="816" w:name="_Toc518595695"/>
      <w:bookmarkStart w:id="817" w:name="_Toc518595936"/>
      <w:bookmarkStart w:id="818" w:name="_Toc518629980"/>
      <w:bookmarkStart w:id="819" w:name="_Toc518633417"/>
      <w:bookmarkStart w:id="820" w:name="_Toc518633584"/>
      <w:bookmarkStart w:id="821" w:name="_Toc518634248"/>
      <w:bookmarkStart w:id="822" w:name="_Toc518651671"/>
      <w:bookmarkStart w:id="823" w:name="_Toc518901579"/>
      <w:bookmarkStart w:id="824" w:name="_Toc518902732"/>
      <w:bookmarkStart w:id="825" w:name="_Toc518905670"/>
      <w:bookmarkStart w:id="826" w:name="_Toc518905847"/>
      <w:bookmarkStart w:id="827" w:name="_Toc518906050"/>
      <w:bookmarkStart w:id="828" w:name="_Toc518986481"/>
      <w:bookmarkStart w:id="829" w:name="_Toc518986518"/>
      <w:bookmarkStart w:id="830" w:name="_Toc518986555"/>
      <w:bookmarkStart w:id="831" w:name="_Toc518986723"/>
      <w:r w:rsidRPr="00FA6FEC">
        <w:rPr>
          <w:b/>
          <w:i/>
        </w:rPr>
        <w:t>present discretionary and mandatory requirements</w:t>
      </w:r>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p>
    <w:p w:rsidR="00823032" w:rsidRPr="00181298" w:rsidRDefault="00FC60DB" w:rsidP="00823032">
      <w:pPr>
        <w:pStyle w:val="PPVBullet1"/>
        <w:rPr>
          <w:b/>
          <w:i/>
        </w:rPr>
      </w:pPr>
      <w:bookmarkStart w:id="832" w:name="_Toc518216966"/>
      <w:bookmarkStart w:id="833" w:name="_Toc518290537"/>
      <w:bookmarkStart w:id="834" w:name="_Toc518290694"/>
      <w:bookmarkStart w:id="835" w:name="_Toc518396314"/>
      <w:bookmarkStart w:id="836" w:name="_Toc518400757"/>
      <w:bookmarkStart w:id="837" w:name="_Toc518402941"/>
      <w:bookmarkStart w:id="838" w:name="_Toc518480334"/>
      <w:bookmarkStart w:id="839" w:name="_Toc518480762"/>
      <w:bookmarkStart w:id="840" w:name="_Toc518480928"/>
      <w:bookmarkStart w:id="841" w:name="_Toc518480997"/>
      <w:bookmarkStart w:id="842" w:name="_Toc518481784"/>
      <w:bookmarkStart w:id="843" w:name="_Toc518541431"/>
      <w:bookmarkStart w:id="844" w:name="_Toc518541631"/>
      <w:bookmarkStart w:id="845" w:name="_Toc518546429"/>
      <w:bookmarkStart w:id="846" w:name="_Toc518569395"/>
      <w:bookmarkStart w:id="847" w:name="_Toc518569566"/>
      <w:bookmarkStart w:id="848" w:name="_Toc518595189"/>
      <w:bookmarkStart w:id="849" w:name="_Toc518595696"/>
      <w:bookmarkStart w:id="850" w:name="_Toc518595937"/>
      <w:bookmarkStart w:id="851" w:name="_Toc518629981"/>
      <w:bookmarkStart w:id="852" w:name="_Toc518633418"/>
      <w:bookmarkStart w:id="853" w:name="_Toc518633585"/>
      <w:bookmarkStart w:id="854" w:name="_Toc518634249"/>
      <w:bookmarkStart w:id="855" w:name="_Toc518651672"/>
      <w:bookmarkStart w:id="856" w:name="_Toc518901580"/>
      <w:bookmarkStart w:id="857" w:name="_Toc518902733"/>
      <w:bookmarkStart w:id="858" w:name="_Toc518905671"/>
      <w:bookmarkStart w:id="859" w:name="_Toc518905848"/>
      <w:bookmarkStart w:id="860" w:name="_Toc518906051"/>
      <w:bookmarkStart w:id="861" w:name="_Toc518986482"/>
      <w:bookmarkStart w:id="862" w:name="_Toc518986519"/>
      <w:bookmarkStart w:id="863" w:name="_Toc518986556"/>
      <w:bookmarkStart w:id="864" w:name="_Toc518986724"/>
      <w:r w:rsidRPr="00FA6FEC">
        <w:rPr>
          <w:b/>
          <w:i/>
        </w:rPr>
        <w:t>use the same metrics to the text controls.</w:t>
      </w:r>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p>
    <w:p w:rsidR="00823032" w:rsidRDefault="00A02D55" w:rsidP="00823032">
      <w:pPr>
        <w:pStyle w:val="Heading1"/>
      </w:pPr>
      <w:bookmarkStart w:id="865" w:name="_Toc519710337"/>
      <w:bookmarkStart w:id="866" w:name="_Toc519766897"/>
      <w:r>
        <w:lastRenderedPageBreak/>
        <w:t>Specific changes</w:t>
      </w:r>
      <w:r w:rsidR="006E4AE0">
        <w:t xml:space="preserve"> to the planning controls</w:t>
      </w:r>
      <w:bookmarkEnd w:id="865"/>
      <w:bookmarkEnd w:id="866"/>
    </w:p>
    <w:p w:rsidR="00A02D55" w:rsidRPr="00F4102F" w:rsidRDefault="00A02D55" w:rsidP="00A02D55">
      <w:pPr>
        <w:pStyle w:val="PPVBody"/>
      </w:pPr>
      <w:r>
        <w:t>A number of specific changes to the control</w:t>
      </w:r>
      <w:r w:rsidR="00465059">
        <w:t>s</w:t>
      </w:r>
      <w:r>
        <w:t xml:space="preserve"> have been recommended in other sections of this Overview </w:t>
      </w:r>
      <w:r w:rsidR="006C32DA">
        <w:t>R</w:t>
      </w:r>
      <w:r w:rsidR="001E7E50">
        <w:t>eport and in the P</w:t>
      </w:r>
      <w:r>
        <w:t xml:space="preserve">recinct </w:t>
      </w:r>
      <w:r w:rsidR="00827876">
        <w:t>R</w:t>
      </w:r>
      <w:r>
        <w:t xml:space="preserve">eports.  This </w:t>
      </w:r>
      <w:r w:rsidR="00576336">
        <w:t>C</w:t>
      </w:r>
      <w:r>
        <w:t>hapter does not repeat those changes.</w:t>
      </w:r>
    </w:p>
    <w:p w:rsidR="00A02D55" w:rsidRDefault="000507EF" w:rsidP="00DD6314">
      <w:pPr>
        <w:pStyle w:val="Heading2"/>
      </w:pPr>
      <w:bookmarkStart w:id="867" w:name="_Toc518402929"/>
      <w:bookmarkStart w:id="868" w:name="_Toc519710338"/>
      <w:bookmarkStart w:id="869" w:name="_Toc519766898"/>
      <w:r>
        <w:t>L</w:t>
      </w:r>
      <w:r w:rsidR="00A02D55">
        <w:t>ocal policy</w:t>
      </w:r>
      <w:bookmarkEnd w:id="867"/>
      <w:bookmarkEnd w:id="868"/>
      <w:bookmarkEnd w:id="869"/>
    </w:p>
    <w:p w:rsidR="00A02D55" w:rsidRDefault="00A02D55" w:rsidP="00A02D55">
      <w:pPr>
        <w:pStyle w:val="Heading4"/>
      </w:pPr>
      <w:r>
        <w:t>Smart cities</w:t>
      </w:r>
    </w:p>
    <w:p w:rsidR="00A02D55" w:rsidRDefault="00A02D55" w:rsidP="00A02D55">
      <w:pPr>
        <w:pStyle w:val="PPVBody"/>
      </w:pPr>
      <w:r>
        <w:t xml:space="preserve">The Review Panel agrees with submissions that the provisions on ‘Smart cities’ provisions in </w:t>
      </w:r>
      <w:r w:rsidR="006E4AE0">
        <w:t xml:space="preserve">Clause </w:t>
      </w:r>
      <w:r>
        <w:t>22.XX while laudable</w:t>
      </w:r>
      <w:r w:rsidR="003810F9">
        <w:t>,</w:t>
      </w:r>
      <w:r>
        <w:t xml:space="preserve"> are not really planning scheme issues.</w:t>
      </w:r>
    </w:p>
    <w:p w:rsidR="00FA6FEC" w:rsidRPr="001C078B" w:rsidRDefault="00FA6FEC" w:rsidP="00FA6FEC">
      <w:pPr>
        <w:pStyle w:val="PPVBody"/>
        <w:rPr>
          <w:b/>
        </w:rPr>
      </w:pPr>
      <w:r w:rsidRPr="001C078B">
        <w:rPr>
          <w:b/>
        </w:rPr>
        <w:t xml:space="preserve">In accordance with the primary recommendation of the Review Panel to </w:t>
      </w:r>
      <w:r w:rsidR="000507EF">
        <w:rPr>
          <w:b/>
        </w:rPr>
        <w:t xml:space="preserve">progress </w:t>
      </w:r>
      <w:r w:rsidRPr="001C078B">
        <w:rPr>
          <w:b/>
        </w:rPr>
        <w:t xml:space="preserve">Amendment GC81, the following key changes have been included in </w:t>
      </w:r>
      <w:r>
        <w:rPr>
          <w:b/>
        </w:rPr>
        <w:t>Clause 22.XX</w:t>
      </w:r>
      <w:r w:rsidRPr="001C078B">
        <w:rPr>
          <w:b/>
        </w:rPr>
        <w:t>:</w:t>
      </w:r>
    </w:p>
    <w:p w:rsidR="00A02D55" w:rsidRPr="00FA6FEC" w:rsidRDefault="00FA6FEC" w:rsidP="00181298">
      <w:pPr>
        <w:pStyle w:val="PPVRecommendationDrafting"/>
      </w:pPr>
      <w:bookmarkStart w:id="870" w:name="_Toc518290539"/>
      <w:bookmarkStart w:id="871" w:name="_Toc518290696"/>
      <w:bookmarkStart w:id="872" w:name="_Toc518396316"/>
      <w:bookmarkStart w:id="873" w:name="_Toc518400758"/>
      <w:bookmarkStart w:id="874" w:name="_Toc518402942"/>
      <w:bookmarkStart w:id="875" w:name="_Toc518480335"/>
      <w:bookmarkStart w:id="876" w:name="_Toc518480763"/>
      <w:bookmarkStart w:id="877" w:name="_Toc518480929"/>
      <w:bookmarkStart w:id="878" w:name="_Toc518480998"/>
      <w:bookmarkStart w:id="879" w:name="_Toc518481785"/>
      <w:bookmarkStart w:id="880" w:name="_Toc518541432"/>
      <w:bookmarkStart w:id="881" w:name="_Toc518541632"/>
      <w:bookmarkStart w:id="882" w:name="_Toc518546430"/>
      <w:bookmarkStart w:id="883" w:name="_Toc518569396"/>
      <w:bookmarkStart w:id="884" w:name="_Toc518569567"/>
      <w:bookmarkStart w:id="885" w:name="_Toc518595190"/>
      <w:bookmarkStart w:id="886" w:name="_Toc518595697"/>
      <w:bookmarkStart w:id="887" w:name="_Toc518595938"/>
      <w:bookmarkStart w:id="888" w:name="_Toc518629982"/>
      <w:bookmarkStart w:id="889" w:name="_Toc518633419"/>
      <w:bookmarkStart w:id="890" w:name="_Toc518633586"/>
      <w:bookmarkStart w:id="891" w:name="_Toc518634250"/>
      <w:bookmarkStart w:id="892" w:name="_Toc518651673"/>
      <w:bookmarkStart w:id="893" w:name="_Toc518901581"/>
      <w:bookmarkStart w:id="894" w:name="_Toc518902734"/>
      <w:bookmarkStart w:id="895" w:name="_Toc518905672"/>
      <w:bookmarkStart w:id="896" w:name="_Toc518905849"/>
      <w:bookmarkStart w:id="897" w:name="_Toc518906052"/>
      <w:bookmarkStart w:id="898" w:name="_Toc518986483"/>
      <w:bookmarkStart w:id="899" w:name="_Toc518986520"/>
      <w:bookmarkStart w:id="900" w:name="_Toc518986557"/>
      <w:bookmarkStart w:id="901" w:name="_Toc518986725"/>
      <w:r>
        <w:t>D</w:t>
      </w:r>
      <w:r w:rsidR="00A02D55" w:rsidRPr="00FA6FEC">
        <w:t>elete the Smart cities provisions.</w:t>
      </w:r>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p>
    <w:p w:rsidR="00A02D55" w:rsidRDefault="00222978" w:rsidP="00A02D55">
      <w:pPr>
        <w:pStyle w:val="Heading4"/>
      </w:pPr>
      <w:r>
        <w:t>Reference Document</w:t>
      </w:r>
      <w:r w:rsidR="00A02D55">
        <w:t>s</w:t>
      </w:r>
    </w:p>
    <w:p w:rsidR="00A02D55" w:rsidRDefault="00222978" w:rsidP="00A02D55">
      <w:pPr>
        <w:pStyle w:val="PPVBody"/>
      </w:pPr>
      <w:r>
        <w:t>Reference Document</w:t>
      </w:r>
      <w:r w:rsidR="00A02D55">
        <w:t xml:space="preserve">s are the background reports that inform an </w:t>
      </w:r>
      <w:r w:rsidR="006E4AE0">
        <w:t>Amendment</w:t>
      </w:r>
      <w:r w:rsidR="00A02D55">
        <w:t>.  Clause 22.XX lists</w:t>
      </w:r>
      <w:r w:rsidR="006E4AE0">
        <w:t xml:space="preserve"> the following as Reference Documents</w:t>
      </w:r>
      <w:r w:rsidR="00A02D55">
        <w:t>:</w:t>
      </w:r>
    </w:p>
    <w:p w:rsidR="00A02D55" w:rsidRPr="00CF73FA" w:rsidRDefault="00A02D55" w:rsidP="00A02D55">
      <w:pPr>
        <w:pStyle w:val="PPVBullet1"/>
      </w:pPr>
      <w:r w:rsidRPr="00CF73FA">
        <w:t>Fishermans Bend Vision, September 2016</w:t>
      </w:r>
    </w:p>
    <w:p w:rsidR="00A02D55" w:rsidRPr="00CF73FA" w:rsidRDefault="00A02D55" w:rsidP="00A02D55">
      <w:pPr>
        <w:pStyle w:val="PPVBullet1"/>
      </w:pPr>
      <w:r w:rsidRPr="00CF73FA">
        <w:t>Fishermans Bend Framework, XX 2018</w:t>
      </w:r>
    </w:p>
    <w:p w:rsidR="00A02D55" w:rsidRPr="00CF73FA" w:rsidRDefault="00A02D55" w:rsidP="00A02D55">
      <w:pPr>
        <w:pStyle w:val="PPVBullet1"/>
      </w:pPr>
      <w:r w:rsidRPr="00CF73FA">
        <w:t>Fishermans Bend Community Infrastructure Plan 2017</w:t>
      </w:r>
    </w:p>
    <w:p w:rsidR="00A02D55" w:rsidRPr="00CF73FA" w:rsidRDefault="00A02D55" w:rsidP="00A02D55">
      <w:pPr>
        <w:pStyle w:val="PPVBullet1"/>
      </w:pPr>
      <w:r w:rsidRPr="00CF73FA">
        <w:t>Fishermans Bend Urban Design Strategy 2017</w:t>
      </w:r>
    </w:p>
    <w:p w:rsidR="00A02D55" w:rsidRPr="00CF73FA" w:rsidRDefault="00A02D55" w:rsidP="00A02D55">
      <w:pPr>
        <w:pStyle w:val="PPVBullet1"/>
      </w:pPr>
      <w:r w:rsidRPr="00CF73FA">
        <w:t>Fishermans Bend Waste and Resource Recovery Strategy 2017</w:t>
      </w:r>
    </w:p>
    <w:p w:rsidR="00A02D55" w:rsidRDefault="00A02D55" w:rsidP="00A02D55">
      <w:pPr>
        <w:pStyle w:val="PPVBullet1"/>
      </w:pPr>
      <w:r w:rsidRPr="00CF73FA">
        <w:t>How to calculate floor area uplift and public benefits in Fishermans Bend</w:t>
      </w:r>
      <w:r>
        <w:t>.</w:t>
      </w:r>
    </w:p>
    <w:p w:rsidR="00A02D55" w:rsidRDefault="00A02D55" w:rsidP="00A02D55">
      <w:pPr>
        <w:pStyle w:val="PPVBody"/>
      </w:pPr>
      <w:r>
        <w:t>Given the scope of changes that have been made to the dra</w:t>
      </w:r>
      <w:r w:rsidR="00465059">
        <w:t>f</w:t>
      </w:r>
      <w:r>
        <w:t xml:space="preserve">t Amendment and the further changes recommended by the Review Panel, it would be potentially </w:t>
      </w:r>
      <w:r w:rsidR="006E4AE0">
        <w:t>confusing</w:t>
      </w:r>
      <w:r>
        <w:t xml:space="preserve"> to include out of date </w:t>
      </w:r>
      <w:r w:rsidR="00222978">
        <w:t>Reference Document</w:t>
      </w:r>
      <w:r>
        <w:t xml:space="preserve">s in </w:t>
      </w:r>
      <w:r w:rsidR="006E4AE0">
        <w:t xml:space="preserve">Clause </w:t>
      </w:r>
      <w:r>
        <w:t>22.XX.</w:t>
      </w:r>
    </w:p>
    <w:p w:rsidR="00DD74BA" w:rsidRDefault="00DD74BA" w:rsidP="00DD74BA">
      <w:pPr>
        <w:pStyle w:val="PPVBody"/>
        <w:rPr>
          <w:szCs w:val="20"/>
        </w:rPr>
      </w:pPr>
      <w:bookmarkStart w:id="902" w:name="_Hlk519612919"/>
      <w:r>
        <w:t xml:space="preserve">If the Review Panel’s recommendations in relation to the draft Amendment are accepted, there will be a significant disjunct between the draft Framework and the draft Amendment.  Given the Review Panel recommends that the draft Framework be retained as a Reference Document, it may be appropriate to update the draft Framework to make it consistent with the Amendment.  </w:t>
      </w:r>
      <w:r w:rsidRPr="00D4049C">
        <w:rPr>
          <w:szCs w:val="20"/>
        </w:rPr>
        <w:t xml:space="preserve">The Review Panel considered whether to make changes to the </w:t>
      </w:r>
      <w:r>
        <w:rPr>
          <w:szCs w:val="20"/>
        </w:rPr>
        <w:t>d</w:t>
      </w:r>
      <w:r w:rsidRPr="00D4049C">
        <w:rPr>
          <w:szCs w:val="20"/>
        </w:rPr>
        <w:t xml:space="preserve">raft Framework and resolved that any changes should be made once the </w:t>
      </w:r>
      <w:r w:rsidR="00FC563B">
        <w:rPr>
          <w:szCs w:val="20"/>
        </w:rPr>
        <w:t>Precinct Plans</w:t>
      </w:r>
      <w:r w:rsidRPr="00D4049C">
        <w:rPr>
          <w:szCs w:val="20"/>
        </w:rPr>
        <w:t xml:space="preserve"> are prepared and in place.  </w:t>
      </w:r>
      <w:r>
        <w:rPr>
          <w:szCs w:val="20"/>
        </w:rPr>
        <w:t xml:space="preserve">The Review Panel’s </w:t>
      </w:r>
      <w:r w:rsidRPr="00D4049C">
        <w:rPr>
          <w:szCs w:val="20"/>
        </w:rPr>
        <w:t>findings and recommendations should be taken into ac</w:t>
      </w:r>
      <w:r>
        <w:rPr>
          <w:szCs w:val="20"/>
        </w:rPr>
        <w:t>count as this matter progresses.</w:t>
      </w:r>
    </w:p>
    <w:bookmarkEnd w:id="902"/>
    <w:p w:rsidR="00FA6FEC" w:rsidRPr="001C078B" w:rsidRDefault="00FA6FEC" w:rsidP="00FA6FEC">
      <w:pPr>
        <w:pStyle w:val="PPVBody"/>
        <w:rPr>
          <w:b/>
        </w:rPr>
      </w:pPr>
      <w:r w:rsidRPr="001C078B">
        <w:rPr>
          <w:b/>
        </w:rPr>
        <w:t xml:space="preserve">In accordance with the primary recommendation of the Review Panel to </w:t>
      </w:r>
      <w:r w:rsidR="000507EF">
        <w:rPr>
          <w:b/>
        </w:rPr>
        <w:t xml:space="preserve">progress </w:t>
      </w:r>
      <w:r w:rsidRPr="001C078B">
        <w:rPr>
          <w:b/>
        </w:rPr>
        <w:t>Amendment GC81, the following key changes have been included in</w:t>
      </w:r>
      <w:r>
        <w:rPr>
          <w:b/>
        </w:rPr>
        <w:t xml:space="preserve"> Clause 22XX</w:t>
      </w:r>
      <w:r w:rsidRPr="001C078B">
        <w:rPr>
          <w:b/>
        </w:rPr>
        <w:t>:</w:t>
      </w:r>
    </w:p>
    <w:p w:rsidR="00A02D55" w:rsidRPr="00FA6FEC" w:rsidRDefault="00FA6FEC" w:rsidP="00181298">
      <w:pPr>
        <w:pStyle w:val="PPVRecommendationDrafting"/>
      </w:pPr>
      <w:bookmarkStart w:id="903" w:name="_Toc518290540"/>
      <w:bookmarkStart w:id="904" w:name="_Toc518290697"/>
      <w:bookmarkStart w:id="905" w:name="_Toc518396317"/>
      <w:bookmarkStart w:id="906" w:name="_Toc518400759"/>
      <w:bookmarkStart w:id="907" w:name="_Toc518402943"/>
      <w:bookmarkStart w:id="908" w:name="_Toc518480336"/>
      <w:bookmarkStart w:id="909" w:name="_Toc518480764"/>
      <w:bookmarkStart w:id="910" w:name="_Toc518480930"/>
      <w:bookmarkStart w:id="911" w:name="_Toc518480999"/>
      <w:bookmarkStart w:id="912" w:name="_Toc518481786"/>
      <w:bookmarkStart w:id="913" w:name="_Toc518541433"/>
      <w:bookmarkStart w:id="914" w:name="_Toc518541633"/>
      <w:bookmarkStart w:id="915" w:name="_Toc518546431"/>
      <w:bookmarkStart w:id="916" w:name="_Toc518569397"/>
      <w:bookmarkStart w:id="917" w:name="_Toc518569568"/>
      <w:bookmarkStart w:id="918" w:name="_Toc518595191"/>
      <w:bookmarkStart w:id="919" w:name="_Toc518595698"/>
      <w:bookmarkStart w:id="920" w:name="_Toc518595939"/>
      <w:bookmarkStart w:id="921" w:name="_Toc518629983"/>
      <w:bookmarkStart w:id="922" w:name="_Toc518633420"/>
      <w:bookmarkStart w:id="923" w:name="_Toc518633587"/>
      <w:bookmarkStart w:id="924" w:name="_Toc518634251"/>
      <w:bookmarkStart w:id="925" w:name="_Toc518651674"/>
      <w:bookmarkStart w:id="926" w:name="_Toc518901582"/>
      <w:bookmarkStart w:id="927" w:name="_Toc518902735"/>
      <w:bookmarkStart w:id="928" w:name="_Toc518905673"/>
      <w:bookmarkStart w:id="929" w:name="_Toc518905850"/>
      <w:bookmarkStart w:id="930" w:name="_Toc518906053"/>
      <w:bookmarkStart w:id="931" w:name="_Toc518986484"/>
      <w:bookmarkStart w:id="932" w:name="_Toc518986521"/>
      <w:bookmarkStart w:id="933" w:name="_Toc518986558"/>
      <w:bookmarkStart w:id="934" w:name="_Toc518986726"/>
      <w:r>
        <w:t>D</w:t>
      </w:r>
      <w:r w:rsidR="00A02D55" w:rsidRPr="00FA6FEC">
        <w:t xml:space="preserve">elete the following </w:t>
      </w:r>
      <w:r w:rsidR="00222978" w:rsidRPr="00FA6FEC">
        <w:t>Reference Document</w:t>
      </w:r>
      <w:r w:rsidR="00A02D55" w:rsidRPr="00FA6FEC">
        <w:t>s:</w:t>
      </w:r>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p>
    <w:p w:rsidR="00A02D55" w:rsidRPr="00FA6FEC" w:rsidRDefault="00A02D55" w:rsidP="00FA6FEC">
      <w:pPr>
        <w:pStyle w:val="PPVBullet1"/>
        <w:rPr>
          <w:b/>
          <w:i/>
        </w:rPr>
      </w:pPr>
      <w:bookmarkStart w:id="935" w:name="_Toc518290541"/>
      <w:bookmarkStart w:id="936" w:name="_Toc518290698"/>
      <w:bookmarkStart w:id="937" w:name="_Toc518396318"/>
      <w:bookmarkStart w:id="938" w:name="_Toc518400760"/>
      <w:bookmarkStart w:id="939" w:name="_Toc518402944"/>
      <w:bookmarkStart w:id="940" w:name="_Toc518480337"/>
      <w:bookmarkStart w:id="941" w:name="_Toc518480765"/>
      <w:bookmarkStart w:id="942" w:name="_Toc518480931"/>
      <w:bookmarkStart w:id="943" w:name="_Toc518481000"/>
      <w:bookmarkStart w:id="944" w:name="_Toc518481787"/>
      <w:bookmarkStart w:id="945" w:name="_Toc518541434"/>
      <w:bookmarkStart w:id="946" w:name="_Toc518541634"/>
      <w:bookmarkStart w:id="947" w:name="_Toc518546432"/>
      <w:bookmarkStart w:id="948" w:name="_Toc518569398"/>
      <w:bookmarkStart w:id="949" w:name="_Toc518569569"/>
      <w:bookmarkStart w:id="950" w:name="_Toc518595192"/>
      <w:bookmarkStart w:id="951" w:name="_Toc518595699"/>
      <w:bookmarkStart w:id="952" w:name="_Toc518595940"/>
      <w:bookmarkStart w:id="953" w:name="_Toc518629984"/>
      <w:bookmarkStart w:id="954" w:name="_Toc518633421"/>
      <w:bookmarkStart w:id="955" w:name="_Toc518633588"/>
      <w:bookmarkStart w:id="956" w:name="_Toc518634252"/>
      <w:bookmarkStart w:id="957" w:name="_Toc518651675"/>
      <w:bookmarkStart w:id="958" w:name="_Toc518901583"/>
      <w:bookmarkStart w:id="959" w:name="_Toc518902736"/>
      <w:bookmarkStart w:id="960" w:name="_Toc518905674"/>
      <w:bookmarkStart w:id="961" w:name="_Toc518905851"/>
      <w:bookmarkStart w:id="962" w:name="_Toc518906054"/>
      <w:bookmarkStart w:id="963" w:name="_Toc518986485"/>
      <w:bookmarkStart w:id="964" w:name="_Toc518986522"/>
      <w:bookmarkStart w:id="965" w:name="_Toc518986559"/>
      <w:bookmarkStart w:id="966" w:name="_Toc518986727"/>
      <w:r w:rsidRPr="00FA6FEC">
        <w:rPr>
          <w:b/>
          <w:i/>
        </w:rPr>
        <w:t>Fishermans Bend Community Infrastructure Plan 2017</w:t>
      </w:r>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p>
    <w:p w:rsidR="00A02D55" w:rsidRPr="00FA6FEC" w:rsidRDefault="00A02D55" w:rsidP="00FA6FEC">
      <w:pPr>
        <w:pStyle w:val="PPVBullet1"/>
        <w:rPr>
          <w:b/>
          <w:i/>
        </w:rPr>
      </w:pPr>
      <w:bookmarkStart w:id="967" w:name="_Toc518290542"/>
      <w:bookmarkStart w:id="968" w:name="_Toc518290699"/>
      <w:bookmarkStart w:id="969" w:name="_Toc518396319"/>
      <w:bookmarkStart w:id="970" w:name="_Toc518400761"/>
      <w:bookmarkStart w:id="971" w:name="_Toc518402945"/>
      <w:bookmarkStart w:id="972" w:name="_Toc518480338"/>
      <w:bookmarkStart w:id="973" w:name="_Toc518480766"/>
      <w:bookmarkStart w:id="974" w:name="_Toc518480932"/>
      <w:bookmarkStart w:id="975" w:name="_Toc518481001"/>
      <w:bookmarkStart w:id="976" w:name="_Toc518481788"/>
      <w:bookmarkStart w:id="977" w:name="_Toc518541435"/>
      <w:bookmarkStart w:id="978" w:name="_Toc518541635"/>
      <w:bookmarkStart w:id="979" w:name="_Toc518546433"/>
      <w:bookmarkStart w:id="980" w:name="_Toc518569399"/>
      <w:bookmarkStart w:id="981" w:name="_Toc518569570"/>
      <w:bookmarkStart w:id="982" w:name="_Toc518595193"/>
      <w:bookmarkStart w:id="983" w:name="_Toc518595700"/>
      <w:bookmarkStart w:id="984" w:name="_Toc518595941"/>
      <w:bookmarkStart w:id="985" w:name="_Toc518629985"/>
      <w:bookmarkStart w:id="986" w:name="_Toc518633422"/>
      <w:bookmarkStart w:id="987" w:name="_Toc518633589"/>
      <w:bookmarkStart w:id="988" w:name="_Toc518634253"/>
      <w:bookmarkStart w:id="989" w:name="_Toc518651676"/>
      <w:bookmarkStart w:id="990" w:name="_Toc518901584"/>
      <w:bookmarkStart w:id="991" w:name="_Toc518902737"/>
      <w:bookmarkStart w:id="992" w:name="_Toc518905675"/>
      <w:bookmarkStart w:id="993" w:name="_Toc518905852"/>
      <w:bookmarkStart w:id="994" w:name="_Toc518906055"/>
      <w:bookmarkStart w:id="995" w:name="_Toc518986486"/>
      <w:bookmarkStart w:id="996" w:name="_Toc518986523"/>
      <w:bookmarkStart w:id="997" w:name="_Toc518986560"/>
      <w:bookmarkStart w:id="998" w:name="_Toc518986728"/>
      <w:r w:rsidRPr="00FA6FEC">
        <w:rPr>
          <w:b/>
          <w:i/>
        </w:rPr>
        <w:t>Fishermans Bend Urban Design Strategy 2017</w:t>
      </w:r>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p>
    <w:p w:rsidR="00A02D55" w:rsidRPr="00FA6FEC" w:rsidRDefault="00A02D55" w:rsidP="00FA6FEC">
      <w:pPr>
        <w:pStyle w:val="PPVBullet1"/>
        <w:rPr>
          <w:b/>
          <w:i/>
        </w:rPr>
      </w:pPr>
      <w:bookmarkStart w:id="999" w:name="_Toc518290543"/>
      <w:bookmarkStart w:id="1000" w:name="_Toc518290700"/>
      <w:bookmarkStart w:id="1001" w:name="_Toc518396320"/>
      <w:bookmarkStart w:id="1002" w:name="_Toc518400762"/>
      <w:bookmarkStart w:id="1003" w:name="_Toc518402946"/>
      <w:bookmarkStart w:id="1004" w:name="_Toc518480339"/>
      <w:bookmarkStart w:id="1005" w:name="_Toc518480767"/>
      <w:bookmarkStart w:id="1006" w:name="_Toc518480933"/>
      <w:bookmarkStart w:id="1007" w:name="_Toc518481002"/>
      <w:bookmarkStart w:id="1008" w:name="_Toc518481789"/>
      <w:bookmarkStart w:id="1009" w:name="_Toc518541436"/>
      <w:bookmarkStart w:id="1010" w:name="_Toc518541636"/>
      <w:bookmarkStart w:id="1011" w:name="_Toc518546434"/>
      <w:bookmarkStart w:id="1012" w:name="_Toc518569400"/>
      <w:bookmarkStart w:id="1013" w:name="_Toc518569571"/>
      <w:bookmarkStart w:id="1014" w:name="_Toc518595194"/>
      <w:bookmarkStart w:id="1015" w:name="_Toc518595701"/>
      <w:bookmarkStart w:id="1016" w:name="_Toc518595942"/>
      <w:bookmarkStart w:id="1017" w:name="_Toc518629986"/>
      <w:bookmarkStart w:id="1018" w:name="_Toc518633423"/>
      <w:bookmarkStart w:id="1019" w:name="_Toc518633590"/>
      <w:bookmarkStart w:id="1020" w:name="_Toc518634254"/>
      <w:bookmarkStart w:id="1021" w:name="_Toc518651677"/>
      <w:bookmarkStart w:id="1022" w:name="_Toc518901585"/>
      <w:bookmarkStart w:id="1023" w:name="_Toc518902738"/>
      <w:bookmarkStart w:id="1024" w:name="_Toc518905676"/>
      <w:bookmarkStart w:id="1025" w:name="_Toc518905853"/>
      <w:bookmarkStart w:id="1026" w:name="_Toc518906056"/>
      <w:bookmarkStart w:id="1027" w:name="_Toc518986487"/>
      <w:bookmarkStart w:id="1028" w:name="_Toc518986524"/>
      <w:bookmarkStart w:id="1029" w:name="_Toc518986561"/>
      <w:bookmarkStart w:id="1030" w:name="_Toc518986729"/>
      <w:r w:rsidRPr="00FA6FEC">
        <w:rPr>
          <w:b/>
          <w:i/>
        </w:rPr>
        <w:t>Fishermans Bend Waste and Resource Recovery Strategy 2017</w:t>
      </w:r>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p>
    <w:p w:rsidR="00A02D55" w:rsidRDefault="00A02D55" w:rsidP="00FA6FEC">
      <w:pPr>
        <w:pStyle w:val="PPVBullet1"/>
        <w:rPr>
          <w:b/>
          <w:i/>
        </w:rPr>
      </w:pPr>
      <w:bookmarkStart w:id="1031" w:name="_Toc518290544"/>
      <w:bookmarkStart w:id="1032" w:name="_Toc518290701"/>
      <w:bookmarkStart w:id="1033" w:name="_Toc518396321"/>
      <w:bookmarkStart w:id="1034" w:name="_Toc518400763"/>
      <w:bookmarkStart w:id="1035" w:name="_Toc518402947"/>
      <w:bookmarkStart w:id="1036" w:name="_Toc518480340"/>
      <w:bookmarkStart w:id="1037" w:name="_Toc518480768"/>
      <w:bookmarkStart w:id="1038" w:name="_Toc518480934"/>
      <w:bookmarkStart w:id="1039" w:name="_Toc518481003"/>
      <w:bookmarkStart w:id="1040" w:name="_Toc518481790"/>
      <w:bookmarkStart w:id="1041" w:name="_Toc518541437"/>
      <w:bookmarkStart w:id="1042" w:name="_Toc518541637"/>
      <w:bookmarkStart w:id="1043" w:name="_Toc518546435"/>
      <w:bookmarkStart w:id="1044" w:name="_Toc518569401"/>
      <w:bookmarkStart w:id="1045" w:name="_Toc518569572"/>
      <w:bookmarkStart w:id="1046" w:name="_Toc518595195"/>
      <w:bookmarkStart w:id="1047" w:name="_Toc518595702"/>
      <w:bookmarkStart w:id="1048" w:name="_Toc518595943"/>
      <w:bookmarkStart w:id="1049" w:name="_Toc518629987"/>
      <w:bookmarkStart w:id="1050" w:name="_Toc518633424"/>
      <w:bookmarkStart w:id="1051" w:name="_Toc518633591"/>
      <w:bookmarkStart w:id="1052" w:name="_Toc518634255"/>
      <w:bookmarkStart w:id="1053" w:name="_Toc518651678"/>
      <w:bookmarkStart w:id="1054" w:name="_Toc518901586"/>
      <w:bookmarkStart w:id="1055" w:name="_Toc518902739"/>
      <w:bookmarkStart w:id="1056" w:name="_Toc518905677"/>
      <w:bookmarkStart w:id="1057" w:name="_Toc518905854"/>
      <w:bookmarkStart w:id="1058" w:name="_Toc518906057"/>
      <w:bookmarkStart w:id="1059" w:name="_Toc518986488"/>
      <w:bookmarkStart w:id="1060" w:name="_Toc518986525"/>
      <w:bookmarkStart w:id="1061" w:name="_Toc518986562"/>
      <w:bookmarkStart w:id="1062" w:name="_Toc518986730"/>
      <w:r w:rsidRPr="00FA6FEC">
        <w:rPr>
          <w:b/>
          <w:i/>
        </w:rPr>
        <w:t>How to calculate floor area uplift and public benefits in Fishermans Bend.</w:t>
      </w:r>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p>
    <w:p w:rsidR="00A02D55" w:rsidRDefault="00A02D55" w:rsidP="00DD6314">
      <w:pPr>
        <w:pStyle w:val="Heading2"/>
      </w:pPr>
      <w:bookmarkStart w:id="1063" w:name="_Toc518402930"/>
      <w:bookmarkStart w:id="1064" w:name="_Toc519710339"/>
      <w:bookmarkStart w:id="1065" w:name="_Toc519766899"/>
      <w:r>
        <w:lastRenderedPageBreak/>
        <w:t>Capital City Zone</w:t>
      </w:r>
      <w:bookmarkEnd w:id="1063"/>
      <w:bookmarkEnd w:id="1064"/>
      <w:bookmarkEnd w:id="1065"/>
    </w:p>
    <w:p w:rsidR="00A02D55" w:rsidRDefault="00A02D55" w:rsidP="00A02D55">
      <w:pPr>
        <w:pStyle w:val="Heading4"/>
      </w:pPr>
      <w:r>
        <w:t>Mapping the amenity buffers</w:t>
      </w:r>
    </w:p>
    <w:p w:rsidR="00A02D55" w:rsidRPr="00F3556E" w:rsidRDefault="00A02D55" w:rsidP="00A02D55">
      <w:pPr>
        <w:pStyle w:val="PPVBody"/>
      </w:pPr>
      <w:r>
        <w:t>The CCZ provides a text</w:t>
      </w:r>
      <w:r w:rsidR="00465059">
        <w:t xml:space="preserve"> description of amenity buffers </w:t>
      </w:r>
      <w:r>
        <w:t>in the table of uses, and elsewhere in the CCZ.  For example, the Section 1 conditions for ‘Dwelling’ in the Table of uses are:</w:t>
      </w:r>
    </w:p>
    <w:p w:rsidR="00A02D55" w:rsidRPr="00F3556E" w:rsidRDefault="00A02D55" w:rsidP="00A02D55">
      <w:pPr>
        <w:pStyle w:val="PPVQuote"/>
      </w:pPr>
      <w:r w:rsidRPr="00F3556E">
        <w:t>Must meet the threshold distance from industrial and/or warehouse uses referred to in the table to Clause 52.10.</w:t>
      </w:r>
    </w:p>
    <w:p w:rsidR="00A02D55" w:rsidRPr="00F3556E" w:rsidRDefault="00A02D55" w:rsidP="00A02D55">
      <w:pPr>
        <w:pStyle w:val="PPVQuote"/>
      </w:pPr>
      <w:r w:rsidRPr="00F3556E">
        <w:t>Must be more than 300</w:t>
      </w:r>
      <w:r w:rsidR="007C4E3B">
        <w:t xml:space="preserve"> </w:t>
      </w:r>
      <w:r>
        <w:t>m</w:t>
      </w:r>
      <w:r w:rsidR="007C4E3B">
        <w:t>etres</w:t>
      </w:r>
      <w:r w:rsidR="00A80B82">
        <w:t xml:space="preserve"> from 223 – </w:t>
      </w:r>
      <w:r w:rsidRPr="00F3556E">
        <w:t>235 Boundar</w:t>
      </w:r>
      <w:r w:rsidR="00A80B82">
        <w:t xml:space="preserve">y St, 310 – 324 Ingles St and 209 – </w:t>
      </w:r>
      <w:r w:rsidRPr="00F3556E">
        <w:t>221 Boundary St, Port Melbourne.</w:t>
      </w:r>
    </w:p>
    <w:p w:rsidR="00A02D55" w:rsidRPr="00F3556E" w:rsidRDefault="00A02D55" w:rsidP="00A02D55">
      <w:pPr>
        <w:pStyle w:val="PPVQuote"/>
      </w:pPr>
      <w:r w:rsidRPr="00F3556E">
        <w:t>Must not be within 450 metres of the South Melbourne to Brooklyn or Dandenong to West Melbourne pipeline as shown on Map #.</w:t>
      </w:r>
    </w:p>
    <w:p w:rsidR="00A02D55" w:rsidRDefault="00A02D55" w:rsidP="00A02D55">
      <w:pPr>
        <w:pStyle w:val="PPVQuote"/>
      </w:pPr>
      <w:r w:rsidRPr="00F3556E">
        <w:t>Must not be within 100 metres of the Port Melbourne to Symex Holdings pipeline as shown on Map #.</w:t>
      </w:r>
    </w:p>
    <w:p w:rsidR="00A02D55" w:rsidRDefault="00A02D55" w:rsidP="00A02D55">
      <w:pPr>
        <w:pStyle w:val="PPVBody"/>
      </w:pPr>
      <w:r>
        <w:t>The Review Panel believes this information should be mapped so the conditions could be expressed as:</w:t>
      </w:r>
    </w:p>
    <w:p w:rsidR="00A02D55" w:rsidRPr="00F3556E" w:rsidRDefault="00A02D55" w:rsidP="00A02D55">
      <w:pPr>
        <w:pStyle w:val="PPVQuote"/>
      </w:pPr>
      <w:r w:rsidRPr="00F3556E">
        <w:t>Must not be within an Amenity buffer shown on Map ##.</w:t>
      </w:r>
    </w:p>
    <w:p w:rsidR="00A02D55" w:rsidRDefault="00A02D55" w:rsidP="00A02D55">
      <w:pPr>
        <w:pStyle w:val="PPVQuote"/>
      </w:pPr>
      <w:r w:rsidRPr="00F3556E">
        <w:t>Must not be within the Pipelines buffer shown on Map##.</w:t>
      </w:r>
    </w:p>
    <w:p w:rsidR="00A02D55" w:rsidRDefault="00A02D55" w:rsidP="00A02D55">
      <w:pPr>
        <w:pStyle w:val="PPVBody"/>
      </w:pPr>
      <w:r>
        <w:t>Mapping these distances will make the control easier to use and interpret.  It will also avoid any confusion about precisely what land is covered by these conditions.</w:t>
      </w:r>
    </w:p>
    <w:p w:rsidR="00FA6FEC" w:rsidRPr="001C078B" w:rsidRDefault="00FA6FEC" w:rsidP="00FA6FEC">
      <w:pPr>
        <w:pStyle w:val="PPVBody"/>
        <w:rPr>
          <w:b/>
        </w:rPr>
      </w:pPr>
      <w:r w:rsidRPr="001C078B">
        <w:rPr>
          <w:b/>
        </w:rPr>
        <w:t>In accordance with the primary recommendation of the Review Panel to</w:t>
      </w:r>
      <w:r w:rsidRPr="000507EF">
        <w:rPr>
          <w:b/>
        </w:rPr>
        <w:t xml:space="preserve"> </w:t>
      </w:r>
      <w:r w:rsidR="000507EF" w:rsidRPr="000507EF">
        <w:rPr>
          <w:b/>
        </w:rPr>
        <w:t>progress</w:t>
      </w:r>
      <w:r w:rsidR="000507EF">
        <w:t xml:space="preserve"> </w:t>
      </w:r>
      <w:r w:rsidRPr="001C078B">
        <w:rPr>
          <w:b/>
        </w:rPr>
        <w:t xml:space="preserve">Amendment GC81, the following key changes have been included in the </w:t>
      </w:r>
      <w:r>
        <w:rPr>
          <w:b/>
        </w:rPr>
        <w:t>Capital City Zone</w:t>
      </w:r>
      <w:r w:rsidRPr="001C078B">
        <w:rPr>
          <w:b/>
        </w:rPr>
        <w:t>:</w:t>
      </w:r>
    </w:p>
    <w:p w:rsidR="00A02D55" w:rsidRPr="00FA6FEC" w:rsidRDefault="00FA6FEC" w:rsidP="00181298">
      <w:pPr>
        <w:pStyle w:val="PPVRecommendationDrafting"/>
      </w:pPr>
      <w:bookmarkStart w:id="1066" w:name="_Toc518396322"/>
      <w:bookmarkStart w:id="1067" w:name="_Toc518400764"/>
      <w:bookmarkStart w:id="1068" w:name="_Toc518402948"/>
      <w:bookmarkStart w:id="1069" w:name="_Toc518480341"/>
      <w:bookmarkStart w:id="1070" w:name="_Toc518480769"/>
      <w:bookmarkStart w:id="1071" w:name="_Toc518480935"/>
      <w:bookmarkStart w:id="1072" w:name="_Toc518481004"/>
      <w:bookmarkStart w:id="1073" w:name="_Toc518481791"/>
      <w:bookmarkStart w:id="1074" w:name="_Toc518541438"/>
      <w:bookmarkStart w:id="1075" w:name="_Toc518541638"/>
      <w:bookmarkStart w:id="1076" w:name="_Toc518546436"/>
      <w:bookmarkStart w:id="1077" w:name="_Toc518569402"/>
      <w:bookmarkStart w:id="1078" w:name="_Toc518569573"/>
      <w:bookmarkStart w:id="1079" w:name="_Toc518595196"/>
      <w:bookmarkStart w:id="1080" w:name="_Toc518595703"/>
      <w:bookmarkStart w:id="1081" w:name="_Toc518595944"/>
      <w:bookmarkStart w:id="1082" w:name="_Toc518629988"/>
      <w:bookmarkStart w:id="1083" w:name="_Toc518633425"/>
      <w:bookmarkStart w:id="1084" w:name="_Toc518633592"/>
      <w:bookmarkStart w:id="1085" w:name="_Toc518634256"/>
      <w:bookmarkStart w:id="1086" w:name="_Toc518651679"/>
      <w:bookmarkStart w:id="1087" w:name="_Toc518901587"/>
      <w:bookmarkStart w:id="1088" w:name="_Toc518902740"/>
      <w:bookmarkStart w:id="1089" w:name="_Toc518905678"/>
      <w:bookmarkStart w:id="1090" w:name="_Toc518905855"/>
      <w:bookmarkStart w:id="1091" w:name="_Toc518906058"/>
      <w:bookmarkStart w:id="1092" w:name="_Toc518986489"/>
      <w:bookmarkStart w:id="1093" w:name="_Toc518986526"/>
      <w:bookmarkStart w:id="1094" w:name="_Toc518986563"/>
      <w:bookmarkStart w:id="1095" w:name="_Toc518986731"/>
      <w:r>
        <w:t>I</w:t>
      </w:r>
      <w:r w:rsidR="00A02D55" w:rsidRPr="00FA6FEC">
        <w:t>nclude maps showing amenity and pipeline buffers and revise the text accordingly.</w:t>
      </w:r>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p>
    <w:p w:rsidR="00DD74BA" w:rsidRDefault="00DD74BA" w:rsidP="00DD74BA">
      <w:pPr>
        <w:pStyle w:val="Heading2"/>
      </w:pPr>
      <w:bookmarkStart w:id="1096" w:name="_Toc519710340"/>
      <w:bookmarkStart w:id="1097" w:name="_Toc519766900"/>
      <w:bookmarkStart w:id="1098" w:name="_Toc518402931"/>
      <w:r>
        <w:t>Parking Overlay</w:t>
      </w:r>
      <w:bookmarkEnd w:id="1096"/>
      <w:bookmarkEnd w:id="1097"/>
    </w:p>
    <w:p w:rsidR="00DD74BA" w:rsidRDefault="00DD74BA" w:rsidP="00DD74BA">
      <w:pPr>
        <w:pStyle w:val="PPVBody"/>
      </w:pPr>
      <w:r>
        <w:t>A number of provisions regarding site access and crossovers in the Parking Overlay are dealt with in a more sophisticated fashion in the CCZ.  They can be removed from the Parking Overlay.</w:t>
      </w:r>
    </w:p>
    <w:p w:rsidR="00DD74BA" w:rsidRPr="001C078B" w:rsidRDefault="00DD74BA" w:rsidP="00DD74BA">
      <w:pPr>
        <w:pStyle w:val="PPVBody"/>
        <w:rPr>
          <w:b/>
        </w:rPr>
      </w:pPr>
      <w:r w:rsidRPr="001C078B">
        <w:rPr>
          <w:b/>
        </w:rPr>
        <w:t>In accordance with the primary recommendation of the Review Panel to</w:t>
      </w:r>
      <w:r w:rsidRPr="000507EF">
        <w:rPr>
          <w:b/>
        </w:rPr>
        <w:t xml:space="preserve"> progress</w:t>
      </w:r>
      <w:r>
        <w:t xml:space="preserve"> </w:t>
      </w:r>
      <w:r w:rsidRPr="001C078B">
        <w:rPr>
          <w:b/>
        </w:rPr>
        <w:t xml:space="preserve">Amendment GC81, the following key changes have been included in the </w:t>
      </w:r>
      <w:r>
        <w:rPr>
          <w:b/>
        </w:rPr>
        <w:t>Parking Overlay</w:t>
      </w:r>
      <w:r w:rsidRPr="001C078B">
        <w:rPr>
          <w:b/>
        </w:rPr>
        <w:t>:</w:t>
      </w:r>
    </w:p>
    <w:p w:rsidR="00DD74BA" w:rsidRPr="00FA6FEC" w:rsidRDefault="00DD74BA" w:rsidP="00DD74BA">
      <w:pPr>
        <w:pStyle w:val="PPVRecommendationDrafting"/>
      </w:pPr>
      <w:r>
        <w:t>Remove controls relating to crossovers where they overlap with the CCZ</w:t>
      </w:r>
      <w:r w:rsidRPr="00FA6FEC">
        <w:t>.</w:t>
      </w:r>
    </w:p>
    <w:p w:rsidR="00A02D55" w:rsidRDefault="00A02D55" w:rsidP="00DD6314">
      <w:pPr>
        <w:pStyle w:val="Heading2"/>
      </w:pPr>
      <w:bookmarkStart w:id="1099" w:name="_Toc519710341"/>
      <w:bookmarkStart w:id="1100" w:name="_Toc519766901"/>
      <w:r>
        <w:t>Design and Development Overlay</w:t>
      </w:r>
      <w:bookmarkEnd w:id="1098"/>
      <w:bookmarkEnd w:id="1099"/>
      <w:bookmarkEnd w:id="1100"/>
    </w:p>
    <w:p w:rsidR="00A02D55" w:rsidRDefault="00A02D55" w:rsidP="00A02D55">
      <w:pPr>
        <w:pStyle w:val="Heading4"/>
      </w:pPr>
      <w:r>
        <w:t>Should there be separate DDOs</w:t>
      </w:r>
    </w:p>
    <w:p w:rsidR="00A02D55" w:rsidRDefault="00A02D55" w:rsidP="00A02D55">
      <w:r>
        <w:t>There will, o</w:t>
      </w:r>
      <w:r w:rsidR="006E4AE0">
        <w:t>f</w:t>
      </w:r>
      <w:r>
        <w:t xml:space="preserve"> course, be a separate DDO for Lorimer because it is </w:t>
      </w:r>
      <w:r w:rsidR="006E4AE0">
        <w:t xml:space="preserve">only </w:t>
      </w:r>
      <w:r>
        <w:t>i</w:t>
      </w:r>
      <w:r w:rsidR="006E4AE0">
        <w:t>n the Melbourne Planning Scheme.</w:t>
      </w:r>
    </w:p>
    <w:p w:rsidR="00A02D55" w:rsidRDefault="00A02D55" w:rsidP="00A02D55">
      <w:r>
        <w:t>Whether or not there is one or several DDOs is not a critical factor.  What important is that there are no meaningless variations between the DDOs.</w:t>
      </w:r>
    </w:p>
    <w:p w:rsidR="00A02D55" w:rsidRDefault="00A02D55" w:rsidP="00A02D55">
      <w:pPr>
        <w:pStyle w:val="Heading4"/>
      </w:pPr>
      <w:bookmarkStart w:id="1101" w:name="_Toc516581154"/>
      <w:r>
        <w:t>Development viability exemption</w:t>
      </w:r>
    </w:p>
    <w:p w:rsidR="00A02D55" w:rsidRDefault="00A02D55" w:rsidP="00A02D55">
      <w:pPr>
        <w:pStyle w:val="PPVBody"/>
      </w:pPr>
      <w:r w:rsidRPr="00501EC8">
        <w:t xml:space="preserve">Claric Ninety Nine Pty Ltd </w:t>
      </w:r>
      <w:r>
        <w:t>submitted that the CCZ should contain a provision that allowed the FAR to be exceeded if i</w:t>
      </w:r>
      <w:r w:rsidRPr="00501EC8">
        <w:t xml:space="preserve">t can be demonstrated to the satisfaction of the </w:t>
      </w:r>
      <w:r w:rsidR="001E7E50">
        <w:t>r</w:t>
      </w:r>
      <w:r w:rsidRPr="00501EC8">
        <w:t xml:space="preserve">esponsible </w:t>
      </w:r>
      <w:r w:rsidR="001E7E50">
        <w:t>a</w:t>
      </w:r>
      <w:r w:rsidRPr="00501EC8">
        <w:t xml:space="preserve">uthority </w:t>
      </w:r>
      <w:r w:rsidRPr="00501EC8">
        <w:lastRenderedPageBreak/>
        <w:t>that the quantum of land required for the provision of streets, laneways or open space</w:t>
      </w:r>
      <w:r>
        <w:t xml:space="preserve"> </w:t>
      </w:r>
      <w:r w:rsidRPr="00501EC8">
        <w:t>renders the development of the site unviable.</w:t>
      </w:r>
    </w:p>
    <w:p w:rsidR="00A02D55" w:rsidRDefault="00A02D55" w:rsidP="00A02D55">
      <w:pPr>
        <w:pStyle w:val="PPVBody"/>
      </w:pPr>
      <w:r>
        <w:t>The Review Panel believes that the solution to this issue is to properly compensate for the acquisition of o</w:t>
      </w:r>
      <w:r w:rsidR="00465059">
        <w:t>pen</w:t>
      </w:r>
      <w:r>
        <w:t xml:space="preserve"> space, or roads that serve more than the specific needs of the development site.</w:t>
      </w:r>
      <w:r w:rsidR="00756D59">
        <w:t xml:space="preserve">  Severance matters (which would include the question of whether development of the remaining part of the site is viable) would be dealt with as part of that process.</w:t>
      </w:r>
    </w:p>
    <w:p w:rsidR="00DD74BA" w:rsidRPr="001A7E19" w:rsidRDefault="00DD74BA" w:rsidP="00DD74BA">
      <w:pPr>
        <w:pStyle w:val="Heading4"/>
      </w:pPr>
      <w:r w:rsidRPr="001A7E19">
        <w:t>Building typologies</w:t>
      </w:r>
    </w:p>
    <w:p w:rsidR="00DD74BA" w:rsidRPr="001A7E19" w:rsidRDefault="00DD74BA" w:rsidP="00DD74BA">
      <w:pPr>
        <w:pStyle w:val="PPVBody"/>
      </w:pPr>
      <w:r w:rsidRPr="001A7E19">
        <w:t>The building typologies assigned to a number of sub</w:t>
      </w:r>
      <w:r w:rsidR="00346B0A">
        <w:t>precincts</w:t>
      </w:r>
      <w:r w:rsidRPr="001A7E19">
        <w:t xml:space="preserve"> changed during the course of the Hearing.  This appears to have been more a matter of drafting than a fundamental policy shift.</w:t>
      </w:r>
    </w:p>
    <w:p w:rsidR="00DD74BA" w:rsidRPr="001A7E19" w:rsidRDefault="00DD74BA" w:rsidP="00DD74BA">
      <w:pPr>
        <w:pStyle w:val="PPVBody"/>
      </w:pPr>
      <w:r w:rsidRPr="001A7E19">
        <w:t>Melbourne and Port Phillip both sought changes to the Part C preferred character statements, and the Review Panel has adopted a number of these changes.</w:t>
      </w:r>
    </w:p>
    <w:p w:rsidR="00DD74BA" w:rsidRPr="0009370E" w:rsidRDefault="00DD74BA" w:rsidP="00DD74BA">
      <w:pPr>
        <w:pStyle w:val="PPVBody"/>
        <w:rPr>
          <w:b/>
        </w:rPr>
      </w:pPr>
      <w:r w:rsidRPr="001A7E19">
        <w:rPr>
          <w:b/>
        </w:rPr>
        <w:t>In accordance with the primary recommendation of the Review Panel to progress</w:t>
      </w:r>
      <w:r w:rsidRPr="001A7E19">
        <w:t xml:space="preserve"> </w:t>
      </w:r>
      <w:r w:rsidRPr="00922DBB">
        <w:rPr>
          <w:b/>
        </w:rPr>
        <w:t xml:space="preserve">Amendment GC81, the following key changes have been included in the </w:t>
      </w:r>
      <w:r w:rsidRPr="00536FE6">
        <w:rPr>
          <w:b/>
        </w:rPr>
        <w:t>Design and D</w:t>
      </w:r>
      <w:r w:rsidRPr="0009370E">
        <w:rPr>
          <w:b/>
        </w:rPr>
        <w:t>evelopment Overlay:</w:t>
      </w:r>
    </w:p>
    <w:p w:rsidR="00DD74BA" w:rsidRPr="001A7E19" w:rsidRDefault="00DD74BA" w:rsidP="00DD74BA">
      <w:pPr>
        <w:pStyle w:val="PPVRecommendationDrafting"/>
      </w:pPr>
      <w:r w:rsidRPr="001A7E19">
        <w:t>Update the preferred character statements.</w:t>
      </w:r>
    </w:p>
    <w:bookmarkEnd w:id="1101"/>
    <w:p w:rsidR="00A02D55" w:rsidRDefault="00A02D55" w:rsidP="00A02D55">
      <w:pPr>
        <w:pStyle w:val="Heading4"/>
      </w:pPr>
      <w:r>
        <w:t>Building height</w:t>
      </w:r>
    </w:p>
    <w:p w:rsidR="00A02D55" w:rsidRDefault="00A02D55" w:rsidP="00A02D55">
      <w:r>
        <w:t>Melbourne submitted:</w:t>
      </w:r>
    </w:p>
    <w:p w:rsidR="00A02D55" w:rsidRDefault="00A02D55" w:rsidP="00A02D55">
      <w:pPr>
        <w:pStyle w:val="PPVQuote"/>
      </w:pPr>
      <w:r>
        <w:t>By expressing the height requirement in storeys and metres in Map 2, compliance with this built form requirement is made ambiguous.</w:t>
      </w:r>
    </w:p>
    <w:p w:rsidR="00B858F1" w:rsidRPr="001C078B" w:rsidRDefault="00B858F1" w:rsidP="00B858F1">
      <w:pPr>
        <w:pStyle w:val="PPVBody"/>
        <w:rPr>
          <w:b/>
        </w:rPr>
      </w:pPr>
      <w:r w:rsidRPr="001C078B">
        <w:rPr>
          <w:b/>
        </w:rPr>
        <w:t xml:space="preserve">In accordance with the primary recommendation of the Review Panel to </w:t>
      </w:r>
      <w:r w:rsidR="000507EF">
        <w:rPr>
          <w:b/>
        </w:rPr>
        <w:t xml:space="preserve">progress </w:t>
      </w:r>
      <w:r w:rsidRPr="001C078B">
        <w:rPr>
          <w:b/>
        </w:rPr>
        <w:t xml:space="preserve">Amendment GC81, the following key changes have been included in the amended </w:t>
      </w:r>
      <w:r>
        <w:rPr>
          <w:b/>
        </w:rPr>
        <w:t>Design and Development Overlays</w:t>
      </w:r>
      <w:r w:rsidRPr="001C078B">
        <w:rPr>
          <w:b/>
        </w:rPr>
        <w:t>:</w:t>
      </w:r>
    </w:p>
    <w:p w:rsidR="00A02D55" w:rsidRPr="00B858F1" w:rsidRDefault="00B858F1" w:rsidP="00181298">
      <w:pPr>
        <w:pStyle w:val="PPVRecommendationDrafting"/>
      </w:pPr>
      <w:bookmarkStart w:id="1102" w:name="_Toc518290545"/>
      <w:bookmarkStart w:id="1103" w:name="_Toc518290702"/>
      <w:bookmarkStart w:id="1104" w:name="_Toc518396323"/>
      <w:bookmarkStart w:id="1105" w:name="_Toc518400765"/>
      <w:bookmarkStart w:id="1106" w:name="_Toc518402949"/>
      <w:bookmarkStart w:id="1107" w:name="_Toc518480342"/>
      <w:bookmarkStart w:id="1108" w:name="_Toc518480770"/>
      <w:bookmarkStart w:id="1109" w:name="_Toc518480936"/>
      <w:bookmarkStart w:id="1110" w:name="_Toc518481005"/>
      <w:bookmarkStart w:id="1111" w:name="_Toc518481792"/>
      <w:bookmarkStart w:id="1112" w:name="_Toc518541439"/>
      <w:bookmarkStart w:id="1113" w:name="_Toc518541639"/>
      <w:bookmarkStart w:id="1114" w:name="_Toc518546437"/>
      <w:bookmarkStart w:id="1115" w:name="_Toc518569403"/>
      <w:bookmarkStart w:id="1116" w:name="_Toc518569574"/>
      <w:bookmarkStart w:id="1117" w:name="_Toc518595197"/>
      <w:bookmarkStart w:id="1118" w:name="_Toc518595704"/>
      <w:bookmarkStart w:id="1119" w:name="_Toc518595945"/>
      <w:bookmarkStart w:id="1120" w:name="_Toc518629989"/>
      <w:bookmarkStart w:id="1121" w:name="_Toc518633426"/>
      <w:bookmarkStart w:id="1122" w:name="_Toc518633593"/>
      <w:bookmarkStart w:id="1123" w:name="_Toc518634257"/>
      <w:bookmarkStart w:id="1124" w:name="_Toc518651680"/>
      <w:bookmarkStart w:id="1125" w:name="_Toc518901588"/>
      <w:bookmarkStart w:id="1126" w:name="_Toc518902741"/>
      <w:bookmarkStart w:id="1127" w:name="_Toc518905679"/>
      <w:bookmarkStart w:id="1128" w:name="_Toc518905856"/>
      <w:bookmarkStart w:id="1129" w:name="_Toc518906059"/>
      <w:bookmarkStart w:id="1130" w:name="_Toc518986490"/>
      <w:bookmarkStart w:id="1131" w:name="_Toc518986527"/>
      <w:bookmarkStart w:id="1132" w:name="_Toc518986564"/>
      <w:bookmarkStart w:id="1133" w:name="_Toc518986732"/>
      <w:r w:rsidRPr="00B858F1">
        <w:t>Ex</w:t>
      </w:r>
      <w:r w:rsidR="00A02D55" w:rsidRPr="00B858F1">
        <w:t>press all height requirements in storeys.</w:t>
      </w:r>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p>
    <w:p w:rsidR="00A02D55" w:rsidRDefault="00A02D55" w:rsidP="00A02D55">
      <w:pPr>
        <w:pStyle w:val="Heading4"/>
      </w:pPr>
      <w:r>
        <w:t>Street wall height and setback</w:t>
      </w:r>
    </w:p>
    <w:p w:rsidR="00A02D55" w:rsidRPr="0027294E" w:rsidRDefault="00A02D55" w:rsidP="00A02D55">
      <w:pPr>
        <w:pStyle w:val="PPVBody"/>
      </w:pPr>
      <w:r>
        <w:t>The Sandridge DDO proposed:</w:t>
      </w:r>
    </w:p>
    <w:p w:rsidR="00A02D55" w:rsidRDefault="00A02D55" w:rsidP="00A02D55">
      <w:pPr>
        <w:pStyle w:val="PPVQuote"/>
      </w:pPr>
      <w:r w:rsidRPr="0027294E">
        <w:t xml:space="preserve">In </w:t>
      </w:r>
      <w:r w:rsidR="00673AF0">
        <w:t>non-core</w:t>
      </w:r>
      <w:r w:rsidRPr="0027294E">
        <w:t xml:space="preserve"> areas, except on </w:t>
      </w:r>
      <w:r w:rsidR="001E7E50">
        <w:t>S</w:t>
      </w:r>
      <w:r w:rsidR="006E4AE0">
        <w:t>econdary active frontages, a</w:t>
      </w:r>
      <w:r w:rsidRPr="0027294E">
        <w:t>long Williamstown Road, residential uses at ground floor should be setback 3 metres from the street boundary to facilitate landscaped transition from the street to ground floor apartments.</w:t>
      </w:r>
    </w:p>
    <w:p w:rsidR="00A02D55" w:rsidRPr="0027294E" w:rsidRDefault="00A02D55" w:rsidP="00A02D55">
      <w:pPr>
        <w:pStyle w:val="PPVBody"/>
      </w:pPr>
      <w:r>
        <w:t>Port Phillip submitted that this was:</w:t>
      </w:r>
    </w:p>
    <w:p w:rsidR="00A02D55" w:rsidRPr="0027294E" w:rsidRDefault="00A02D55" w:rsidP="00A02D55">
      <w:pPr>
        <w:pStyle w:val="PPVQuote"/>
      </w:pPr>
      <w:r w:rsidRPr="0027294E">
        <w:t>Unnecessary given most these streets have linear parks along one side.</w:t>
      </w:r>
      <w:r>
        <w:t xml:space="preserve">  </w:t>
      </w:r>
      <w:r w:rsidRPr="0027294E">
        <w:t>Further, this may create staggered buildings to the street with varying setbacks which is undesirable in a high</w:t>
      </w:r>
      <w:r w:rsidR="00F224D9">
        <w:t xml:space="preserve"> </w:t>
      </w:r>
      <w:r w:rsidRPr="0027294E">
        <w:t>density environment.</w:t>
      </w:r>
    </w:p>
    <w:p w:rsidR="00A02D55" w:rsidRPr="000C4629" w:rsidRDefault="00A02D55" w:rsidP="00A02D55">
      <w:pPr>
        <w:pStyle w:val="PPVBody"/>
      </w:pPr>
      <w:r>
        <w:t xml:space="preserve">The Review Panel supports the use of landscaped front setbacks for dwellings in </w:t>
      </w:r>
      <w:r w:rsidR="00673AF0">
        <w:t>non-core</w:t>
      </w:r>
      <w:r>
        <w:t xml:space="preserve"> areas.  The landscaped setback will add more greenery to streets, and it is not clear to the Review Panel why </w:t>
      </w:r>
      <w:r w:rsidR="00F70663">
        <w:t xml:space="preserve">a </w:t>
      </w:r>
      <w:r>
        <w:t>staggered setback would be undesirable.</w:t>
      </w:r>
    </w:p>
    <w:p w:rsidR="00DD74BA" w:rsidRDefault="00DD74BA" w:rsidP="00DD74BA">
      <w:pPr>
        <w:pStyle w:val="PPVBody"/>
      </w:pPr>
      <w:r>
        <w:lastRenderedPageBreak/>
        <w:t>Melbourne submitted the DDO maps needed to present the specific urban features referred to in the controls.  Melbourne proposed that street walls in Lorimer be specified by using a map.  This would provide direction on:</w:t>
      </w:r>
    </w:p>
    <w:p w:rsidR="00DD74BA" w:rsidRDefault="00DD74BA" w:rsidP="00DD74BA">
      <w:pPr>
        <w:pStyle w:val="PPVBullet1"/>
      </w:pPr>
      <w:r w:rsidRPr="008C03A4">
        <w:t>street walls facing public open space other than Lorimer Parkway</w:t>
      </w:r>
    </w:p>
    <w:p w:rsidR="00DD74BA" w:rsidRDefault="00DD74BA" w:rsidP="00DD74BA">
      <w:pPr>
        <w:pStyle w:val="PPVBullet1"/>
      </w:pPr>
      <w:r w:rsidRPr="008C03A4">
        <w:t xml:space="preserve">the role played by street wall orientation, with respect to the impact posed by street wall height to sunlight </w:t>
      </w:r>
      <w:r>
        <w:t>penetration to the public realm</w:t>
      </w:r>
    </w:p>
    <w:p w:rsidR="00DD74BA" w:rsidRDefault="00DD74BA" w:rsidP="00DD74BA">
      <w:pPr>
        <w:pStyle w:val="PPVBullet1"/>
      </w:pPr>
      <w:r w:rsidRPr="008C03A4">
        <w:t>street walls facing the West</w:t>
      </w:r>
      <w:r>
        <w:t xml:space="preserve"> G</w:t>
      </w:r>
      <w:r w:rsidRPr="008C03A4">
        <w:t xml:space="preserve">ate </w:t>
      </w:r>
      <w:r>
        <w:t>Freeway</w:t>
      </w:r>
      <w:r w:rsidRPr="008C03A4">
        <w:t xml:space="preserve"> interface.</w:t>
      </w:r>
    </w:p>
    <w:p w:rsidR="00DD74BA" w:rsidRDefault="00DD74BA" w:rsidP="00DD74BA">
      <w:pPr>
        <w:pStyle w:val="PPVBody"/>
      </w:pPr>
      <w:r>
        <w:t>The Minister had proposed adding laneways along the edges of parks that did not have a direct street interface, in order to engage the street wall height controls and provide clarity as to the applicable street wall heights.  The Review Panel does not support this approach, and prefers the Melbourne approach of mapping street wall heights facing public open space.</w:t>
      </w:r>
    </w:p>
    <w:p w:rsidR="00B858F1" w:rsidRPr="001C078B" w:rsidRDefault="00B858F1" w:rsidP="00B858F1">
      <w:pPr>
        <w:pStyle w:val="PPVBody"/>
        <w:rPr>
          <w:b/>
        </w:rPr>
      </w:pPr>
      <w:r w:rsidRPr="001C078B">
        <w:rPr>
          <w:b/>
        </w:rPr>
        <w:t xml:space="preserve">In accordance with the primary recommendation of the Review Panel to </w:t>
      </w:r>
      <w:r w:rsidR="000507EF">
        <w:rPr>
          <w:b/>
        </w:rPr>
        <w:t xml:space="preserve">progress </w:t>
      </w:r>
      <w:r w:rsidRPr="001C078B">
        <w:rPr>
          <w:b/>
        </w:rPr>
        <w:t>Amendment GC81, the following key changes have been included in the amended</w:t>
      </w:r>
      <w:r>
        <w:rPr>
          <w:b/>
        </w:rPr>
        <w:t xml:space="preserve"> Design and Development Overlay for Lorimer</w:t>
      </w:r>
      <w:r w:rsidRPr="001C078B">
        <w:rPr>
          <w:b/>
        </w:rPr>
        <w:t>:</w:t>
      </w:r>
    </w:p>
    <w:p w:rsidR="00A02D55" w:rsidRPr="00B858F1" w:rsidRDefault="00B858F1" w:rsidP="00181298">
      <w:pPr>
        <w:pStyle w:val="PPVRecommendationDrafting"/>
      </w:pPr>
      <w:bookmarkStart w:id="1134" w:name="_Toc518396324"/>
      <w:bookmarkStart w:id="1135" w:name="_Toc518400766"/>
      <w:bookmarkStart w:id="1136" w:name="_Toc518402950"/>
      <w:bookmarkStart w:id="1137" w:name="_Toc518480343"/>
      <w:bookmarkStart w:id="1138" w:name="_Toc518480771"/>
      <w:bookmarkStart w:id="1139" w:name="_Toc518480937"/>
      <w:bookmarkStart w:id="1140" w:name="_Toc518481006"/>
      <w:bookmarkStart w:id="1141" w:name="_Toc518481793"/>
      <w:bookmarkStart w:id="1142" w:name="_Toc518541440"/>
      <w:bookmarkStart w:id="1143" w:name="_Toc518541640"/>
      <w:bookmarkStart w:id="1144" w:name="_Toc518546438"/>
      <w:bookmarkStart w:id="1145" w:name="_Toc518569404"/>
      <w:bookmarkStart w:id="1146" w:name="_Toc518569575"/>
      <w:bookmarkStart w:id="1147" w:name="_Toc518595198"/>
      <w:bookmarkStart w:id="1148" w:name="_Toc518595705"/>
      <w:bookmarkStart w:id="1149" w:name="_Toc518595946"/>
      <w:bookmarkStart w:id="1150" w:name="_Toc518629990"/>
      <w:bookmarkStart w:id="1151" w:name="_Toc518633427"/>
      <w:bookmarkStart w:id="1152" w:name="_Toc518633594"/>
      <w:bookmarkStart w:id="1153" w:name="_Toc518634258"/>
      <w:bookmarkStart w:id="1154" w:name="_Toc518651681"/>
      <w:bookmarkStart w:id="1155" w:name="_Toc518901589"/>
      <w:bookmarkStart w:id="1156" w:name="_Toc518902742"/>
      <w:bookmarkStart w:id="1157" w:name="_Toc518905680"/>
      <w:bookmarkStart w:id="1158" w:name="_Toc518905857"/>
      <w:bookmarkStart w:id="1159" w:name="_Toc518906060"/>
      <w:bookmarkStart w:id="1160" w:name="_Toc518986491"/>
      <w:bookmarkStart w:id="1161" w:name="_Toc518986528"/>
      <w:bookmarkStart w:id="1162" w:name="_Toc518986565"/>
      <w:bookmarkStart w:id="1163" w:name="_Toc518986733"/>
      <w:r w:rsidRPr="00B858F1">
        <w:t>U</w:t>
      </w:r>
      <w:r w:rsidR="00A02D55" w:rsidRPr="00B858F1">
        <w:t>se a plan to identify what street wall height applies.</w:t>
      </w:r>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p>
    <w:p w:rsidR="00A02D55" w:rsidRPr="00DD74BA" w:rsidRDefault="00A02D55" w:rsidP="00A02D55">
      <w:pPr>
        <w:pStyle w:val="Heading4"/>
      </w:pPr>
      <w:r w:rsidRPr="00DD74BA">
        <w:t>Street walls and corner sites</w:t>
      </w:r>
    </w:p>
    <w:p w:rsidR="00A02D55" w:rsidRDefault="00A02D55" w:rsidP="00A02D55">
      <w:r w:rsidRPr="00DD74BA">
        <w:t xml:space="preserve">The requirements </w:t>
      </w:r>
      <w:r w:rsidR="006E4AE0" w:rsidRPr="00DD74BA">
        <w:t xml:space="preserve">in the DDOs </w:t>
      </w:r>
      <w:r w:rsidRPr="00DD74BA">
        <w:t>state:</w:t>
      </w:r>
    </w:p>
    <w:p w:rsidR="00A02D55" w:rsidRDefault="00A02D55" w:rsidP="00A02D55">
      <w:pPr>
        <w:pStyle w:val="PPVQuote"/>
      </w:pPr>
      <w:r w:rsidRPr="00E262E9">
        <w:t>Where a new building is on a corner, the taller maximum street wall h</w:t>
      </w:r>
      <w:r>
        <w:t>eight applies to both frontages …</w:t>
      </w:r>
    </w:p>
    <w:p w:rsidR="00A02D55" w:rsidRDefault="00A02D55" w:rsidP="00A02D55">
      <w:r>
        <w:t>Melbourne submitted:</w:t>
      </w:r>
    </w:p>
    <w:p w:rsidR="00A02D55" w:rsidRDefault="00A02D55" w:rsidP="00A02D55">
      <w:pPr>
        <w:pStyle w:val="PPVQuote"/>
      </w:pPr>
      <w:r w:rsidRPr="00E262E9">
        <w:t xml:space="preserve">The simple manner in which this exemption has been drafted (without imposing any kind of limitation on the proportion of the frontage </w:t>
      </w:r>
      <w:r>
        <w:t>‘</w:t>
      </w:r>
      <w:r w:rsidRPr="00977B19">
        <w:t>gifted</w:t>
      </w:r>
      <w:r>
        <w:t>’</w:t>
      </w:r>
      <w:r w:rsidRPr="00E262E9">
        <w:t xml:space="preserve"> the taller maximum street wall height requirement), in conjunction with the prescriptive manner in which this control has been drafted, could facilitate unplanned outcomes.</w:t>
      </w:r>
    </w:p>
    <w:p w:rsidR="00DD74BA" w:rsidRDefault="00DD74BA" w:rsidP="00DD74BA">
      <w:pPr>
        <w:pStyle w:val="PPVBody"/>
      </w:pPr>
      <w:r w:rsidRPr="00756D59">
        <w:t>The Review Panel considers that the maximum street wall height should essentially ‘wrap around’ the corner, providing a consistent street wall on both frontages, but the higher street wall height should not extend the entire length of the site’s frontage on the narrower street or lane.  If it were allowed to do so, the character of laneways in particular could be dramatically impacted.  Accordingly, the higher street wall height should only be permitted along the narrower street frontage for a distance of 25 metres.</w:t>
      </w:r>
    </w:p>
    <w:p w:rsidR="00B858F1" w:rsidRPr="001C078B" w:rsidRDefault="00B858F1" w:rsidP="00B858F1">
      <w:pPr>
        <w:pStyle w:val="PPVBody"/>
        <w:rPr>
          <w:b/>
        </w:rPr>
      </w:pPr>
      <w:r w:rsidRPr="001C078B">
        <w:rPr>
          <w:b/>
        </w:rPr>
        <w:t xml:space="preserve">In accordance with the primary recommendation of the Review Panel to </w:t>
      </w:r>
      <w:r w:rsidR="000507EF">
        <w:rPr>
          <w:b/>
        </w:rPr>
        <w:t xml:space="preserve">progress </w:t>
      </w:r>
      <w:r w:rsidRPr="001C078B">
        <w:rPr>
          <w:b/>
        </w:rPr>
        <w:t>Amendment GC81, the following key changes h</w:t>
      </w:r>
      <w:r>
        <w:rPr>
          <w:b/>
        </w:rPr>
        <w:t>ave been included in the amended Design and Development Overlays</w:t>
      </w:r>
      <w:r w:rsidRPr="001C078B">
        <w:rPr>
          <w:b/>
        </w:rPr>
        <w:t>:</w:t>
      </w:r>
    </w:p>
    <w:p w:rsidR="00A02D55" w:rsidRPr="00B858F1" w:rsidRDefault="00B858F1" w:rsidP="00181298">
      <w:pPr>
        <w:pStyle w:val="PPVRecommendationDrafting"/>
      </w:pPr>
      <w:bookmarkStart w:id="1164" w:name="_Toc518402951"/>
      <w:bookmarkStart w:id="1165" w:name="_Toc518480344"/>
      <w:bookmarkStart w:id="1166" w:name="_Toc518480772"/>
      <w:bookmarkStart w:id="1167" w:name="_Toc518480938"/>
      <w:bookmarkStart w:id="1168" w:name="_Toc518481007"/>
      <w:bookmarkStart w:id="1169" w:name="_Toc518481794"/>
      <w:bookmarkStart w:id="1170" w:name="_Toc518541441"/>
      <w:bookmarkStart w:id="1171" w:name="_Toc518541641"/>
      <w:bookmarkStart w:id="1172" w:name="_Toc518546439"/>
      <w:bookmarkStart w:id="1173" w:name="_Toc518569405"/>
      <w:bookmarkStart w:id="1174" w:name="_Toc518569576"/>
      <w:bookmarkStart w:id="1175" w:name="_Toc518595199"/>
      <w:bookmarkStart w:id="1176" w:name="_Toc518595706"/>
      <w:bookmarkStart w:id="1177" w:name="_Toc518595947"/>
      <w:bookmarkStart w:id="1178" w:name="_Toc518629991"/>
      <w:bookmarkStart w:id="1179" w:name="_Toc518633428"/>
      <w:bookmarkStart w:id="1180" w:name="_Toc518633595"/>
      <w:bookmarkStart w:id="1181" w:name="_Toc518634259"/>
      <w:bookmarkStart w:id="1182" w:name="_Toc518651682"/>
      <w:bookmarkStart w:id="1183" w:name="_Toc518901590"/>
      <w:bookmarkStart w:id="1184" w:name="_Toc518902743"/>
      <w:bookmarkStart w:id="1185" w:name="_Toc518905681"/>
      <w:bookmarkStart w:id="1186" w:name="_Toc518905858"/>
      <w:bookmarkStart w:id="1187" w:name="_Toc518906061"/>
      <w:bookmarkStart w:id="1188" w:name="_Toc518986492"/>
      <w:bookmarkStart w:id="1189" w:name="_Toc518986529"/>
      <w:bookmarkStart w:id="1190" w:name="_Toc518986566"/>
      <w:bookmarkStart w:id="1191" w:name="_Toc518986734"/>
      <w:r w:rsidRPr="00B858F1">
        <w:t>R</w:t>
      </w:r>
      <w:r w:rsidR="00A02D55" w:rsidRPr="00B858F1">
        <w:t>efine the application of street wall heights on corners.</w:t>
      </w:r>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p>
    <w:p w:rsidR="00A02D55" w:rsidRPr="00985CD6" w:rsidRDefault="00A02D55" w:rsidP="00A02D55">
      <w:pPr>
        <w:pStyle w:val="Heading4"/>
      </w:pPr>
      <w:r w:rsidRPr="00985CD6">
        <w:t>Tooth and gap</w:t>
      </w:r>
    </w:p>
    <w:p w:rsidR="00A02D55" w:rsidRDefault="00A02D55" w:rsidP="00A02D55">
      <w:pPr>
        <w:pStyle w:val="PPVBody"/>
      </w:pPr>
      <w:r w:rsidRPr="00DD74BA">
        <w:t>Port Phillip sought to apply a ‘tooth and gap’ approach to Buckhurst Street and Plummer Street.  This</w:t>
      </w:r>
      <w:r>
        <w:t xml:space="preserve"> approach allows for taller structures with lower height development between</w:t>
      </w:r>
      <w:r w:rsidR="00DD74BA">
        <w:t>, to</w:t>
      </w:r>
      <w:r>
        <w:t xml:space="preserve"> allow better sunlight penetration and diverse architecture.  Images of recent development in Paris were </w:t>
      </w:r>
      <w:r w:rsidR="006E4AE0">
        <w:t>presented</w:t>
      </w:r>
      <w:r>
        <w:t xml:space="preserve"> to illustrate this.</w:t>
      </w:r>
    </w:p>
    <w:p w:rsidR="00A02D55" w:rsidRDefault="006E4AE0" w:rsidP="00A02D55">
      <w:pPr>
        <w:pStyle w:val="PPVBody"/>
      </w:pPr>
      <w:r>
        <w:lastRenderedPageBreak/>
        <w:t xml:space="preserve">The Review Panel </w:t>
      </w:r>
      <w:r w:rsidR="00A02D55">
        <w:t>agrees that there is merit in this approach in some locations</w:t>
      </w:r>
      <w:r>
        <w:t xml:space="preserve">, which is illustrated in </w:t>
      </w:r>
      <w:r w:rsidR="008E4F2F">
        <w:fldChar w:fldCharType="begin"/>
      </w:r>
      <w:r w:rsidR="008E4F2F">
        <w:instrText xml:space="preserve"> REF _Ref519178790 \h </w:instrText>
      </w:r>
      <w:r w:rsidR="008E4F2F">
        <w:fldChar w:fldCharType="separate"/>
      </w:r>
      <w:r w:rsidR="00A307EC">
        <w:t xml:space="preserve">Figure </w:t>
      </w:r>
      <w:r w:rsidR="00A307EC">
        <w:rPr>
          <w:noProof/>
        </w:rPr>
        <w:t>15</w:t>
      </w:r>
      <w:r w:rsidR="008E4F2F">
        <w:fldChar w:fldCharType="end"/>
      </w:r>
      <w:r w:rsidR="00A02D55">
        <w:t>.</w:t>
      </w:r>
    </w:p>
    <w:p w:rsidR="008E4F2F" w:rsidRDefault="008E4F2F" w:rsidP="008E4F2F">
      <w:pPr>
        <w:pStyle w:val="Caption"/>
      </w:pPr>
      <w:bookmarkStart w:id="1192" w:name="_Ref519178790"/>
      <w:bookmarkStart w:id="1193" w:name="_Toc519719118"/>
      <w:bookmarkStart w:id="1194" w:name="_Toc519710386"/>
      <w:r>
        <w:t xml:space="preserve">Figure </w:t>
      </w:r>
      <w:fldSimple w:instr=" SEQ Figure \* ARABIC ">
        <w:r w:rsidR="00A307EC">
          <w:rPr>
            <w:noProof/>
          </w:rPr>
          <w:t>15</w:t>
        </w:r>
      </w:fldSimple>
      <w:bookmarkEnd w:id="1192"/>
      <w:r>
        <w:t>:</w:t>
      </w:r>
      <w:r>
        <w:tab/>
        <w:t>The tooth and gap approach</w:t>
      </w:r>
      <w:bookmarkEnd w:id="1193"/>
      <w:bookmarkEnd w:id="1194"/>
    </w:p>
    <w:p w:rsidR="00A02D55" w:rsidRDefault="00A02D55" w:rsidP="00A02D55">
      <w:pPr>
        <w:pStyle w:val="PPVBody"/>
      </w:pPr>
      <w:r w:rsidRPr="00D20C40">
        <w:rPr>
          <w:noProof/>
        </w:rPr>
        <w:drawing>
          <wp:inline distT="0" distB="0" distL="0" distR="0" wp14:anchorId="6660709E" wp14:editId="1CCD5B81">
            <wp:extent cx="4298950" cy="2715895"/>
            <wp:effectExtent l="0" t="0" r="635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98950" cy="2715895"/>
                    </a:xfrm>
                    <a:prstGeom prst="rect">
                      <a:avLst/>
                    </a:prstGeom>
                    <a:noFill/>
                    <a:ln>
                      <a:noFill/>
                    </a:ln>
                  </pic:spPr>
                </pic:pic>
              </a:graphicData>
            </a:graphic>
          </wp:inline>
        </w:drawing>
      </w:r>
    </w:p>
    <w:p w:rsidR="000E0848" w:rsidRPr="00E960B8" w:rsidRDefault="000E0848" w:rsidP="000E0848">
      <w:pPr>
        <w:pStyle w:val="PPVSource"/>
      </w:pPr>
      <w:r>
        <w:t>Source:</w:t>
      </w:r>
      <w:r>
        <w:tab/>
        <w:t>Port Phillip</w:t>
      </w:r>
    </w:p>
    <w:p w:rsidR="00B858F1" w:rsidRPr="001C078B" w:rsidRDefault="00B858F1" w:rsidP="00B858F1">
      <w:pPr>
        <w:pStyle w:val="PPVBody"/>
        <w:rPr>
          <w:b/>
        </w:rPr>
      </w:pPr>
      <w:r w:rsidRPr="001C078B">
        <w:rPr>
          <w:b/>
        </w:rPr>
        <w:t xml:space="preserve">In accordance with the primary recommendation of the Review Panel to </w:t>
      </w:r>
      <w:r w:rsidR="000507EF">
        <w:rPr>
          <w:b/>
        </w:rPr>
        <w:t xml:space="preserve">progress </w:t>
      </w:r>
      <w:r w:rsidRPr="001C078B">
        <w:rPr>
          <w:b/>
        </w:rPr>
        <w:t xml:space="preserve">Amendment GC81, the following key changes have been included in the amended </w:t>
      </w:r>
      <w:r>
        <w:rPr>
          <w:b/>
        </w:rPr>
        <w:t>Design and Development Overlays for Montague and Wirraway</w:t>
      </w:r>
      <w:r w:rsidRPr="001C078B">
        <w:rPr>
          <w:b/>
        </w:rPr>
        <w:t>:</w:t>
      </w:r>
    </w:p>
    <w:p w:rsidR="00A02D55" w:rsidRPr="00B858F1" w:rsidRDefault="00B858F1" w:rsidP="00181298">
      <w:pPr>
        <w:pStyle w:val="PPVRecommendationDrafting"/>
      </w:pPr>
      <w:bookmarkStart w:id="1195" w:name="_Toc518396325"/>
      <w:bookmarkStart w:id="1196" w:name="_Toc518400767"/>
      <w:bookmarkStart w:id="1197" w:name="_Toc518402952"/>
      <w:bookmarkStart w:id="1198" w:name="_Toc518480345"/>
      <w:bookmarkStart w:id="1199" w:name="_Toc518480773"/>
      <w:bookmarkStart w:id="1200" w:name="_Toc518480939"/>
      <w:bookmarkStart w:id="1201" w:name="_Toc518481008"/>
      <w:bookmarkStart w:id="1202" w:name="_Toc518481795"/>
      <w:bookmarkStart w:id="1203" w:name="_Toc518541442"/>
      <w:bookmarkStart w:id="1204" w:name="_Toc518541642"/>
      <w:bookmarkStart w:id="1205" w:name="_Toc518546440"/>
      <w:bookmarkStart w:id="1206" w:name="_Toc518569406"/>
      <w:bookmarkStart w:id="1207" w:name="_Toc518569577"/>
      <w:bookmarkStart w:id="1208" w:name="_Toc518595200"/>
      <w:bookmarkStart w:id="1209" w:name="_Toc518595707"/>
      <w:bookmarkStart w:id="1210" w:name="_Toc518595948"/>
      <w:bookmarkStart w:id="1211" w:name="_Toc518629992"/>
      <w:bookmarkStart w:id="1212" w:name="_Toc518633429"/>
      <w:bookmarkStart w:id="1213" w:name="_Toc518633596"/>
      <w:bookmarkStart w:id="1214" w:name="_Toc518634260"/>
      <w:bookmarkStart w:id="1215" w:name="_Toc518651683"/>
      <w:bookmarkStart w:id="1216" w:name="_Toc518901591"/>
      <w:bookmarkStart w:id="1217" w:name="_Toc518902744"/>
      <w:bookmarkStart w:id="1218" w:name="_Toc518905682"/>
      <w:bookmarkStart w:id="1219" w:name="_Toc518905859"/>
      <w:bookmarkStart w:id="1220" w:name="_Toc518906062"/>
      <w:bookmarkStart w:id="1221" w:name="_Toc518986493"/>
      <w:bookmarkStart w:id="1222" w:name="_Toc518986530"/>
      <w:bookmarkStart w:id="1223" w:name="_Toc518986567"/>
      <w:bookmarkStart w:id="1224" w:name="_Toc518986735"/>
      <w:r w:rsidRPr="00B858F1">
        <w:t>I</w:t>
      </w:r>
      <w:r w:rsidR="00A02D55" w:rsidRPr="00B858F1">
        <w:t xml:space="preserve">mplement a ‘tooth and gap approach’ for Buckhurst Street </w:t>
      </w:r>
      <w:r>
        <w:t xml:space="preserve">(Montague) </w:t>
      </w:r>
      <w:r w:rsidR="00A02D55" w:rsidRPr="00B858F1">
        <w:t>and Plummer Street</w:t>
      </w:r>
      <w:r>
        <w:t xml:space="preserve"> (Wirraway)</w:t>
      </w:r>
      <w:r w:rsidR="00A02D55" w:rsidRPr="00B858F1">
        <w:t>.</w:t>
      </w:r>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p>
    <w:p w:rsidR="00A02D55" w:rsidRPr="008E5F38" w:rsidRDefault="00A02D55" w:rsidP="00A02D55">
      <w:pPr>
        <w:pStyle w:val="Heading4"/>
      </w:pPr>
      <w:r w:rsidRPr="008E5F38">
        <w:t>Side and rear setbacks</w:t>
      </w:r>
      <w:r w:rsidR="00DD74BA">
        <w:t xml:space="preserve"> – habitable and non-habitable windows</w:t>
      </w:r>
    </w:p>
    <w:p w:rsidR="00A02D55" w:rsidRPr="002708F6" w:rsidRDefault="00A02D55" w:rsidP="00DD74BA">
      <w:pPr>
        <w:pStyle w:val="PPVBody"/>
      </w:pPr>
      <w:r w:rsidRPr="002708F6">
        <w:t>The Part C control</w:t>
      </w:r>
      <w:r>
        <w:t>s</w:t>
      </w:r>
      <w:r w:rsidRPr="002708F6">
        <w:t xml:space="preserve"> removed the concept of habitable and non-habitable windows.</w:t>
      </w:r>
      <w:r>
        <w:t xml:space="preserve">  Port Phillip</w:t>
      </w:r>
      <w:r w:rsidRPr="002708F6">
        <w:t xml:space="preserve"> supported the previous approach</w:t>
      </w:r>
      <w:r w:rsidR="00DD74BA">
        <w:t xml:space="preserve"> and</w:t>
      </w:r>
      <w:r>
        <w:t xml:space="preserve"> submitted:</w:t>
      </w:r>
    </w:p>
    <w:p w:rsidR="00A02D55" w:rsidRDefault="00A02D55" w:rsidP="00A02D55">
      <w:pPr>
        <w:pStyle w:val="PPVQuote"/>
      </w:pPr>
      <w:r>
        <w:t xml:space="preserve">6 </w:t>
      </w:r>
      <w:r w:rsidRPr="002708F6">
        <w:t>metres will not result in an acceptable separation distance.</w:t>
      </w:r>
      <w:r>
        <w:t xml:space="preserve">  </w:t>
      </w:r>
      <w:r w:rsidRPr="002708F6">
        <w:t>The effect of this control as drafted would allow buildings to be closer within a site than what is intended to occur between sites which is not supported.</w:t>
      </w:r>
    </w:p>
    <w:p w:rsidR="00A02D55" w:rsidRDefault="00A02D55" w:rsidP="00A02D55">
      <w:pPr>
        <w:pStyle w:val="PPVBody"/>
      </w:pPr>
      <w:r>
        <w:t>The Review Panel broadly accepts the side and rear setback presented, but recognises that they have change</w:t>
      </w:r>
      <w:r w:rsidR="006E4AE0">
        <w:t>d</w:t>
      </w:r>
      <w:r>
        <w:t xml:space="preserve"> during the course of the Hearing, and that they were no</w:t>
      </w:r>
      <w:r w:rsidR="00F70663">
        <w:t>t</w:t>
      </w:r>
      <w:r>
        <w:t xml:space="preserve"> subject to detailed submissions.</w:t>
      </w:r>
    </w:p>
    <w:p w:rsidR="00A02D55" w:rsidRDefault="00A02D55" w:rsidP="00A02D55">
      <w:pPr>
        <w:pStyle w:val="PPVBody"/>
      </w:pPr>
      <w:r>
        <w:t>The Review</w:t>
      </w:r>
      <w:r w:rsidR="00DD74BA">
        <w:t xml:space="preserve"> Panel echoes the views of the P</w:t>
      </w:r>
      <w:r>
        <w:t xml:space="preserve">anel for Amendment C20 to the Melbourne </w:t>
      </w:r>
      <w:r w:rsidR="006E4AE0">
        <w:t>P</w:t>
      </w:r>
      <w:r>
        <w:t>lanning Scheme:</w:t>
      </w:r>
      <w:r w:rsidRPr="00820B43">
        <w:rPr>
          <w:rStyle w:val="FootnoteReference"/>
        </w:rPr>
        <w:footnoteReference w:id="159"/>
      </w:r>
    </w:p>
    <w:p w:rsidR="00A02D55" w:rsidRDefault="00A02D55" w:rsidP="00A02D55">
      <w:pPr>
        <w:pStyle w:val="PPVQuote"/>
      </w:pPr>
      <w:r>
        <w:rPr>
          <w:lang w:val="en-US"/>
        </w:rPr>
        <w:t xml:space="preserve">No planning scheme, no matter how excellent its provisions or administration, can in itself produce design excellence in the built form it governs.  The planning scheme is only a tool to implement the strategic objectives for an area.  It requires the exercise of discretion and judgements to produce good decisions.  The most those decisions can do though, is to recognise whether </w:t>
      </w:r>
      <w:r>
        <w:rPr>
          <w:lang w:val="en-US"/>
        </w:rPr>
        <w:lastRenderedPageBreak/>
        <w:t>the design responses for development which requires approval support the planning scheme objectives and produce a quality built form outcome.</w:t>
      </w:r>
    </w:p>
    <w:p w:rsidR="00A02D55" w:rsidRDefault="00A02D55" w:rsidP="00A02D55">
      <w:r>
        <w:t>The Review Panel believes the proposed setbacks are reasonable in the context.</w:t>
      </w:r>
    </w:p>
    <w:p w:rsidR="00DD74BA" w:rsidRDefault="00DD74BA" w:rsidP="00DD74BA">
      <w:pPr>
        <w:pStyle w:val="Heading4"/>
      </w:pPr>
      <w:r>
        <w:t>Site and rear setbacks – towers built to the boundary</w:t>
      </w:r>
    </w:p>
    <w:p w:rsidR="00DD74BA" w:rsidRDefault="00DD74BA" w:rsidP="00DD74BA">
      <w:pPr>
        <w:pStyle w:val="PPVBody"/>
      </w:pPr>
      <w:r>
        <w:t>Mr Sheppard gave evidence that for narrow sites, rather than requiring setbacks from all side boundaries, a tall building could be built to the boundary in anticipation that a ‘mirror’ building would be built on the neighbouring site in the future.  The Review Panel agrees that this would give flexibility in the controls to deliver better outcomes for some sites, particularly narrow sites.</w:t>
      </w:r>
    </w:p>
    <w:p w:rsidR="00DD74BA" w:rsidRPr="001C078B" w:rsidRDefault="00DD74BA" w:rsidP="00DD74BA">
      <w:pPr>
        <w:pStyle w:val="PPVBody"/>
        <w:rPr>
          <w:b/>
        </w:rPr>
      </w:pPr>
      <w:r w:rsidRPr="001C078B">
        <w:rPr>
          <w:b/>
        </w:rPr>
        <w:t xml:space="preserve">In accordance with the primary recommendation of the Review Panel to </w:t>
      </w:r>
      <w:r>
        <w:rPr>
          <w:b/>
        </w:rPr>
        <w:t xml:space="preserve">progress </w:t>
      </w:r>
      <w:r w:rsidRPr="001C078B">
        <w:rPr>
          <w:b/>
        </w:rPr>
        <w:t xml:space="preserve">Amendment GC81, the following key changes have been included in the amended </w:t>
      </w:r>
      <w:r>
        <w:rPr>
          <w:b/>
        </w:rPr>
        <w:t>Design and Development Overlays</w:t>
      </w:r>
      <w:r w:rsidRPr="001C078B">
        <w:rPr>
          <w:b/>
        </w:rPr>
        <w:t>:</w:t>
      </w:r>
    </w:p>
    <w:p w:rsidR="00DD74BA" w:rsidRPr="00B858F1" w:rsidRDefault="00DD74BA" w:rsidP="00DD74BA">
      <w:pPr>
        <w:pStyle w:val="PPVRecommendationDrafting"/>
      </w:pPr>
      <w:r>
        <w:t>Provide the opportunity for taller buildings to be built to a side boundary where a ‘mirror’ building can be constructed</w:t>
      </w:r>
      <w:r w:rsidRPr="00B858F1">
        <w:t>.</w:t>
      </w:r>
    </w:p>
    <w:p w:rsidR="00A02D55" w:rsidRPr="00431492" w:rsidRDefault="00A02D55" w:rsidP="00A02D55">
      <w:pPr>
        <w:pStyle w:val="Heading4"/>
      </w:pPr>
      <w:r w:rsidRPr="00431492">
        <w:t>Building width and retention of heritage and character buildings</w:t>
      </w:r>
    </w:p>
    <w:p w:rsidR="00A02D55" w:rsidRDefault="00A02D55" w:rsidP="00A02D55">
      <w:pPr>
        <w:pStyle w:val="PPVBody"/>
      </w:pPr>
      <w:r w:rsidRPr="00431492">
        <w:t>Port Phillip proposed controls over building widths and the retention of heritage and character buildings.  It is not clear to the Review Panel what the impacts on development of such controls would be.  The Review Panel does not support these provision</w:t>
      </w:r>
      <w:r w:rsidR="00F70663" w:rsidRPr="00431492">
        <w:t>s</w:t>
      </w:r>
      <w:r w:rsidRPr="00431492">
        <w:t xml:space="preserve"> at this stage but </w:t>
      </w:r>
      <w:r w:rsidR="00DD74BA" w:rsidRPr="00431492">
        <w:t>they may appropriate following P</w:t>
      </w:r>
      <w:r w:rsidRPr="00431492">
        <w:t>recinct planning.</w:t>
      </w:r>
    </w:p>
    <w:p w:rsidR="00A02D55" w:rsidRDefault="00A02D55" w:rsidP="00A02D55">
      <w:pPr>
        <w:pStyle w:val="Heading4"/>
      </w:pPr>
      <w:r w:rsidRPr="005438FD">
        <w:t>Site coverage and communal open space</w:t>
      </w:r>
    </w:p>
    <w:p w:rsidR="00A02D55" w:rsidRPr="00EE1CCA" w:rsidRDefault="00A02D55" w:rsidP="00A02D55">
      <w:pPr>
        <w:pStyle w:val="PPVBody"/>
      </w:pPr>
      <w:r w:rsidRPr="00EE1CCA">
        <w:t xml:space="preserve">Port Phillip submitted </w:t>
      </w:r>
      <w:r>
        <w:t xml:space="preserve">the site coverage requirement is critical in </w:t>
      </w:r>
      <w:r w:rsidR="00673AF0">
        <w:t>non-core</w:t>
      </w:r>
      <w:r>
        <w:t xml:space="preserve"> areas </w:t>
      </w:r>
      <w:r w:rsidRPr="00EE1CCA">
        <w:t>to reinforce typ</w:t>
      </w:r>
      <w:r>
        <w:t>ologies and preferred character, and</w:t>
      </w:r>
      <w:r w:rsidRPr="00EE1CCA">
        <w:t xml:space="preserve"> that the controls should include:</w:t>
      </w:r>
    </w:p>
    <w:p w:rsidR="00A02D55" w:rsidRDefault="00A02D55" w:rsidP="00A02D55">
      <w:pPr>
        <w:pStyle w:val="PPVQuote"/>
      </w:pPr>
      <w:r w:rsidRPr="00EE1CCA">
        <w:t>Site coverage should not exceed 70 per</w:t>
      </w:r>
      <w:r>
        <w:t xml:space="preserve"> cent</w:t>
      </w:r>
      <w:r w:rsidRPr="00EE1CCA">
        <w:t xml:space="preserve"> of the net developable site area</w:t>
      </w:r>
      <w:r w:rsidR="006E4AE0">
        <w:t>.</w:t>
      </w:r>
    </w:p>
    <w:p w:rsidR="00A02D55" w:rsidRDefault="00A02D55" w:rsidP="00A02D55">
      <w:pPr>
        <w:pStyle w:val="PPVBody"/>
      </w:pPr>
      <w:r>
        <w:t xml:space="preserve">It is not entirely clear how this relates to its </w:t>
      </w:r>
      <w:r w:rsidRPr="00EE1CCA">
        <w:t>Recommendation 14 in Council’s Overarching Urban Design Report</w:t>
      </w:r>
      <w:r>
        <w:t xml:space="preserve"> to allow</w:t>
      </w:r>
    </w:p>
    <w:p w:rsidR="00A02D55" w:rsidRDefault="00A02D55" w:rsidP="00A02D55">
      <w:pPr>
        <w:pStyle w:val="PPVQuote"/>
      </w:pPr>
      <w:r w:rsidRPr="00EE1CCA">
        <w:t>Communal open space shoul</w:t>
      </w:r>
      <w:r w:rsidR="00B93FAD">
        <w:t>d be provided on at ground level or at the first floor of a development.</w:t>
      </w:r>
    </w:p>
    <w:p w:rsidR="00A02D55" w:rsidRDefault="00A02D55" w:rsidP="00A02D55">
      <w:pPr>
        <w:pStyle w:val="PPVBody"/>
      </w:pPr>
      <w:r>
        <w:t xml:space="preserve">The Review Panel does not see the need for communal </w:t>
      </w:r>
      <w:r w:rsidR="006E4AE0">
        <w:t>o</w:t>
      </w:r>
      <w:r>
        <w:t>pen space to be at ground level provided deep soil is provided</w:t>
      </w:r>
      <w:r w:rsidR="006E4AE0">
        <w:t xml:space="preserve"> in communal open space above ground level</w:t>
      </w:r>
      <w:r>
        <w:t>.</w:t>
      </w:r>
    </w:p>
    <w:p w:rsidR="00DD74BA" w:rsidRDefault="00DD74BA" w:rsidP="00DD74BA">
      <w:pPr>
        <w:pStyle w:val="Heading4"/>
      </w:pPr>
      <w:r>
        <w:t>Active frontages</w:t>
      </w:r>
    </w:p>
    <w:p w:rsidR="00DD74BA" w:rsidRDefault="00DD74BA" w:rsidP="00DD74BA">
      <w:pPr>
        <w:pStyle w:val="PPVBody"/>
      </w:pPr>
      <w:r>
        <w:t>The requirements for active frontages specify the spacing of pedestrian entries.  The Review Panel thinks that this is arbitrary and may work against good design.</w:t>
      </w:r>
    </w:p>
    <w:p w:rsidR="00DD74BA" w:rsidRPr="001C078B" w:rsidRDefault="00DD74BA" w:rsidP="00DD74BA">
      <w:pPr>
        <w:pStyle w:val="PPVBody"/>
        <w:rPr>
          <w:b/>
        </w:rPr>
      </w:pPr>
      <w:r w:rsidRPr="001C078B">
        <w:rPr>
          <w:b/>
        </w:rPr>
        <w:t xml:space="preserve">In accordance with the primary recommendation of the Review Panel to </w:t>
      </w:r>
      <w:r>
        <w:rPr>
          <w:b/>
        </w:rPr>
        <w:t xml:space="preserve">progress </w:t>
      </w:r>
      <w:r w:rsidRPr="001C078B">
        <w:rPr>
          <w:b/>
        </w:rPr>
        <w:t xml:space="preserve">Amendment GC81, the following key changes have been included in the amended </w:t>
      </w:r>
      <w:r>
        <w:rPr>
          <w:b/>
        </w:rPr>
        <w:t>Design and Development Overlays</w:t>
      </w:r>
      <w:r w:rsidRPr="001C078B">
        <w:rPr>
          <w:b/>
        </w:rPr>
        <w:t>:</w:t>
      </w:r>
    </w:p>
    <w:p w:rsidR="00DD74BA" w:rsidRDefault="00DD74BA" w:rsidP="00DD74BA">
      <w:pPr>
        <w:pStyle w:val="PPVRecommendationDrafting"/>
      </w:pPr>
      <w:r>
        <w:t>Remove the pedestrian entry requirements from the active frontage controls</w:t>
      </w:r>
      <w:r w:rsidRPr="00B858F1">
        <w:t>.</w:t>
      </w:r>
    </w:p>
    <w:p w:rsidR="00DD74BA" w:rsidRDefault="00DD74BA" w:rsidP="00DD74BA">
      <w:pPr>
        <w:pStyle w:val="Heading4"/>
      </w:pPr>
      <w:r>
        <w:lastRenderedPageBreak/>
        <w:t>Building finishes</w:t>
      </w:r>
    </w:p>
    <w:p w:rsidR="00DD74BA" w:rsidRDefault="00DD74BA" w:rsidP="00DD74BA">
      <w:pPr>
        <w:pStyle w:val="PPVBody"/>
      </w:pPr>
      <w:r>
        <w:t>The requirements for building finishes address issues of design response that would be better addressed a part of an assessment of the overall design response of a proposal, rather than trying to impose what seem like arbitrary requirements.</w:t>
      </w:r>
    </w:p>
    <w:p w:rsidR="00DD74BA" w:rsidRPr="001C078B" w:rsidRDefault="00DD74BA" w:rsidP="00DD74BA">
      <w:pPr>
        <w:pStyle w:val="PPVBody"/>
        <w:rPr>
          <w:b/>
        </w:rPr>
      </w:pPr>
      <w:r w:rsidRPr="001C078B">
        <w:rPr>
          <w:b/>
        </w:rPr>
        <w:t xml:space="preserve">In accordance with the primary recommendation of the Review Panel to </w:t>
      </w:r>
      <w:r>
        <w:rPr>
          <w:b/>
        </w:rPr>
        <w:t xml:space="preserve">progress </w:t>
      </w:r>
      <w:r w:rsidRPr="001C078B">
        <w:rPr>
          <w:b/>
        </w:rPr>
        <w:t xml:space="preserve">Amendment GC81, the following key changes have been included in the amended </w:t>
      </w:r>
      <w:r>
        <w:rPr>
          <w:b/>
        </w:rPr>
        <w:t>Design and Development Overlays</w:t>
      </w:r>
      <w:r w:rsidRPr="001C078B">
        <w:rPr>
          <w:b/>
        </w:rPr>
        <w:t>:</w:t>
      </w:r>
    </w:p>
    <w:p w:rsidR="00DD74BA" w:rsidRDefault="00DD74BA" w:rsidP="00DD74BA">
      <w:pPr>
        <w:pStyle w:val="PPVRecommendationDrafting"/>
      </w:pPr>
      <w:r>
        <w:t>Simplify the controls on building finishes</w:t>
      </w:r>
      <w:r w:rsidRPr="00B858F1">
        <w:t>.</w:t>
      </w:r>
    </w:p>
    <w:p w:rsidR="00A02D55" w:rsidRDefault="00DD74BA" w:rsidP="00DD6314">
      <w:pPr>
        <w:pStyle w:val="Heading2"/>
      </w:pPr>
      <w:bookmarkStart w:id="1225" w:name="_Toc518402932"/>
      <w:bookmarkStart w:id="1226" w:name="_Ref519675512"/>
      <w:bookmarkStart w:id="1227" w:name="_Toc519710342"/>
      <w:bookmarkStart w:id="1228" w:name="_Toc519766902"/>
      <w:r>
        <w:t xml:space="preserve">Use of the </w:t>
      </w:r>
      <w:r w:rsidR="00A02D55">
        <w:t>Development Plan Overlay</w:t>
      </w:r>
      <w:bookmarkEnd w:id="1225"/>
      <w:r>
        <w:t xml:space="preserve"> to master plan</w:t>
      </w:r>
      <w:bookmarkEnd w:id="1226"/>
      <w:bookmarkEnd w:id="1227"/>
      <w:bookmarkEnd w:id="1228"/>
    </w:p>
    <w:p w:rsidR="00A02D55" w:rsidRDefault="00A02D55" w:rsidP="00A02D55">
      <w:pPr>
        <w:pStyle w:val="Heading4"/>
      </w:pPr>
      <w:r>
        <w:t>Context</w:t>
      </w:r>
    </w:p>
    <w:p w:rsidR="00A02D55" w:rsidRDefault="00A02D55" w:rsidP="00A02D55">
      <w:r>
        <w:t xml:space="preserve">The </w:t>
      </w:r>
      <w:r w:rsidR="00DD74BA">
        <w:t xml:space="preserve">Part A version of the </w:t>
      </w:r>
      <w:r>
        <w:t>draft Amendment propose</w:t>
      </w:r>
      <w:r w:rsidR="00DD74BA">
        <w:t>d</w:t>
      </w:r>
      <w:r>
        <w:t xml:space="preserve"> to apply the DPO Schedule 2 to five strategic areas within Fishermans Bend:</w:t>
      </w:r>
    </w:p>
    <w:p w:rsidR="00A02D55" w:rsidRDefault="00A02D55" w:rsidP="000947CB">
      <w:pPr>
        <w:pStyle w:val="PPVBullet1"/>
        <w:numPr>
          <w:ilvl w:val="0"/>
          <w:numId w:val="13"/>
        </w:numPr>
        <w:tabs>
          <w:tab w:val="clear" w:pos="851"/>
        </w:tabs>
      </w:pPr>
      <w:r>
        <w:t>A (Montague) – the Normanby Road civic spine</w:t>
      </w:r>
    </w:p>
    <w:p w:rsidR="00A02D55" w:rsidRDefault="00A02D55" w:rsidP="000947CB">
      <w:pPr>
        <w:pStyle w:val="PPVBullet1"/>
        <w:numPr>
          <w:ilvl w:val="0"/>
          <w:numId w:val="13"/>
        </w:numPr>
        <w:tabs>
          <w:tab w:val="clear" w:pos="851"/>
        </w:tabs>
      </w:pPr>
      <w:r>
        <w:t xml:space="preserve">B (Sandridge) – the Sandridge central activity area, including the potential </w:t>
      </w:r>
      <w:r w:rsidR="00827876">
        <w:t>M</w:t>
      </w:r>
      <w:r>
        <w:t>etro station</w:t>
      </w:r>
    </w:p>
    <w:p w:rsidR="00A02D55" w:rsidRDefault="00A02D55" w:rsidP="000947CB">
      <w:pPr>
        <w:pStyle w:val="PPVBullet1"/>
        <w:numPr>
          <w:ilvl w:val="0"/>
          <w:numId w:val="13"/>
        </w:numPr>
        <w:tabs>
          <w:tab w:val="clear" w:pos="851"/>
        </w:tabs>
      </w:pPr>
      <w:r>
        <w:t>C (Sandridge) – the realignment of Plummer Street to connect with Fennel Street, including a potential civic plaza</w:t>
      </w:r>
    </w:p>
    <w:p w:rsidR="00A02D55" w:rsidRDefault="00A02D55" w:rsidP="000947CB">
      <w:pPr>
        <w:pStyle w:val="PPVBullet1"/>
        <w:numPr>
          <w:ilvl w:val="0"/>
          <w:numId w:val="13"/>
        </w:numPr>
        <w:tabs>
          <w:tab w:val="clear" w:pos="851"/>
        </w:tabs>
      </w:pPr>
      <w:r>
        <w:t>D (Wirraway) – the JL Murphy Reserve interface, which includes part of the investigation areas for a sport and recreation hub and an arts and culture hub</w:t>
      </w:r>
    </w:p>
    <w:p w:rsidR="00A02D55" w:rsidRDefault="00A02D55" w:rsidP="000947CB">
      <w:pPr>
        <w:pStyle w:val="PPVBullet1"/>
        <w:numPr>
          <w:ilvl w:val="0"/>
          <w:numId w:val="13"/>
        </w:numPr>
        <w:tabs>
          <w:tab w:val="clear" w:pos="851"/>
        </w:tabs>
      </w:pPr>
      <w:r>
        <w:t xml:space="preserve">E (Wirraway) – the Wirraway transport interchange, including a potential </w:t>
      </w:r>
      <w:r w:rsidR="00827876">
        <w:t>M</w:t>
      </w:r>
      <w:r>
        <w:t>etro station, tram route, civic plaza</w:t>
      </w:r>
      <w:r w:rsidRPr="00E4619A">
        <w:t xml:space="preserve"> </w:t>
      </w:r>
      <w:r>
        <w:t>and arts and culture hub</w:t>
      </w:r>
    </w:p>
    <w:p w:rsidR="00A02D55" w:rsidRPr="004932CD" w:rsidRDefault="00A02D55" w:rsidP="00A02D55">
      <w:pPr>
        <w:pStyle w:val="Caption"/>
      </w:pPr>
      <w:bookmarkStart w:id="1229" w:name="_Toc518216958"/>
      <w:bookmarkStart w:id="1230" w:name="_Toc519719119"/>
      <w:bookmarkStart w:id="1231" w:name="_Toc519710387"/>
      <w:r w:rsidRPr="004932CD">
        <w:t xml:space="preserve">Figure </w:t>
      </w:r>
      <w:fldSimple w:instr=" SEQ Figure \* ARABIC ">
        <w:r w:rsidR="00A307EC">
          <w:rPr>
            <w:noProof/>
          </w:rPr>
          <w:t>16</w:t>
        </w:r>
      </w:fldSimple>
      <w:r>
        <w:rPr>
          <w:noProof/>
        </w:rPr>
        <w:t>:</w:t>
      </w:r>
      <w:r w:rsidRPr="004932CD">
        <w:tab/>
        <w:t>Proposed application of the DPO</w:t>
      </w:r>
      <w:r>
        <w:t>2</w:t>
      </w:r>
      <w:bookmarkEnd w:id="1229"/>
      <w:bookmarkEnd w:id="1230"/>
      <w:bookmarkEnd w:id="1231"/>
    </w:p>
    <w:p w:rsidR="00A02D55" w:rsidRDefault="00A02D55" w:rsidP="00A02D55">
      <w:pPr>
        <w:keepNext/>
      </w:pPr>
      <w:r>
        <w:rPr>
          <w:b/>
          <w:noProof/>
        </w:rPr>
        <w:drawing>
          <wp:inline distT="0" distB="0" distL="0" distR="0" wp14:anchorId="0D3C323E" wp14:editId="596027D9">
            <wp:extent cx="5343525" cy="3776980"/>
            <wp:effectExtent l="0" t="0" r="9525" b="0"/>
            <wp:docPr id="5" name="Picture 5" descr="G:\Planning\Fishermans Bend Taskforce\Planning Issues\Planning Controls\Maps\Final JPEG Maps\DPO Wirraway, Sandridge and Montague.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lanning\Fishermans Bend Taskforce\Planning Issues\Planning Controls\Maps\Final JPEG Maps\DPO Wirraway, Sandridge and Montague.DRAFT.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43525" cy="3776980"/>
                    </a:xfrm>
                    <a:prstGeom prst="rect">
                      <a:avLst/>
                    </a:prstGeom>
                    <a:noFill/>
                    <a:ln>
                      <a:noFill/>
                    </a:ln>
                  </pic:spPr>
                </pic:pic>
              </a:graphicData>
            </a:graphic>
          </wp:inline>
        </w:drawing>
      </w:r>
    </w:p>
    <w:p w:rsidR="00A02D55" w:rsidRDefault="00A02D55" w:rsidP="00A02D55">
      <w:pPr>
        <w:pStyle w:val="PPVBody"/>
        <w:rPr>
          <w:sz w:val="20"/>
          <w:szCs w:val="20"/>
        </w:rPr>
      </w:pPr>
      <w:r>
        <w:rPr>
          <w:sz w:val="20"/>
          <w:szCs w:val="20"/>
        </w:rPr>
        <w:t xml:space="preserve">Source: </w:t>
      </w:r>
      <w:r w:rsidRPr="00E4619A">
        <w:rPr>
          <w:sz w:val="20"/>
          <w:szCs w:val="20"/>
        </w:rPr>
        <w:t>Document 66g</w:t>
      </w:r>
    </w:p>
    <w:p w:rsidR="00DD74BA" w:rsidRPr="00DD74BA" w:rsidRDefault="00DD74BA" w:rsidP="00DD74BA">
      <w:pPr>
        <w:pStyle w:val="PPVBody"/>
      </w:pPr>
      <w:r>
        <w:lastRenderedPageBreak/>
        <w:t>The DPO was removed from the Part C version of the planning controls.</w:t>
      </w:r>
    </w:p>
    <w:p w:rsidR="00A02D55" w:rsidRDefault="00A02D55" w:rsidP="00A02D55">
      <w:pPr>
        <w:pStyle w:val="Heading4"/>
        <w:tabs>
          <w:tab w:val="clear" w:pos="851"/>
        </w:tabs>
      </w:pPr>
      <w:r>
        <w:t>Evidence and submissions</w:t>
      </w:r>
    </w:p>
    <w:p w:rsidR="00A02D55" w:rsidRDefault="00A02D55" w:rsidP="00A02D55">
      <w:r>
        <w:t>None of the expert witnes</w:t>
      </w:r>
      <w:r w:rsidR="0092689A">
        <w:t xml:space="preserve">ses supported the proposed DPO2, with </w:t>
      </w:r>
      <w:r w:rsidRPr="006016F3">
        <w:t>Mr Glossop</w:t>
      </w:r>
      <w:r>
        <w:t xml:space="preserve"> </w:t>
      </w:r>
      <w:r w:rsidR="0092689A">
        <w:t>stating</w:t>
      </w:r>
      <w:r w:rsidRPr="006016F3">
        <w:t>:</w:t>
      </w:r>
    </w:p>
    <w:p w:rsidR="00A02D55" w:rsidRDefault="00A02D55" w:rsidP="000947CB">
      <w:pPr>
        <w:pStyle w:val="PPVBullet1"/>
        <w:numPr>
          <w:ilvl w:val="0"/>
          <w:numId w:val="13"/>
        </w:numPr>
        <w:tabs>
          <w:tab w:val="clear" w:pos="851"/>
        </w:tabs>
      </w:pPr>
      <w:r>
        <w:t>the drafting is vague and unlikely to deliver a coordinated approach to development</w:t>
      </w:r>
    </w:p>
    <w:p w:rsidR="00A02D55" w:rsidRDefault="00A02D55" w:rsidP="000947CB">
      <w:pPr>
        <w:pStyle w:val="PPVBullet1"/>
        <w:numPr>
          <w:ilvl w:val="0"/>
          <w:numId w:val="13"/>
        </w:numPr>
        <w:tabs>
          <w:tab w:val="clear" w:pos="851"/>
        </w:tabs>
      </w:pPr>
      <w:r>
        <w:t>land ownership patterns in some of the nominated areas are fragmented, making the preparation of the development plan difficult</w:t>
      </w:r>
    </w:p>
    <w:p w:rsidR="00A02D55" w:rsidRDefault="00A02D55" w:rsidP="000947CB">
      <w:pPr>
        <w:pStyle w:val="PPVBullet1"/>
        <w:numPr>
          <w:ilvl w:val="0"/>
          <w:numId w:val="13"/>
        </w:numPr>
        <w:tabs>
          <w:tab w:val="clear" w:pos="851"/>
        </w:tabs>
      </w:pPr>
      <w:r>
        <w:t>the “</w:t>
      </w:r>
      <w:r w:rsidRPr="00D20D8D">
        <w:rPr>
          <w:i/>
        </w:rPr>
        <w:t>most tangible benefit of the Development Plan Overlay to private landowners</w:t>
      </w:r>
      <w:r>
        <w:rPr>
          <w:i/>
        </w:rPr>
        <w:t>”</w:t>
      </w:r>
      <w:r>
        <w:t>, namely the exemption from third party notice and appeal rights, already exists in the C</w:t>
      </w:r>
      <w:r w:rsidR="00F34EE4">
        <w:t>CZ</w:t>
      </w:r>
    </w:p>
    <w:p w:rsidR="00A02D55" w:rsidRDefault="00A02D55" w:rsidP="000947CB">
      <w:pPr>
        <w:pStyle w:val="PPVBullet1"/>
        <w:numPr>
          <w:ilvl w:val="0"/>
          <w:numId w:val="13"/>
        </w:numPr>
        <w:tabs>
          <w:tab w:val="clear" w:pos="851"/>
        </w:tabs>
      </w:pPr>
      <w:r>
        <w:t>the need for more fine grained master planning of these areas (if that is in fact needed) could be done by the planning or responsible authority as part of the p</w:t>
      </w:r>
      <w:r w:rsidR="007C4E3B">
        <w:t>recinct plan</w:t>
      </w:r>
      <w:r w:rsidR="00EE531A">
        <w:t>ning</w:t>
      </w:r>
      <w:r>
        <w:t xml:space="preserve"> process.</w:t>
      </w:r>
    </w:p>
    <w:p w:rsidR="00A02D55" w:rsidRDefault="00A02D55" w:rsidP="00A02D55">
      <w:pPr>
        <w:pStyle w:val="PPVBody"/>
      </w:pPr>
      <w:r>
        <w:t>Mr Biacsi expressed similar concerns to those of Mr Glossop, although he acknowledged that the intention of providing some form of master planning in super-lots and around strategic areas has some merit.  He agreed that the DPO2 would require “</w:t>
      </w:r>
      <w:r w:rsidRPr="00E42738">
        <w:rPr>
          <w:i/>
        </w:rPr>
        <w:t>a significant overhaul to remove the uncertainty of the various requirements</w:t>
      </w:r>
      <w:r>
        <w:t xml:space="preserve">”, and stated that </w:t>
      </w:r>
      <w:r w:rsidRPr="00E42738">
        <w:t>a landowner</w:t>
      </w:r>
      <w:r>
        <w:t xml:space="preserve"> or </w:t>
      </w:r>
      <w:r w:rsidRPr="00E42738">
        <w:t>developer</w:t>
      </w:r>
      <w:r>
        <w:t xml:space="preserve"> </w:t>
      </w:r>
      <w:r w:rsidRPr="00E42738">
        <w:t xml:space="preserve">led ‘opt-in’ or ‘opt-out’ provision </w:t>
      </w:r>
      <w:r>
        <w:t xml:space="preserve">would </w:t>
      </w:r>
      <w:r w:rsidRPr="00E42738">
        <w:t xml:space="preserve">be necessary. </w:t>
      </w:r>
      <w:r>
        <w:t xml:space="preserve"> He expressed concern about retaining the DPO2 in </w:t>
      </w:r>
      <w:r w:rsidRPr="00E42738">
        <w:t xml:space="preserve">circumstances where </w:t>
      </w:r>
      <w:r>
        <w:t xml:space="preserve">a DCP has not </w:t>
      </w:r>
      <w:r w:rsidRPr="00E42738">
        <w:t xml:space="preserve">yet </w:t>
      </w:r>
      <w:r>
        <w:t xml:space="preserve">been </w:t>
      </w:r>
      <w:r w:rsidRPr="00E42738">
        <w:t>developed.</w:t>
      </w:r>
    </w:p>
    <w:p w:rsidR="00D76261" w:rsidRDefault="00A02D55" w:rsidP="00A02D55">
      <w:pPr>
        <w:pStyle w:val="PPVBody"/>
      </w:pPr>
      <w:r>
        <w:t>Ace Body Corporate Management pointed to the practical difficulties that would arise for the lot owners in the Base</w:t>
      </w:r>
      <w:r w:rsidR="0092689A">
        <w:t>,</w:t>
      </w:r>
      <w:r>
        <w:t xml:space="preserve"> if the DPO2 was applied, and they were not able to obtain permits until a development plan was approved.</w:t>
      </w:r>
    </w:p>
    <w:p w:rsidR="00A02D55" w:rsidRDefault="00A02D55" w:rsidP="00A02D55">
      <w:pPr>
        <w:pStyle w:val="Heading4"/>
        <w:tabs>
          <w:tab w:val="clear" w:pos="851"/>
        </w:tabs>
      </w:pPr>
      <w:r>
        <w:t>Discussion</w:t>
      </w:r>
    </w:p>
    <w:p w:rsidR="00A02D55" w:rsidRDefault="00A02D55" w:rsidP="00A02D55">
      <w:r>
        <w:t xml:space="preserve">It is essential to ensure that land required for important future public facilities, such as the </w:t>
      </w:r>
      <w:r w:rsidR="0092689A">
        <w:t xml:space="preserve">potential </w:t>
      </w:r>
      <w:r w:rsidR="00827876">
        <w:t>M</w:t>
      </w:r>
      <w:r>
        <w:t>etro stations, is protected, and that development of the surrounding land does not prejudice the future development of these important public assets.</w:t>
      </w:r>
    </w:p>
    <w:p w:rsidR="00756D59" w:rsidRDefault="00756D59" w:rsidP="00756D59">
      <w:r>
        <w:t>The Review Panel considers that there is a need for some form of master planning to be applied to these key strategic public realm areas within Fishermans Bend.  Master planning the public realm is not the primary responsibility of the private landowners in the affected areas.  It must be undertaken by a public authority, be it the planning or responsible authority, or a separate governance body established to take the future planning and development of Fishermans Bend forward, and should be done in close consultation with the affected landowners.</w:t>
      </w:r>
    </w:p>
    <w:p w:rsidR="00374E11" w:rsidRDefault="0092689A" w:rsidP="00A02D55">
      <w:pPr>
        <w:pStyle w:val="Heading4"/>
        <w:tabs>
          <w:tab w:val="clear" w:pos="851"/>
        </w:tabs>
      </w:pPr>
      <w:r>
        <w:t xml:space="preserve">Findings </w:t>
      </w:r>
      <w:r w:rsidR="004074FF">
        <w:t>and recommendation</w:t>
      </w:r>
    </w:p>
    <w:p w:rsidR="00A02D55" w:rsidRDefault="00A02D55" w:rsidP="00A02D55">
      <w:pPr>
        <w:pStyle w:val="PPVBody"/>
      </w:pPr>
      <w:r>
        <w:t xml:space="preserve">Given a critical aim of the DPOs was to plan for public infrastructure their application should be delayed until the </w:t>
      </w:r>
      <w:r w:rsidR="00FC563B">
        <w:t>Precinct Plans</w:t>
      </w:r>
      <w:r>
        <w:t xml:space="preserve"> and infrastructure plans are completed, and there is more certainty around what will be delivered in these areas and when.</w:t>
      </w:r>
      <w:r w:rsidR="00DD74BA">
        <w:t xml:space="preserve">  They should not, however, be abandoned as a concept.</w:t>
      </w:r>
    </w:p>
    <w:p w:rsidR="00A02D55" w:rsidRDefault="00A02D55" w:rsidP="00DD6314">
      <w:pPr>
        <w:pStyle w:val="Heading2"/>
      </w:pPr>
      <w:bookmarkStart w:id="1232" w:name="_Toc518402933"/>
      <w:bookmarkStart w:id="1233" w:name="_Toc519710343"/>
      <w:bookmarkStart w:id="1234" w:name="_Toc519766903"/>
      <w:r>
        <w:lastRenderedPageBreak/>
        <w:t>Use of the Development Plan Overlay on large sites</w:t>
      </w:r>
      <w:bookmarkEnd w:id="1232"/>
      <w:bookmarkEnd w:id="1233"/>
      <w:bookmarkEnd w:id="1234"/>
    </w:p>
    <w:p w:rsidR="00A02D55" w:rsidRDefault="00A02D55" w:rsidP="00A02D55">
      <w:pPr>
        <w:pStyle w:val="Heading4"/>
      </w:pPr>
      <w:r>
        <w:t>Context</w:t>
      </w:r>
    </w:p>
    <w:p w:rsidR="00A02D55" w:rsidRDefault="00A02D55" w:rsidP="00A02D55">
      <w:r>
        <w:t xml:space="preserve">Goodman (S149) has very significant landholdings within Fishermans Bend.  The continuous parcel in the Sandridge and Wirraway </w:t>
      </w:r>
      <w:r w:rsidR="00827876">
        <w:t>P</w:t>
      </w:r>
      <w:r>
        <w:t>recincts is approximately 26 hectares, as noted</w:t>
      </w:r>
      <w:r w:rsidR="00CC03B0">
        <w:t xml:space="preserve"> in</w:t>
      </w:r>
      <w:r w:rsidR="000E0848">
        <w:t xml:space="preserve"> </w:t>
      </w:r>
      <w:r w:rsidR="000E0848">
        <w:fldChar w:fldCharType="begin"/>
      </w:r>
      <w:r w:rsidR="000E0848">
        <w:instrText xml:space="preserve"> REF _Ref519719090 \h </w:instrText>
      </w:r>
      <w:r w:rsidR="000E0848">
        <w:fldChar w:fldCharType="separate"/>
      </w:r>
      <w:r w:rsidR="00A307EC" w:rsidRPr="002B0B06">
        <w:t xml:space="preserve">Figure </w:t>
      </w:r>
      <w:r w:rsidR="00A307EC">
        <w:rPr>
          <w:noProof/>
        </w:rPr>
        <w:t>17</w:t>
      </w:r>
      <w:r w:rsidR="000E0848">
        <w:fldChar w:fldCharType="end"/>
      </w:r>
      <w:r w:rsidR="00F70663">
        <w:t>.</w:t>
      </w:r>
    </w:p>
    <w:p w:rsidR="00A02D55" w:rsidRDefault="00A02D55" w:rsidP="00A02D55">
      <w:pPr>
        <w:pStyle w:val="Caption"/>
        <w:rPr>
          <w:b w:val="0"/>
        </w:rPr>
      </w:pPr>
      <w:bookmarkStart w:id="1235" w:name="_Ref519719090"/>
      <w:bookmarkStart w:id="1236" w:name="_Toc518216959"/>
      <w:bookmarkStart w:id="1237" w:name="_Toc519719120"/>
      <w:bookmarkStart w:id="1238" w:name="_Toc519710388"/>
      <w:r w:rsidRPr="002B0B06">
        <w:t xml:space="preserve">Figure </w:t>
      </w:r>
      <w:fldSimple w:instr=" SEQ Figure \* ARABIC ">
        <w:r w:rsidR="00A307EC">
          <w:rPr>
            <w:noProof/>
          </w:rPr>
          <w:t>17</w:t>
        </w:r>
      </w:fldSimple>
      <w:bookmarkEnd w:id="1235"/>
      <w:r>
        <w:rPr>
          <w:noProof/>
        </w:rPr>
        <w:t>:</w:t>
      </w:r>
      <w:r w:rsidRPr="002B0B06">
        <w:tab/>
        <w:t>Goodman landholdings within Fishermans Bend</w:t>
      </w:r>
      <w:bookmarkEnd w:id="1236"/>
      <w:bookmarkEnd w:id="1237"/>
      <w:bookmarkEnd w:id="1238"/>
    </w:p>
    <w:p w:rsidR="00A02D55" w:rsidRDefault="00A02D55" w:rsidP="00A02D55">
      <w:pPr>
        <w:keepNext/>
      </w:pPr>
      <w:r w:rsidRPr="002B0B06">
        <w:rPr>
          <w:noProof/>
        </w:rPr>
        <w:drawing>
          <wp:inline distT="0" distB="0" distL="0" distR="0" wp14:anchorId="58E599EE" wp14:editId="7B4F2117">
            <wp:extent cx="5759450" cy="3179596"/>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179596"/>
                    </a:xfrm>
                    <a:prstGeom prst="rect">
                      <a:avLst/>
                    </a:prstGeom>
                    <a:noFill/>
                    <a:ln>
                      <a:noFill/>
                    </a:ln>
                  </pic:spPr>
                </pic:pic>
              </a:graphicData>
            </a:graphic>
          </wp:inline>
        </w:drawing>
      </w:r>
    </w:p>
    <w:p w:rsidR="00A02D55" w:rsidRDefault="00A02D55" w:rsidP="00A02D55">
      <w:pPr>
        <w:rPr>
          <w:sz w:val="20"/>
          <w:szCs w:val="20"/>
        </w:rPr>
      </w:pPr>
      <w:r w:rsidRPr="002B0B06">
        <w:rPr>
          <w:sz w:val="20"/>
          <w:szCs w:val="20"/>
        </w:rPr>
        <w:t xml:space="preserve">Source: Summary of evidence of </w:t>
      </w:r>
      <w:r w:rsidR="008C3707">
        <w:rPr>
          <w:sz w:val="20"/>
          <w:szCs w:val="20"/>
        </w:rPr>
        <w:t xml:space="preserve">Ms </w:t>
      </w:r>
      <w:r w:rsidRPr="002B0B06">
        <w:rPr>
          <w:sz w:val="20"/>
          <w:szCs w:val="20"/>
        </w:rPr>
        <w:t xml:space="preserve">Heggen, </w:t>
      </w:r>
      <w:r>
        <w:rPr>
          <w:sz w:val="20"/>
          <w:szCs w:val="20"/>
        </w:rPr>
        <w:t>D</w:t>
      </w:r>
      <w:r w:rsidRPr="002B0B06">
        <w:rPr>
          <w:sz w:val="20"/>
          <w:szCs w:val="20"/>
        </w:rPr>
        <w:t>207</w:t>
      </w:r>
    </w:p>
    <w:p w:rsidR="00A02D55" w:rsidRPr="002B0B06" w:rsidRDefault="00A02D55" w:rsidP="00A02D55">
      <w:pPr>
        <w:pStyle w:val="PPVBody"/>
      </w:pPr>
      <w:r>
        <w:t>Much of Goodman’s land to the north of JL Murphy Reserve is located within several community hub investigation areas.  Heights in that area are limited to eight storeys.  The Review Panel understands that this is primarily to protect JL Murphy Reserve from overshadowing.</w:t>
      </w:r>
    </w:p>
    <w:p w:rsidR="00A02D55" w:rsidRDefault="00A02D55" w:rsidP="00A02D55">
      <w:pPr>
        <w:pStyle w:val="Heading4"/>
        <w:tabs>
          <w:tab w:val="clear" w:pos="851"/>
        </w:tabs>
      </w:pPr>
      <w:r>
        <w:t>Evidence and submissions</w:t>
      </w:r>
    </w:p>
    <w:p w:rsidR="00A02D55" w:rsidRDefault="00A02D55" w:rsidP="00A02D55">
      <w:r>
        <w:t>Goodman’s primary submission, consistent with that of many other landowners within Fishermans Bend, was that the draft Amendment is fundamentally flawed, and should not proceed in its current form.</w:t>
      </w:r>
    </w:p>
    <w:p w:rsidR="00A02D55" w:rsidRDefault="00A02D55" w:rsidP="00A02D55">
      <w:r>
        <w:t>A secondary but key submission was that the unique nature of the Goodman landholding invites a different approach.  Goodman submitted that the proposed controls:</w:t>
      </w:r>
    </w:p>
    <w:p w:rsidR="00A02D55" w:rsidRDefault="00A02D55" w:rsidP="00A02D55">
      <w:pPr>
        <w:pStyle w:val="PPVQuote"/>
      </w:pPr>
      <w:r>
        <w:t>… ignore the unique opportunity that the Goodman land presents.  It’s size, context and the fact that it is in single ownership provides an opportunity to create (through a control such as the Development Plan Overlay), a “precinct within a precinct”, where flexibility and innovation can thrive, and better outcomes can be achieved.</w:t>
      </w:r>
    </w:p>
    <w:p w:rsidR="00A02D55" w:rsidRDefault="00A02D55" w:rsidP="00A02D55">
      <w:pPr>
        <w:pStyle w:val="PPVBody"/>
      </w:pPr>
      <w:r>
        <w:t>Goodman submitted that such an approach would facilitate better outcomes, such as:</w:t>
      </w:r>
    </w:p>
    <w:p w:rsidR="00A02D55" w:rsidRDefault="00A02D55" w:rsidP="000947CB">
      <w:pPr>
        <w:pStyle w:val="PPVBullet1"/>
        <w:numPr>
          <w:ilvl w:val="0"/>
          <w:numId w:val="13"/>
        </w:numPr>
        <w:tabs>
          <w:tab w:val="clear" w:pos="851"/>
        </w:tabs>
      </w:pPr>
      <w:r>
        <w:t>providing single use buildings as wholly commercial and wholly residential</w:t>
      </w:r>
    </w:p>
    <w:p w:rsidR="00A02D55" w:rsidRDefault="00A02D55" w:rsidP="000947CB">
      <w:pPr>
        <w:pStyle w:val="PPVBullet1"/>
        <w:numPr>
          <w:ilvl w:val="0"/>
          <w:numId w:val="13"/>
        </w:numPr>
        <w:tabs>
          <w:tab w:val="clear" w:pos="851"/>
        </w:tabs>
      </w:pPr>
      <w:r>
        <w:t>consolidating open space into larger, more usable parcels</w:t>
      </w:r>
    </w:p>
    <w:p w:rsidR="00A02D55" w:rsidRDefault="00A02D55" w:rsidP="000947CB">
      <w:pPr>
        <w:pStyle w:val="PPVBullet1"/>
        <w:numPr>
          <w:ilvl w:val="0"/>
          <w:numId w:val="13"/>
        </w:numPr>
        <w:tabs>
          <w:tab w:val="clear" w:pos="851"/>
        </w:tabs>
      </w:pPr>
      <w:r>
        <w:lastRenderedPageBreak/>
        <w:t>creating areas for specialised uses and buildings (community hubs)</w:t>
      </w:r>
    </w:p>
    <w:p w:rsidR="00A02D55" w:rsidRDefault="00A02D55" w:rsidP="000947CB">
      <w:pPr>
        <w:pStyle w:val="PPVBullet1"/>
        <w:numPr>
          <w:ilvl w:val="0"/>
          <w:numId w:val="13"/>
        </w:numPr>
        <w:tabs>
          <w:tab w:val="clear" w:pos="851"/>
        </w:tabs>
      </w:pPr>
      <w:r>
        <w:t>creating shared parking hubs</w:t>
      </w:r>
    </w:p>
    <w:p w:rsidR="00A02D55" w:rsidRDefault="00A02D55" w:rsidP="000947CB">
      <w:pPr>
        <w:pStyle w:val="PPVBullet1"/>
        <w:numPr>
          <w:ilvl w:val="0"/>
          <w:numId w:val="13"/>
        </w:numPr>
        <w:tabs>
          <w:tab w:val="clear" w:pos="851"/>
        </w:tabs>
      </w:pPr>
      <w:r>
        <w:t>sharing infrastructure across many sites.</w:t>
      </w:r>
    </w:p>
    <w:p w:rsidR="00785416" w:rsidRDefault="00DD74BA" w:rsidP="00DD74BA">
      <w:pPr>
        <w:pStyle w:val="PPVBody"/>
      </w:pPr>
      <w:r>
        <w:t xml:space="preserve">In response to questions from the Review Panel, Ms Heggen indicated that she saw no reason why a DPO could not be applied to the Goodman land now, provided that exemptions were included in the DPO </w:t>
      </w:r>
      <w:r w:rsidR="0079402A">
        <w:t>S</w:t>
      </w:r>
      <w:r>
        <w:t xml:space="preserve">chedule allowing appropriate permits to be granted in advance of a development plan being approved, and exemptions were included in the CCZ </w:t>
      </w:r>
      <w:r w:rsidR="0079402A">
        <w:t>S</w:t>
      </w:r>
      <w:r>
        <w:t>chedule for development that was generally in accordance with an approved development plan.</w:t>
      </w:r>
    </w:p>
    <w:p w:rsidR="00A02D55" w:rsidRDefault="00A02D55" w:rsidP="00A02D55">
      <w:pPr>
        <w:pStyle w:val="Heading4"/>
        <w:tabs>
          <w:tab w:val="clear" w:pos="851"/>
        </w:tabs>
      </w:pPr>
      <w:r>
        <w:t>Discussion</w:t>
      </w:r>
    </w:p>
    <w:p w:rsidR="00A6168A" w:rsidRDefault="00A6168A" w:rsidP="00A6168A">
      <w:r>
        <w:t xml:space="preserve">The Review Panel agrees that there is merit using the DPO in the way proposed by Goodman.  Large sites present a unique opportunity to master plan significant areas within Fishermans Bend in a more fine grained way than is provided for in the draft Framework and the future </w:t>
      </w:r>
      <w:r w:rsidR="00FC563B">
        <w:t>Precinct Plans</w:t>
      </w:r>
      <w:r>
        <w:t>.  If development proceeds in accordance with an approved development plan, the Review Panel considers it appropriate for that development to be exempted from the requirements of the CCZ.</w:t>
      </w:r>
    </w:p>
    <w:p w:rsidR="00A6168A" w:rsidRDefault="00A6168A" w:rsidP="00A6168A">
      <w:r>
        <w:t>This concept of a more fine grained master planning approach is also supported by other submitters, notably Port Phillip and the MAC.  The MAC advocated the use of a DPO to facilitate super-lot or street block planning on large sites, in core areas or along active transport corridors where “</w:t>
      </w:r>
      <w:r w:rsidRPr="00C508BA">
        <w:rPr>
          <w:i/>
        </w:rPr>
        <w:t>the identity and quality of place making</w:t>
      </w:r>
      <w:r>
        <w:rPr>
          <w:i/>
        </w:rPr>
        <w:t xml:space="preserve"> </w:t>
      </w:r>
      <w:r w:rsidRPr="00C508BA">
        <w:rPr>
          <w:i/>
        </w:rPr>
        <w:t>and successful stitching of developments will be crucial</w:t>
      </w:r>
      <w:r>
        <w:t xml:space="preserve">”.  The MAC supported a </w:t>
      </w:r>
      <w:r w:rsidRPr="00C508BA">
        <w:t xml:space="preserve">developer led </w:t>
      </w:r>
      <w:r>
        <w:t>‘</w:t>
      </w:r>
      <w:r w:rsidRPr="00C508BA">
        <w:t>opt</w:t>
      </w:r>
      <w:r>
        <w:t>-</w:t>
      </w:r>
      <w:r w:rsidRPr="00C508BA">
        <w:t>in</w:t>
      </w:r>
      <w:r>
        <w:t>’ approach to the use of DPOs.</w:t>
      </w:r>
      <w:r w:rsidRPr="00820B43">
        <w:rPr>
          <w:rStyle w:val="FootnoteReference"/>
        </w:rPr>
        <w:footnoteReference w:id="160"/>
      </w:r>
      <w:r>
        <w:t xml:space="preserve">  Port Phillip supported the use of DPOs to master plan key areas like the proposed activity centres.  If exemptions from the CCZ controls were provided for, developers would be more likely to opt</w:t>
      </w:r>
      <w:r w:rsidR="00165DB1">
        <w:t>-</w:t>
      </w:r>
      <w:r>
        <w:t>in.</w:t>
      </w:r>
    </w:p>
    <w:p w:rsidR="00A6168A" w:rsidRDefault="00A6168A" w:rsidP="00A6168A">
      <w:r>
        <w:t>While the Review Panel supports the use of the DPO as a master planning tool for large sites, it considers that this should only be on an ‘opt-in’ basis.  There seems little point in imposing a DPO on large landholders unless they support the idea and are likely to maximise the opportunities presented by a master planning approach.</w:t>
      </w:r>
    </w:p>
    <w:p w:rsidR="00A6168A" w:rsidRDefault="00A6168A" w:rsidP="00A6168A">
      <w:r>
        <w:t>The Review Panel is not convinced that now is the right time to apply a DPO to the Goodman land.  The Review Panel considers that the preferable approach would be to embed the urban structure reflected in the revised C</w:t>
      </w:r>
      <w:r w:rsidR="00F34EE4">
        <w:t>CZ</w:t>
      </w:r>
      <w:r>
        <w:t xml:space="preserve"> and DDO schedules first, and to consider the site specific application of DPOs (including to the Goodman land) later, preferably once other key elements of the planning framework have been prepared, such as the </w:t>
      </w:r>
      <w:r w:rsidR="00FC563B">
        <w:t>Precinct Plans</w:t>
      </w:r>
      <w:r>
        <w:t xml:space="preserve"> and an infrastructure plan.</w:t>
      </w:r>
    </w:p>
    <w:p w:rsidR="00785416" w:rsidRDefault="00A6168A" w:rsidP="00A6168A">
      <w:pPr>
        <w:pStyle w:val="Heading4"/>
        <w:tabs>
          <w:tab w:val="clear" w:pos="851"/>
        </w:tabs>
      </w:pPr>
      <w:r>
        <w:t>Findings</w:t>
      </w:r>
    </w:p>
    <w:p w:rsidR="00A6168A" w:rsidRDefault="00A6168A" w:rsidP="00A6168A">
      <w:r>
        <w:t>The Review Panel finds:</w:t>
      </w:r>
    </w:p>
    <w:p w:rsidR="00785416" w:rsidRDefault="00A6168A" w:rsidP="000947CB">
      <w:pPr>
        <w:pStyle w:val="PPVBullet1"/>
        <w:numPr>
          <w:ilvl w:val="0"/>
          <w:numId w:val="13"/>
        </w:numPr>
        <w:tabs>
          <w:tab w:val="clear" w:pos="851"/>
        </w:tabs>
      </w:pPr>
      <w:r>
        <w:t>it supports the use of DPOs to facilitate the master planning of privately owned large sites, or street blocks, on a developer led ‘opt-in’ basis (encouraged by exemptions from the CCZ controls for development that is in accordance with an approved development plan)</w:t>
      </w:r>
    </w:p>
    <w:p w:rsidR="00A6168A" w:rsidRDefault="00A6168A" w:rsidP="000947CB">
      <w:pPr>
        <w:pStyle w:val="PPVBullet1"/>
        <w:numPr>
          <w:ilvl w:val="0"/>
          <w:numId w:val="13"/>
        </w:numPr>
        <w:tabs>
          <w:tab w:val="clear" w:pos="851"/>
        </w:tabs>
      </w:pPr>
      <w:r>
        <w:lastRenderedPageBreak/>
        <w:t>the application of a DPO on the Goodman site is premature at this stage</w:t>
      </w:r>
    </w:p>
    <w:p w:rsidR="00A6168A" w:rsidRDefault="00A6168A" w:rsidP="000947CB">
      <w:pPr>
        <w:pStyle w:val="PPVBullet1"/>
        <w:numPr>
          <w:ilvl w:val="0"/>
          <w:numId w:val="13"/>
        </w:numPr>
        <w:tabs>
          <w:tab w:val="clear" w:pos="851"/>
        </w:tabs>
      </w:pPr>
      <w:r>
        <w:t xml:space="preserve">the preferable approach would be to consider the application of a DPO once the </w:t>
      </w:r>
      <w:r w:rsidR="00FC563B">
        <w:t>Precinct Plans</w:t>
      </w:r>
      <w:r>
        <w:t xml:space="preserve"> and an infrastructure plan have been prepared</w:t>
      </w:r>
    </w:p>
    <w:p w:rsidR="00A6168A" w:rsidRDefault="00A6168A" w:rsidP="000947CB">
      <w:pPr>
        <w:pStyle w:val="PPVBullet1"/>
        <w:numPr>
          <w:ilvl w:val="0"/>
          <w:numId w:val="13"/>
        </w:numPr>
        <w:tabs>
          <w:tab w:val="clear" w:pos="851"/>
        </w:tabs>
      </w:pPr>
      <w:r>
        <w:t>developers should be encouraged to prepare draft development plans for exhibition with an amendment to introduce the DPO to a site.</w:t>
      </w:r>
    </w:p>
    <w:p w:rsidR="00374E11" w:rsidRDefault="006016A4" w:rsidP="0015128B">
      <w:pPr>
        <w:pStyle w:val="Heading1"/>
        <w:rPr>
          <w:rFonts w:asciiTheme="minorHAnsi" w:hAnsiTheme="minorHAnsi"/>
        </w:rPr>
      </w:pPr>
      <w:bookmarkStart w:id="1239" w:name="_Toc519710344"/>
      <w:bookmarkStart w:id="1240" w:name="_Toc519766904"/>
      <w:bookmarkEnd w:id="534"/>
      <w:bookmarkEnd w:id="535"/>
      <w:r>
        <w:rPr>
          <w:rFonts w:asciiTheme="minorHAnsi" w:hAnsiTheme="minorHAnsi"/>
        </w:rPr>
        <w:lastRenderedPageBreak/>
        <w:t>Summary response to Terms of Reference</w:t>
      </w:r>
      <w:bookmarkEnd w:id="1239"/>
      <w:bookmarkEnd w:id="1240"/>
    </w:p>
    <w:p w:rsidR="00EB1BBD" w:rsidRDefault="00F466F2" w:rsidP="00D47FC7">
      <w:pPr>
        <w:pStyle w:val="PPVBody"/>
      </w:pPr>
      <w:r>
        <w:t>T</w:t>
      </w:r>
      <w:r w:rsidR="00EB1BBD">
        <w:t xml:space="preserve">he Review Panel provides the summary of its </w:t>
      </w:r>
      <w:r>
        <w:t>response to its Terms of Reference in</w:t>
      </w:r>
      <w:r w:rsidR="000E0848">
        <w:t xml:space="preserve"> </w:t>
      </w:r>
      <w:r w:rsidR="000E0848">
        <w:fldChar w:fldCharType="begin"/>
      </w:r>
      <w:r w:rsidR="000E0848">
        <w:instrText xml:space="preserve"> REF _Ref519718926 \h </w:instrText>
      </w:r>
      <w:r w:rsidR="000E0848">
        <w:fldChar w:fldCharType="separate"/>
      </w:r>
      <w:r w:rsidR="00A307EC">
        <w:t xml:space="preserve">Table </w:t>
      </w:r>
      <w:r w:rsidR="00A307EC">
        <w:rPr>
          <w:noProof/>
        </w:rPr>
        <w:t>23</w:t>
      </w:r>
      <w:r w:rsidR="000E0848">
        <w:fldChar w:fldCharType="end"/>
      </w:r>
      <w:r w:rsidR="00EB1BBD">
        <w:t>.</w:t>
      </w:r>
    </w:p>
    <w:p w:rsidR="000832BB" w:rsidRDefault="000832BB" w:rsidP="000832BB">
      <w:pPr>
        <w:pStyle w:val="Caption"/>
      </w:pPr>
      <w:bookmarkStart w:id="1241" w:name="_Ref519718926"/>
      <w:bookmarkStart w:id="1242" w:name="_Toc519719148"/>
      <w:bookmarkStart w:id="1243" w:name="_Toc519710371"/>
      <w:r>
        <w:t xml:space="preserve">Table </w:t>
      </w:r>
      <w:fldSimple w:instr=" SEQ Table \* ARABIC ">
        <w:r w:rsidR="00A307EC">
          <w:rPr>
            <w:noProof/>
          </w:rPr>
          <w:t>23</w:t>
        </w:r>
      </w:fldSimple>
      <w:bookmarkEnd w:id="1241"/>
      <w:r>
        <w:t>:</w:t>
      </w:r>
      <w:r>
        <w:tab/>
      </w:r>
      <w:r w:rsidR="00FF0A67">
        <w:t>Summary of response to Terms of Reference</w:t>
      </w:r>
      <w:bookmarkEnd w:id="1242"/>
      <w:bookmarkEnd w:id="1243"/>
    </w:p>
    <w:tbl>
      <w:tblPr>
        <w:tblW w:w="0" w:type="auto"/>
        <w:tblBorders>
          <w:bottom w:val="single" w:sz="12" w:space="0" w:color="215868"/>
          <w:insideH w:val="dotted" w:sz="4" w:space="0" w:color="auto"/>
        </w:tblBorders>
        <w:tblLayout w:type="fixed"/>
        <w:tblLook w:val="04A0" w:firstRow="1" w:lastRow="0" w:firstColumn="1" w:lastColumn="0" w:noHBand="0" w:noVBand="1"/>
      </w:tblPr>
      <w:tblGrid>
        <w:gridCol w:w="3095"/>
        <w:gridCol w:w="3095"/>
        <w:gridCol w:w="3096"/>
      </w:tblGrid>
      <w:tr w:rsidR="000832BB" w:rsidTr="000832BB">
        <w:trPr>
          <w:cantSplit/>
          <w:tblHeader/>
        </w:trPr>
        <w:tc>
          <w:tcPr>
            <w:tcW w:w="3095" w:type="dxa"/>
            <w:tcBorders>
              <w:top w:val="nil"/>
              <w:bottom w:val="dotted" w:sz="4" w:space="0" w:color="auto"/>
            </w:tcBorders>
            <w:shd w:val="clear" w:color="auto" w:fill="215868"/>
            <w:vAlign w:val="bottom"/>
          </w:tcPr>
          <w:p w:rsidR="000832BB" w:rsidRPr="00D4049C" w:rsidRDefault="000832BB" w:rsidP="000832BB">
            <w:pPr>
              <w:pStyle w:val="PPVTableHeader"/>
              <w:rPr>
                <w:szCs w:val="20"/>
              </w:rPr>
            </w:pPr>
            <w:r w:rsidRPr="00D4049C">
              <w:rPr>
                <w:szCs w:val="20"/>
              </w:rPr>
              <w:t xml:space="preserve">Term of Reference </w:t>
            </w:r>
          </w:p>
        </w:tc>
        <w:tc>
          <w:tcPr>
            <w:tcW w:w="3095" w:type="dxa"/>
            <w:tcBorders>
              <w:top w:val="nil"/>
              <w:bottom w:val="dotted" w:sz="4" w:space="0" w:color="auto"/>
            </w:tcBorders>
            <w:shd w:val="clear" w:color="auto" w:fill="215868"/>
            <w:vAlign w:val="bottom"/>
          </w:tcPr>
          <w:p w:rsidR="000832BB" w:rsidRPr="00D4049C" w:rsidRDefault="000832BB" w:rsidP="000832BB">
            <w:pPr>
              <w:pStyle w:val="PPVTableHeader"/>
              <w:rPr>
                <w:szCs w:val="20"/>
              </w:rPr>
            </w:pPr>
            <w:r w:rsidRPr="00D4049C">
              <w:rPr>
                <w:szCs w:val="20"/>
              </w:rPr>
              <w:t xml:space="preserve">Comment </w:t>
            </w:r>
          </w:p>
        </w:tc>
        <w:tc>
          <w:tcPr>
            <w:tcW w:w="3096" w:type="dxa"/>
            <w:tcBorders>
              <w:top w:val="nil"/>
              <w:bottom w:val="dotted" w:sz="4" w:space="0" w:color="auto"/>
            </w:tcBorders>
            <w:shd w:val="clear" w:color="auto" w:fill="215868"/>
            <w:vAlign w:val="bottom"/>
          </w:tcPr>
          <w:p w:rsidR="000832BB" w:rsidRPr="00D4049C" w:rsidRDefault="000832BB" w:rsidP="000832BB">
            <w:pPr>
              <w:pStyle w:val="PPVTableHeader"/>
              <w:rPr>
                <w:szCs w:val="20"/>
              </w:rPr>
            </w:pPr>
            <w:r w:rsidRPr="00D4049C">
              <w:rPr>
                <w:szCs w:val="20"/>
              </w:rPr>
              <w:t>Chapters</w:t>
            </w:r>
            <w:r w:rsidR="00574C4B">
              <w:rPr>
                <w:szCs w:val="20"/>
              </w:rPr>
              <w:t>/Report</w:t>
            </w:r>
            <w:r w:rsidRPr="00D4049C">
              <w:rPr>
                <w:szCs w:val="20"/>
              </w:rPr>
              <w:t xml:space="preserve"> </w:t>
            </w:r>
          </w:p>
        </w:tc>
      </w:tr>
      <w:tr w:rsidR="000832BB" w:rsidTr="000832BB">
        <w:trPr>
          <w:cantSplit/>
        </w:trPr>
        <w:tc>
          <w:tcPr>
            <w:tcW w:w="3095" w:type="dxa"/>
            <w:tcBorders>
              <w:top w:val="dotted" w:sz="4" w:space="0" w:color="auto"/>
            </w:tcBorders>
            <w:shd w:val="clear" w:color="auto" w:fill="auto"/>
          </w:tcPr>
          <w:p w:rsidR="000832BB" w:rsidRPr="005E1275" w:rsidRDefault="005E1275" w:rsidP="00D24B54">
            <w:pPr>
              <w:pStyle w:val="PPVBody"/>
              <w:jc w:val="left"/>
              <w:rPr>
                <w:b/>
                <w:sz w:val="20"/>
                <w:szCs w:val="20"/>
              </w:rPr>
            </w:pPr>
            <w:r>
              <w:rPr>
                <w:b/>
                <w:sz w:val="20"/>
                <w:szCs w:val="20"/>
              </w:rPr>
              <w:t>HEARING PROCESS</w:t>
            </w:r>
          </w:p>
        </w:tc>
        <w:tc>
          <w:tcPr>
            <w:tcW w:w="3095" w:type="dxa"/>
            <w:tcBorders>
              <w:top w:val="dotted" w:sz="4" w:space="0" w:color="auto"/>
            </w:tcBorders>
            <w:shd w:val="clear" w:color="auto" w:fill="auto"/>
          </w:tcPr>
          <w:p w:rsidR="000832BB" w:rsidRPr="00D4049C" w:rsidRDefault="000832BB" w:rsidP="00D24B54">
            <w:pPr>
              <w:pStyle w:val="PPVTableText"/>
              <w:rPr>
                <w:szCs w:val="20"/>
              </w:rPr>
            </w:pPr>
          </w:p>
        </w:tc>
        <w:tc>
          <w:tcPr>
            <w:tcW w:w="3096" w:type="dxa"/>
            <w:tcBorders>
              <w:top w:val="dotted" w:sz="4" w:space="0" w:color="auto"/>
            </w:tcBorders>
            <w:shd w:val="clear" w:color="auto" w:fill="auto"/>
          </w:tcPr>
          <w:p w:rsidR="000832BB" w:rsidRPr="00D4049C" w:rsidRDefault="000832BB" w:rsidP="00D24B54">
            <w:pPr>
              <w:pStyle w:val="PPVTableText"/>
              <w:rPr>
                <w:szCs w:val="20"/>
              </w:rPr>
            </w:pPr>
          </w:p>
        </w:tc>
      </w:tr>
      <w:tr w:rsidR="005E1275" w:rsidTr="000832BB">
        <w:trPr>
          <w:cantSplit/>
        </w:trPr>
        <w:tc>
          <w:tcPr>
            <w:tcW w:w="3095" w:type="dxa"/>
            <w:tcBorders>
              <w:top w:val="dotted" w:sz="4" w:space="0" w:color="auto"/>
            </w:tcBorders>
            <w:shd w:val="clear" w:color="auto" w:fill="auto"/>
          </w:tcPr>
          <w:p w:rsidR="005E1275" w:rsidRPr="005E1275" w:rsidRDefault="005E1275" w:rsidP="00D24B54">
            <w:pPr>
              <w:pStyle w:val="PPVBody"/>
              <w:jc w:val="left"/>
              <w:rPr>
                <w:sz w:val="20"/>
                <w:szCs w:val="20"/>
              </w:rPr>
            </w:pPr>
            <w:r w:rsidRPr="00574C4B">
              <w:rPr>
                <w:i/>
                <w:sz w:val="20"/>
                <w:szCs w:val="20"/>
              </w:rPr>
              <w:t>Clause 27a</w:t>
            </w:r>
            <w:r w:rsidR="000F348F">
              <w:rPr>
                <w:sz w:val="20"/>
                <w:szCs w:val="20"/>
              </w:rPr>
              <w:t>.</w:t>
            </w:r>
            <w:r>
              <w:rPr>
                <w:sz w:val="20"/>
                <w:szCs w:val="20"/>
              </w:rPr>
              <w:t xml:space="preserve"> The State policy context of the Fishermans Bend area</w:t>
            </w:r>
          </w:p>
        </w:tc>
        <w:tc>
          <w:tcPr>
            <w:tcW w:w="3095" w:type="dxa"/>
            <w:tcBorders>
              <w:top w:val="dotted" w:sz="4" w:space="0" w:color="auto"/>
            </w:tcBorders>
            <w:shd w:val="clear" w:color="auto" w:fill="auto"/>
          </w:tcPr>
          <w:p w:rsidR="005E1275" w:rsidRPr="00D4049C" w:rsidRDefault="00574C4B" w:rsidP="00D24B54">
            <w:pPr>
              <w:pStyle w:val="PPVTableText"/>
              <w:rPr>
                <w:szCs w:val="20"/>
              </w:rPr>
            </w:pPr>
            <w:r>
              <w:rPr>
                <w:szCs w:val="20"/>
              </w:rPr>
              <w:t>The proposed planning provisions are generally in accordance with State policy and relevant planning and related legislation</w:t>
            </w:r>
          </w:p>
        </w:tc>
        <w:tc>
          <w:tcPr>
            <w:tcW w:w="3096" w:type="dxa"/>
            <w:tcBorders>
              <w:top w:val="dotted" w:sz="4" w:space="0" w:color="auto"/>
            </w:tcBorders>
            <w:shd w:val="clear" w:color="auto" w:fill="auto"/>
          </w:tcPr>
          <w:p w:rsidR="005E1275" w:rsidRPr="00D4049C" w:rsidRDefault="00574C4B" w:rsidP="00D24B54">
            <w:pPr>
              <w:pStyle w:val="PPVTableText"/>
              <w:rPr>
                <w:szCs w:val="20"/>
              </w:rPr>
            </w:pPr>
            <w:r>
              <w:rPr>
                <w:szCs w:val="20"/>
              </w:rPr>
              <w:t>Chapter 3</w:t>
            </w:r>
          </w:p>
        </w:tc>
      </w:tr>
      <w:tr w:rsidR="005E1275" w:rsidTr="000832BB">
        <w:trPr>
          <w:cantSplit/>
        </w:trPr>
        <w:tc>
          <w:tcPr>
            <w:tcW w:w="3095" w:type="dxa"/>
            <w:tcBorders>
              <w:top w:val="dotted" w:sz="4" w:space="0" w:color="auto"/>
            </w:tcBorders>
            <w:shd w:val="clear" w:color="auto" w:fill="auto"/>
          </w:tcPr>
          <w:p w:rsidR="005E1275" w:rsidRDefault="005E1275" w:rsidP="00D24B54">
            <w:pPr>
              <w:pStyle w:val="PPVBody"/>
              <w:jc w:val="left"/>
              <w:rPr>
                <w:sz w:val="20"/>
                <w:szCs w:val="20"/>
              </w:rPr>
            </w:pPr>
            <w:r w:rsidRPr="00574C4B">
              <w:rPr>
                <w:i/>
                <w:sz w:val="20"/>
                <w:szCs w:val="20"/>
              </w:rPr>
              <w:t>Clause 27b.</w:t>
            </w:r>
            <w:r w:rsidR="000F348F">
              <w:rPr>
                <w:sz w:val="20"/>
                <w:szCs w:val="20"/>
              </w:rPr>
              <w:t xml:space="preserve"> </w:t>
            </w:r>
            <w:r>
              <w:rPr>
                <w:sz w:val="20"/>
                <w:szCs w:val="20"/>
              </w:rPr>
              <w:t xml:space="preserve">The extent to which the proposed changes to the Capital City Zone Schedule 1 (Port Phillip Planning Scheme) and the Capital City Zone Schedule 4 (Melbourne Planning Scheme) allows for the </w:t>
            </w:r>
            <w:r w:rsidRPr="005E1275">
              <w:rPr>
                <w:i/>
                <w:sz w:val="20"/>
                <w:szCs w:val="20"/>
              </w:rPr>
              <w:t>Fishermans Bend Vision, September 2016</w:t>
            </w:r>
            <w:r>
              <w:rPr>
                <w:sz w:val="20"/>
                <w:szCs w:val="20"/>
              </w:rPr>
              <w:t xml:space="preserve"> to be achieved</w:t>
            </w:r>
          </w:p>
        </w:tc>
        <w:tc>
          <w:tcPr>
            <w:tcW w:w="3095" w:type="dxa"/>
            <w:tcBorders>
              <w:top w:val="dotted" w:sz="4" w:space="0" w:color="auto"/>
            </w:tcBorders>
            <w:shd w:val="clear" w:color="auto" w:fill="auto"/>
          </w:tcPr>
          <w:p w:rsidR="005E1275" w:rsidRPr="00D4049C" w:rsidRDefault="00574C4B" w:rsidP="00D24B54">
            <w:pPr>
              <w:pStyle w:val="PPVTableText"/>
              <w:rPr>
                <w:szCs w:val="20"/>
              </w:rPr>
            </w:pPr>
            <w:r>
              <w:rPr>
                <w:szCs w:val="20"/>
              </w:rPr>
              <w:t xml:space="preserve">In the main, the proposed planning provisions generally allow for the Fishermans Bend Vision to be realised, subject to a broadening of the scope of targeted population </w:t>
            </w:r>
            <w:r w:rsidR="002265D3">
              <w:rPr>
                <w:szCs w:val="20"/>
              </w:rPr>
              <w:t>to 2050</w:t>
            </w:r>
          </w:p>
        </w:tc>
        <w:tc>
          <w:tcPr>
            <w:tcW w:w="3096" w:type="dxa"/>
            <w:tcBorders>
              <w:top w:val="dotted" w:sz="4" w:space="0" w:color="auto"/>
            </w:tcBorders>
            <w:shd w:val="clear" w:color="auto" w:fill="auto"/>
          </w:tcPr>
          <w:p w:rsidR="005E1275" w:rsidRPr="00D4049C" w:rsidRDefault="00574C4B" w:rsidP="00D24B54">
            <w:pPr>
              <w:pStyle w:val="PPVTableText"/>
              <w:rPr>
                <w:szCs w:val="20"/>
              </w:rPr>
            </w:pPr>
            <w:r>
              <w:rPr>
                <w:szCs w:val="20"/>
              </w:rPr>
              <w:t>Chapters 6 and 7</w:t>
            </w:r>
          </w:p>
        </w:tc>
      </w:tr>
      <w:tr w:rsidR="005E1275" w:rsidTr="000832BB">
        <w:trPr>
          <w:cantSplit/>
        </w:trPr>
        <w:tc>
          <w:tcPr>
            <w:tcW w:w="3095" w:type="dxa"/>
            <w:tcBorders>
              <w:top w:val="dotted" w:sz="4" w:space="0" w:color="auto"/>
            </w:tcBorders>
            <w:shd w:val="clear" w:color="auto" w:fill="auto"/>
          </w:tcPr>
          <w:p w:rsidR="005E1275" w:rsidRDefault="005E1275" w:rsidP="00D24B54">
            <w:pPr>
              <w:pStyle w:val="PPVBody"/>
              <w:jc w:val="left"/>
              <w:rPr>
                <w:sz w:val="20"/>
                <w:szCs w:val="20"/>
              </w:rPr>
            </w:pPr>
            <w:r w:rsidRPr="00574C4B">
              <w:rPr>
                <w:i/>
                <w:sz w:val="20"/>
                <w:szCs w:val="20"/>
              </w:rPr>
              <w:t>Clause 27c.</w:t>
            </w:r>
            <w:r>
              <w:rPr>
                <w:sz w:val="20"/>
                <w:szCs w:val="20"/>
              </w:rPr>
              <w:t xml:space="preserve"> The extent to which all other proposed changes sought by GC81 allows for the </w:t>
            </w:r>
            <w:r w:rsidRPr="005E1275">
              <w:rPr>
                <w:i/>
                <w:sz w:val="20"/>
                <w:szCs w:val="20"/>
              </w:rPr>
              <w:t>Fishermans Bend Vision</w:t>
            </w:r>
            <w:r w:rsidR="00574C4B">
              <w:rPr>
                <w:i/>
                <w:sz w:val="20"/>
                <w:szCs w:val="20"/>
              </w:rPr>
              <w:t>,</w:t>
            </w:r>
            <w:r w:rsidRPr="005E1275">
              <w:rPr>
                <w:i/>
                <w:sz w:val="20"/>
                <w:szCs w:val="20"/>
              </w:rPr>
              <w:t xml:space="preserve"> 2016 </w:t>
            </w:r>
            <w:r>
              <w:rPr>
                <w:sz w:val="20"/>
                <w:szCs w:val="20"/>
              </w:rPr>
              <w:t>to be achieved</w:t>
            </w:r>
          </w:p>
        </w:tc>
        <w:tc>
          <w:tcPr>
            <w:tcW w:w="3095" w:type="dxa"/>
            <w:tcBorders>
              <w:top w:val="dotted" w:sz="4" w:space="0" w:color="auto"/>
            </w:tcBorders>
            <w:shd w:val="clear" w:color="auto" w:fill="auto"/>
          </w:tcPr>
          <w:p w:rsidR="005E1275" w:rsidRPr="00D4049C" w:rsidRDefault="00574C4B" w:rsidP="00D24B54">
            <w:pPr>
              <w:pStyle w:val="PPVTableText"/>
              <w:rPr>
                <w:szCs w:val="20"/>
              </w:rPr>
            </w:pPr>
            <w:r>
              <w:rPr>
                <w:szCs w:val="20"/>
              </w:rPr>
              <w:t xml:space="preserve">In the main, the proposed planning provisions generally allow for the Fishermans Bend Vision to be realised, subject to a broadening of the scope of targeted population </w:t>
            </w:r>
            <w:r w:rsidR="002265D3">
              <w:rPr>
                <w:szCs w:val="20"/>
              </w:rPr>
              <w:t>to 2050</w:t>
            </w:r>
          </w:p>
        </w:tc>
        <w:tc>
          <w:tcPr>
            <w:tcW w:w="3096" w:type="dxa"/>
            <w:tcBorders>
              <w:top w:val="dotted" w:sz="4" w:space="0" w:color="auto"/>
            </w:tcBorders>
            <w:shd w:val="clear" w:color="auto" w:fill="auto"/>
          </w:tcPr>
          <w:p w:rsidR="005E1275" w:rsidRPr="00D4049C" w:rsidRDefault="00574C4B" w:rsidP="00D24B54">
            <w:pPr>
              <w:pStyle w:val="PPVTableText"/>
              <w:rPr>
                <w:szCs w:val="20"/>
              </w:rPr>
            </w:pPr>
            <w:r>
              <w:rPr>
                <w:szCs w:val="20"/>
              </w:rPr>
              <w:t>Chapters 6, 7, 16 and 17</w:t>
            </w:r>
            <w:r w:rsidR="002265D3">
              <w:rPr>
                <w:szCs w:val="20"/>
              </w:rPr>
              <w:t>, and Volume 2 of Report No 1</w:t>
            </w:r>
          </w:p>
        </w:tc>
      </w:tr>
      <w:tr w:rsidR="005E1275" w:rsidTr="000832BB">
        <w:trPr>
          <w:cantSplit/>
        </w:trPr>
        <w:tc>
          <w:tcPr>
            <w:tcW w:w="3095" w:type="dxa"/>
            <w:tcBorders>
              <w:top w:val="dotted" w:sz="4" w:space="0" w:color="auto"/>
            </w:tcBorders>
            <w:shd w:val="clear" w:color="auto" w:fill="auto"/>
          </w:tcPr>
          <w:p w:rsidR="005E1275" w:rsidRDefault="005E1275" w:rsidP="00D24B54">
            <w:pPr>
              <w:pStyle w:val="PPVBody"/>
              <w:jc w:val="left"/>
              <w:rPr>
                <w:sz w:val="20"/>
                <w:szCs w:val="20"/>
              </w:rPr>
            </w:pPr>
            <w:r w:rsidRPr="00574C4B">
              <w:rPr>
                <w:i/>
                <w:sz w:val="20"/>
                <w:szCs w:val="20"/>
              </w:rPr>
              <w:t>Clause 27d.</w:t>
            </w:r>
            <w:r w:rsidR="000F348F">
              <w:rPr>
                <w:sz w:val="20"/>
                <w:szCs w:val="20"/>
              </w:rPr>
              <w:t xml:space="preserve"> </w:t>
            </w:r>
            <w:r w:rsidR="00574C4B">
              <w:rPr>
                <w:sz w:val="20"/>
                <w:szCs w:val="20"/>
              </w:rPr>
              <w:t>All relevant submissions made in regard to the proposed changes to the Port Phillip and Melbourne Planning Schemes</w:t>
            </w:r>
          </w:p>
        </w:tc>
        <w:tc>
          <w:tcPr>
            <w:tcW w:w="3095" w:type="dxa"/>
            <w:tcBorders>
              <w:top w:val="dotted" w:sz="4" w:space="0" w:color="auto"/>
            </w:tcBorders>
            <w:shd w:val="clear" w:color="auto" w:fill="auto"/>
          </w:tcPr>
          <w:p w:rsidR="005E1275" w:rsidRPr="00D4049C" w:rsidRDefault="001601F7" w:rsidP="00D24B54">
            <w:pPr>
              <w:pStyle w:val="PPVTableText"/>
              <w:rPr>
                <w:szCs w:val="20"/>
              </w:rPr>
            </w:pPr>
            <w:r>
              <w:rPr>
                <w:szCs w:val="20"/>
              </w:rPr>
              <w:t>All submissions were considered by the Review Panel and taken into account in formulating its advice and recommendations</w:t>
            </w:r>
          </w:p>
        </w:tc>
        <w:tc>
          <w:tcPr>
            <w:tcW w:w="3096" w:type="dxa"/>
            <w:tcBorders>
              <w:top w:val="dotted" w:sz="4" w:space="0" w:color="auto"/>
            </w:tcBorders>
            <w:shd w:val="clear" w:color="auto" w:fill="auto"/>
          </w:tcPr>
          <w:p w:rsidR="005E1275" w:rsidRPr="00D4049C" w:rsidRDefault="00574C4B" w:rsidP="00D24B54">
            <w:pPr>
              <w:pStyle w:val="PPVTableText"/>
              <w:rPr>
                <w:szCs w:val="20"/>
              </w:rPr>
            </w:pPr>
            <w:r>
              <w:rPr>
                <w:szCs w:val="20"/>
              </w:rPr>
              <w:t>All reports</w:t>
            </w:r>
          </w:p>
        </w:tc>
      </w:tr>
      <w:tr w:rsidR="005E1275" w:rsidTr="000832BB">
        <w:trPr>
          <w:cantSplit/>
        </w:trPr>
        <w:tc>
          <w:tcPr>
            <w:tcW w:w="3095" w:type="dxa"/>
            <w:tcBorders>
              <w:top w:val="dotted" w:sz="4" w:space="0" w:color="auto"/>
            </w:tcBorders>
            <w:shd w:val="clear" w:color="auto" w:fill="auto"/>
          </w:tcPr>
          <w:p w:rsidR="005E1275" w:rsidRDefault="005E1275" w:rsidP="00D24B54">
            <w:pPr>
              <w:pStyle w:val="PPVBody"/>
              <w:jc w:val="left"/>
              <w:rPr>
                <w:sz w:val="20"/>
                <w:szCs w:val="20"/>
              </w:rPr>
            </w:pPr>
            <w:r w:rsidRPr="00574C4B">
              <w:rPr>
                <w:i/>
                <w:sz w:val="20"/>
                <w:szCs w:val="20"/>
              </w:rPr>
              <w:t>Clause 27e.</w:t>
            </w:r>
            <w:r w:rsidR="000F348F">
              <w:rPr>
                <w:sz w:val="20"/>
                <w:szCs w:val="20"/>
              </w:rPr>
              <w:t xml:space="preserve"> </w:t>
            </w:r>
            <w:r w:rsidR="00574C4B">
              <w:rPr>
                <w:sz w:val="20"/>
                <w:szCs w:val="20"/>
              </w:rPr>
              <w:t xml:space="preserve">An assessment of whether the proposed planning provisions make proper use of the Victoria Planning Provisions and are prepared and presented in accordance with the </w:t>
            </w:r>
            <w:r w:rsidR="00574C4B" w:rsidRPr="00574C4B">
              <w:rPr>
                <w:i/>
                <w:sz w:val="20"/>
                <w:szCs w:val="20"/>
              </w:rPr>
              <w:t>Ministerial Direction on The Form and Content of Planning Schemes</w:t>
            </w:r>
          </w:p>
        </w:tc>
        <w:tc>
          <w:tcPr>
            <w:tcW w:w="3095" w:type="dxa"/>
            <w:tcBorders>
              <w:top w:val="dotted" w:sz="4" w:space="0" w:color="auto"/>
            </w:tcBorders>
            <w:shd w:val="clear" w:color="auto" w:fill="auto"/>
          </w:tcPr>
          <w:p w:rsidR="005E1275" w:rsidRPr="00D4049C" w:rsidRDefault="00574C4B" w:rsidP="00D24B54">
            <w:pPr>
              <w:pStyle w:val="PPVTableText"/>
              <w:rPr>
                <w:szCs w:val="20"/>
              </w:rPr>
            </w:pPr>
            <w:r>
              <w:rPr>
                <w:szCs w:val="20"/>
              </w:rPr>
              <w:t xml:space="preserve">The Review Panel has made significant changes to the Part C version of the planning controls to ensure that they make proper use of the VPP and are in accordance with the </w:t>
            </w:r>
            <w:r w:rsidRPr="00574C4B">
              <w:rPr>
                <w:i/>
                <w:szCs w:val="20"/>
              </w:rPr>
              <w:t>Ministerial Direction on The Form and Content of Planning Schemes</w:t>
            </w:r>
          </w:p>
        </w:tc>
        <w:tc>
          <w:tcPr>
            <w:tcW w:w="3096" w:type="dxa"/>
            <w:tcBorders>
              <w:top w:val="dotted" w:sz="4" w:space="0" w:color="auto"/>
            </w:tcBorders>
            <w:shd w:val="clear" w:color="auto" w:fill="auto"/>
          </w:tcPr>
          <w:p w:rsidR="005E1275" w:rsidRPr="00D4049C" w:rsidRDefault="00574C4B" w:rsidP="00D24B54">
            <w:pPr>
              <w:pStyle w:val="PPVTableText"/>
              <w:rPr>
                <w:szCs w:val="20"/>
              </w:rPr>
            </w:pPr>
            <w:r>
              <w:rPr>
                <w:szCs w:val="20"/>
              </w:rPr>
              <w:t xml:space="preserve">Chapters 16 and 17 </w:t>
            </w:r>
            <w:r w:rsidR="00F21A44">
              <w:rPr>
                <w:szCs w:val="20"/>
              </w:rPr>
              <w:t xml:space="preserve">and Volume 2 of </w:t>
            </w:r>
            <w:r>
              <w:rPr>
                <w:szCs w:val="20"/>
              </w:rPr>
              <w:t xml:space="preserve">Report </w:t>
            </w:r>
            <w:r w:rsidR="00F21A44">
              <w:rPr>
                <w:szCs w:val="20"/>
              </w:rPr>
              <w:t>No 1</w:t>
            </w:r>
          </w:p>
        </w:tc>
      </w:tr>
      <w:tr w:rsidR="005E1275" w:rsidTr="000832BB">
        <w:trPr>
          <w:cantSplit/>
        </w:trPr>
        <w:tc>
          <w:tcPr>
            <w:tcW w:w="3095" w:type="dxa"/>
            <w:tcBorders>
              <w:top w:val="dotted" w:sz="4" w:space="0" w:color="auto"/>
            </w:tcBorders>
            <w:shd w:val="clear" w:color="auto" w:fill="auto"/>
          </w:tcPr>
          <w:p w:rsidR="005E1275" w:rsidRPr="005E1275" w:rsidRDefault="005E1275" w:rsidP="00D24B54">
            <w:pPr>
              <w:pStyle w:val="PPVBody"/>
              <w:jc w:val="left"/>
              <w:rPr>
                <w:b/>
                <w:sz w:val="20"/>
                <w:szCs w:val="20"/>
              </w:rPr>
            </w:pPr>
            <w:r>
              <w:rPr>
                <w:b/>
                <w:sz w:val="20"/>
                <w:szCs w:val="20"/>
              </w:rPr>
              <w:t>OUTCOMES</w:t>
            </w:r>
          </w:p>
        </w:tc>
        <w:tc>
          <w:tcPr>
            <w:tcW w:w="3095" w:type="dxa"/>
            <w:tcBorders>
              <w:top w:val="dotted" w:sz="4" w:space="0" w:color="auto"/>
            </w:tcBorders>
            <w:shd w:val="clear" w:color="auto" w:fill="auto"/>
          </w:tcPr>
          <w:p w:rsidR="005E1275" w:rsidRPr="00D4049C" w:rsidRDefault="005E1275" w:rsidP="00D24B54">
            <w:pPr>
              <w:pStyle w:val="PPVTableText"/>
              <w:rPr>
                <w:szCs w:val="20"/>
              </w:rPr>
            </w:pPr>
          </w:p>
        </w:tc>
        <w:tc>
          <w:tcPr>
            <w:tcW w:w="3096" w:type="dxa"/>
            <w:tcBorders>
              <w:top w:val="dotted" w:sz="4" w:space="0" w:color="auto"/>
            </w:tcBorders>
            <w:shd w:val="clear" w:color="auto" w:fill="auto"/>
          </w:tcPr>
          <w:p w:rsidR="005E1275" w:rsidRPr="00D4049C" w:rsidRDefault="005E1275" w:rsidP="00D24B54">
            <w:pPr>
              <w:pStyle w:val="PPVTableText"/>
              <w:rPr>
                <w:szCs w:val="20"/>
              </w:rPr>
            </w:pPr>
          </w:p>
        </w:tc>
      </w:tr>
      <w:tr w:rsidR="005E1275" w:rsidTr="000832BB">
        <w:trPr>
          <w:cantSplit/>
        </w:trPr>
        <w:tc>
          <w:tcPr>
            <w:tcW w:w="3095" w:type="dxa"/>
            <w:tcBorders>
              <w:top w:val="dotted" w:sz="4" w:space="0" w:color="auto"/>
            </w:tcBorders>
            <w:shd w:val="clear" w:color="auto" w:fill="auto"/>
          </w:tcPr>
          <w:p w:rsidR="005E1275" w:rsidRDefault="005E1275" w:rsidP="00D24B54">
            <w:pPr>
              <w:pStyle w:val="PPVBody"/>
              <w:jc w:val="left"/>
              <w:rPr>
                <w:sz w:val="20"/>
                <w:szCs w:val="20"/>
              </w:rPr>
            </w:pPr>
            <w:r w:rsidRPr="005E1275">
              <w:rPr>
                <w:i/>
                <w:sz w:val="20"/>
                <w:szCs w:val="20"/>
              </w:rPr>
              <w:t>Clause 34</w:t>
            </w:r>
            <w:r w:rsidR="000F348F">
              <w:rPr>
                <w:sz w:val="20"/>
                <w:szCs w:val="20"/>
              </w:rPr>
              <w:t xml:space="preserve">. </w:t>
            </w:r>
            <w:r>
              <w:rPr>
                <w:sz w:val="20"/>
                <w:szCs w:val="20"/>
              </w:rPr>
              <w:t xml:space="preserve">The Review Panel must produce a written report for the Minister for Planning </w:t>
            </w:r>
          </w:p>
        </w:tc>
        <w:tc>
          <w:tcPr>
            <w:tcW w:w="3095" w:type="dxa"/>
            <w:tcBorders>
              <w:top w:val="dotted" w:sz="4" w:space="0" w:color="auto"/>
            </w:tcBorders>
            <w:shd w:val="clear" w:color="auto" w:fill="auto"/>
          </w:tcPr>
          <w:p w:rsidR="005E1275" w:rsidRPr="00D4049C" w:rsidRDefault="005E1275" w:rsidP="00D24B54">
            <w:pPr>
              <w:pStyle w:val="PPVTableText"/>
              <w:rPr>
                <w:szCs w:val="20"/>
              </w:rPr>
            </w:pPr>
            <w:r>
              <w:rPr>
                <w:szCs w:val="20"/>
              </w:rPr>
              <w:t>The matters dealt with by the Review Panel are complex and consequently, it has required detailed review and analysis</w:t>
            </w:r>
            <w:r w:rsidR="00F21A44">
              <w:rPr>
                <w:szCs w:val="20"/>
              </w:rPr>
              <w:t>,</w:t>
            </w:r>
            <w:r>
              <w:rPr>
                <w:szCs w:val="20"/>
              </w:rPr>
              <w:t xml:space="preserve"> </w:t>
            </w:r>
            <w:r w:rsidR="00F21A44">
              <w:rPr>
                <w:szCs w:val="20"/>
              </w:rPr>
              <w:t>resulting</w:t>
            </w:r>
            <w:r>
              <w:rPr>
                <w:szCs w:val="20"/>
              </w:rPr>
              <w:t xml:space="preserve"> in </w:t>
            </w:r>
            <w:r w:rsidR="00F21A44">
              <w:rPr>
                <w:szCs w:val="20"/>
              </w:rPr>
              <w:t>six</w:t>
            </w:r>
            <w:r>
              <w:rPr>
                <w:szCs w:val="20"/>
              </w:rPr>
              <w:t xml:space="preserve"> reports </w:t>
            </w:r>
          </w:p>
        </w:tc>
        <w:tc>
          <w:tcPr>
            <w:tcW w:w="3096" w:type="dxa"/>
            <w:tcBorders>
              <w:top w:val="dotted" w:sz="4" w:space="0" w:color="auto"/>
            </w:tcBorders>
            <w:shd w:val="clear" w:color="auto" w:fill="auto"/>
          </w:tcPr>
          <w:p w:rsidR="005E1275" w:rsidRDefault="005E1275" w:rsidP="00D24B54">
            <w:pPr>
              <w:pStyle w:val="PPVTableText"/>
              <w:rPr>
                <w:szCs w:val="20"/>
              </w:rPr>
            </w:pPr>
            <w:r>
              <w:rPr>
                <w:szCs w:val="20"/>
              </w:rPr>
              <w:t>The five reports are:</w:t>
            </w:r>
          </w:p>
          <w:p w:rsidR="00785416" w:rsidRDefault="005E1275" w:rsidP="00D24B54">
            <w:pPr>
              <w:pStyle w:val="PPVTableText"/>
              <w:rPr>
                <w:szCs w:val="20"/>
              </w:rPr>
            </w:pPr>
            <w:r>
              <w:rPr>
                <w:szCs w:val="20"/>
              </w:rPr>
              <w:t>Report No 1 – Volume 1: Overview</w:t>
            </w:r>
          </w:p>
          <w:p w:rsidR="005E1275" w:rsidRDefault="00A36DCB" w:rsidP="00D24B54">
            <w:pPr>
              <w:pStyle w:val="PPVTableText"/>
              <w:rPr>
                <w:szCs w:val="20"/>
              </w:rPr>
            </w:pPr>
            <w:r>
              <w:rPr>
                <w:szCs w:val="20"/>
              </w:rPr>
              <w:t>Report No 1 – Volume 2: A</w:t>
            </w:r>
            <w:r w:rsidR="005E1275">
              <w:rPr>
                <w:szCs w:val="20"/>
              </w:rPr>
              <w:t>mended planning controls</w:t>
            </w:r>
          </w:p>
          <w:p w:rsidR="005E1275" w:rsidRDefault="005E1275" w:rsidP="00D24B54">
            <w:pPr>
              <w:pStyle w:val="PPVTableText"/>
              <w:rPr>
                <w:szCs w:val="20"/>
              </w:rPr>
            </w:pPr>
            <w:r>
              <w:rPr>
                <w:szCs w:val="20"/>
              </w:rPr>
              <w:t>Report No 2 – Lorimer</w:t>
            </w:r>
          </w:p>
          <w:p w:rsidR="00785416" w:rsidRDefault="005E1275" w:rsidP="00D24B54">
            <w:pPr>
              <w:pStyle w:val="PPVTableText"/>
              <w:rPr>
                <w:szCs w:val="20"/>
              </w:rPr>
            </w:pPr>
            <w:r>
              <w:rPr>
                <w:szCs w:val="20"/>
              </w:rPr>
              <w:t>Report No 3 – Montague</w:t>
            </w:r>
          </w:p>
          <w:p w:rsidR="005E1275" w:rsidRDefault="005E1275" w:rsidP="00D24B54">
            <w:pPr>
              <w:pStyle w:val="PPVTableText"/>
              <w:rPr>
                <w:szCs w:val="20"/>
              </w:rPr>
            </w:pPr>
            <w:r>
              <w:rPr>
                <w:szCs w:val="20"/>
              </w:rPr>
              <w:t>Report No 4 – Sandridge</w:t>
            </w:r>
          </w:p>
          <w:p w:rsidR="005E1275" w:rsidRPr="00D4049C" w:rsidRDefault="005E1275" w:rsidP="00D24B54">
            <w:pPr>
              <w:pStyle w:val="PPVTableText"/>
              <w:rPr>
                <w:szCs w:val="20"/>
              </w:rPr>
            </w:pPr>
            <w:r>
              <w:rPr>
                <w:szCs w:val="20"/>
              </w:rPr>
              <w:t xml:space="preserve">Report No 5 </w:t>
            </w:r>
            <w:r w:rsidR="00A90D8B">
              <w:rPr>
                <w:szCs w:val="20"/>
              </w:rPr>
              <w:t>–</w:t>
            </w:r>
            <w:r>
              <w:rPr>
                <w:szCs w:val="20"/>
              </w:rPr>
              <w:t xml:space="preserve"> Wirraway</w:t>
            </w:r>
          </w:p>
        </w:tc>
      </w:tr>
      <w:tr w:rsidR="005E1275" w:rsidTr="000832BB">
        <w:trPr>
          <w:cantSplit/>
        </w:trPr>
        <w:tc>
          <w:tcPr>
            <w:tcW w:w="3095" w:type="dxa"/>
            <w:tcBorders>
              <w:top w:val="dotted" w:sz="4" w:space="0" w:color="auto"/>
            </w:tcBorders>
            <w:shd w:val="clear" w:color="auto" w:fill="auto"/>
          </w:tcPr>
          <w:p w:rsidR="005E1275" w:rsidRPr="00D4049C" w:rsidRDefault="005E1275" w:rsidP="005E1275">
            <w:pPr>
              <w:pStyle w:val="PPVBody"/>
              <w:jc w:val="left"/>
              <w:rPr>
                <w:sz w:val="20"/>
                <w:szCs w:val="20"/>
              </w:rPr>
            </w:pPr>
            <w:r w:rsidRPr="005E1275">
              <w:rPr>
                <w:i/>
                <w:sz w:val="20"/>
                <w:szCs w:val="20"/>
              </w:rPr>
              <w:lastRenderedPageBreak/>
              <w:t>Clause 35a</w:t>
            </w:r>
            <w:r w:rsidR="000F348F">
              <w:rPr>
                <w:sz w:val="20"/>
                <w:szCs w:val="20"/>
              </w:rPr>
              <w:t>.</w:t>
            </w:r>
            <w:r>
              <w:rPr>
                <w:sz w:val="20"/>
                <w:szCs w:val="20"/>
              </w:rPr>
              <w:t xml:space="preserve"> </w:t>
            </w:r>
            <w:r w:rsidRPr="00D4049C">
              <w:rPr>
                <w:sz w:val="20"/>
                <w:szCs w:val="20"/>
              </w:rPr>
              <w:t>A summary of the Review Panel’s reasons for recommending (or otherwise) amendments to the pro</w:t>
            </w:r>
            <w:r w:rsidR="002265D3">
              <w:rPr>
                <w:sz w:val="20"/>
                <w:szCs w:val="20"/>
              </w:rPr>
              <w:t>posed planning scheme amendment</w:t>
            </w:r>
          </w:p>
        </w:tc>
        <w:tc>
          <w:tcPr>
            <w:tcW w:w="3095" w:type="dxa"/>
            <w:tcBorders>
              <w:top w:val="dotted" w:sz="4" w:space="0" w:color="auto"/>
            </w:tcBorders>
            <w:shd w:val="clear" w:color="auto" w:fill="auto"/>
          </w:tcPr>
          <w:p w:rsidR="005E1275" w:rsidRPr="00D4049C" w:rsidRDefault="00F21A44" w:rsidP="005E1275">
            <w:pPr>
              <w:pStyle w:val="PPVTableText"/>
              <w:rPr>
                <w:szCs w:val="20"/>
              </w:rPr>
            </w:pPr>
            <w:r w:rsidRPr="00D4049C">
              <w:rPr>
                <w:szCs w:val="20"/>
              </w:rPr>
              <w:t xml:space="preserve">While the Review Panel has raised significant concerns about the exhibited </w:t>
            </w:r>
            <w:r>
              <w:rPr>
                <w:szCs w:val="20"/>
              </w:rPr>
              <w:t xml:space="preserve">and revised versions of the </w:t>
            </w:r>
            <w:r w:rsidRPr="00D4049C">
              <w:rPr>
                <w:szCs w:val="20"/>
              </w:rPr>
              <w:t>draft Amendment, it conside</w:t>
            </w:r>
            <w:r>
              <w:rPr>
                <w:szCs w:val="20"/>
              </w:rPr>
              <w:t xml:space="preserve">rs there is enough </w:t>
            </w:r>
            <w:r w:rsidRPr="00D4049C">
              <w:rPr>
                <w:szCs w:val="20"/>
              </w:rPr>
              <w:t>for it to be progressed</w:t>
            </w:r>
            <w:r>
              <w:rPr>
                <w:szCs w:val="20"/>
              </w:rPr>
              <w:t>, subject to the Review Panel’s recommended drafting changes</w:t>
            </w:r>
            <w:r w:rsidR="00A6168A">
              <w:rPr>
                <w:szCs w:val="20"/>
              </w:rPr>
              <w:t>.</w:t>
            </w:r>
          </w:p>
        </w:tc>
        <w:tc>
          <w:tcPr>
            <w:tcW w:w="3096" w:type="dxa"/>
            <w:tcBorders>
              <w:top w:val="dotted" w:sz="4" w:space="0" w:color="auto"/>
            </w:tcBorders>
            <w:shd w:val="clear" w:color="auto" w:fill="auto"/>
          </w:tcPr>
          <w:p w:rsidR="005E1275" w:rsidRPr="00D4049C" w:rsidRDefault="000B2FBD" w:rsidP="005E1275">
            <w:pPr>
              <w:pStyle w:val="PPVTableText"/>
              <w:rPr>
                <w:szCs w:val="20"/>
              </w:rPr>
            </w:pPr>
            <w:r>
              <w:rPr>
                <w:szCs w:val="20"/>
              </w:rPr>
              <w:t>Report No 1, Volume 1, Executive summary, Chapters 16 and 17, and Volume 2</w:t>
            </w:r>
          </w:p>
        </w:tc>
      </w:tr>
      <w:tr w:rsidR="005E1275" w:rsidTr="000832BB">
        <w:trPr>
          <w:cantSplit/>
        </w:trPr>
        <w:tc>
          <w:tcPr>
            <w:tcW w:w="3095" w:type="dxa"/>
            <w:shd w:val="clear" w:color="auto" w:fill="auto"/>
          </w:tcPr>
          <w:p w:rsidR="005E1275" w:rsidRPr="00D4049C" w:rsidRDefault="005E1275" w:rsidP="005E1275">
            <w:pPr>
              <w:pStyle w:val="PPVBody"/>
              <w:jc w:val="left"/>
              <w:rPr>
                <w:sz w:val="20"/>
                <w:szCs w:val="20"/>
              </w:rPr>
            </w:pPr>
            <w:r w:rsidRPr="005E1275">
              <w:rPr>
                <w:i/>
                <w:sz w:val="20"/>
                <w:szCs w:val="20"/>
              </w:rPr>
              <w:t>Clause 35b.</w:t>
            </w:r>
            <w:r w:rsidR="000F348F">
              <w:rPr>
                <w:sz w:val="20"/>
                <w:szCs w:val="20"/>
              </w:rPr>
              <w:t xml:space="preserve"> </w:t>
            </w:r>
            <w:r w:rsidRPr="00D4049C">
              <w:rPr>
                <w:sz w:val="20"/>
                <w:szCs w:val="20"/>
              </w:rPr>
              <w:t>A track change version of the proposed planni</w:t>
            </w:r>
            <w:r w:rsidR="002265D3">
              <w:rPr>
                <w:sz w:val="20"/>
                <w:szCs w:val="20"/>
              </w:rPr>
              <w:t>ng scheme schedules and clauses</w:t>
            </w:r>
          </w:p>
        </w:tc>
        <w:tc>
          <w:tcPr>
            <w:tcW w:w="3095" w:type="dxa"/>
            <w:shd w:val="clear" w:color="auto" w:fill="auto"/>
          </w:tcPr>
          <w:p w:rsidR="005E1275" w:rsidRPr="00D4049C" w:rsidRDefault="005E1275" w:rsidP="005E1275">
            <w:pPr>
              <w:pStyle w:val="PPVTableText"/>
              <w:rPr>
                <w:szCs w:val="20"/>
              </w:rPr>
            </w:pPr>
            <w:r w:rsidRPr="00D4049C">
              <w:rPr>
                <w:szCs w:val="20"/>
              </w:rPr>
              <w:t>The track changes are ba</w:t>
            </w:r>
            <w:r w:rsidR="00F21A44">
              <w:rPr>
                <w:szCs w:val="20"/>
              </w:rPr>
              <w:t>sed on the Ministers Version C</w:t>
            </w:r>
          </w:p>
        </w:tc>
        <w:tc>
          <w:tcPr>
            <w:tcW w:w="3096" w:type="dxa"/>
            <w:shd w:val="clear" w:color="auto" w:fill="auto"/>
          </w:tcPr>
          <w:p w:rsidR="005E1275" w:rsidRPr="00D4049C" w:rsidRDefault="003058FF" w:rsidP="005E1275">
            <w:pPr>
              <w:pStyle w:val="PPVTableText"/>
              <w:rPr>
                <w:szCs w:val="20"/>
              </w:rPr>
            </w:pPr>
            <w:r>
              <w:rPr>
                <w:szCs w:val="20"/>
              </w:rPr>
              <w:t xml:space="preserve">Report No 1, </w:t>
            </w:r>
            <w:r w:rsidR="005E1275">
              <w:rPr>
                <w:szCs w:val="20"/>
              </w:rPr>
              <w:t>Volume 2</w:t>
            </w:r>
          </w:p>
        </w:tc>
      </w:tr>
      <w:tr w:rsidR="005E1275" w:rsidTr="000832BB">
        <w:trPr>
          <w:cantSplit/>
        </w:trPr>
        <w:tc>
          <w:tcPr>
            <w:tcW w:w="3095" w:type="dxa"/>
            <w:shd w:val="clear" w:color="auto" w:fill="auto"/>
          </w:tcPr>
          <w:p w:rsidR="005E1275" w:rsidRPr="00D4049C" w:rsidRDefault="005E1275" w:rsidP="005E1275">
            <w:pPr>
              <w:pStyle w:val="PPVBody"/>
              <w:jc w:val="left"/>
              <w:rPr>
                <w:sz w:val="20"/>
                <w:szCs w:val="20"/>
              </w:rPr>
            </w:pPr>
            <w:r w:rsidRPr="005E1275">
              <w:rPr>
                <w:i/>
                <w:sz w:val="20"/>
                <w:szCs w:val="20"/>
              </w:rPr>
              <w:t>Clause 35c.</w:t>
            </w:r>
            <w:r w:rsidR="000F348F">
              <w:rPr>
                <w:sz w:val="20"/>
                <w:szCs w:val="20"/>
              </w:rPr>
              <w:t xml:space="preserve"> </w:t>
            </w:r>
            <w:r w:rsidRPr="00D4049C">
              <w:rPr>
                <w:sz w:val="20"/>
                <w:szCs w:val="20"/>
              </w:rPr>
              <w:t>Any additional recommendations for amendments to the prop</w:t>
            </w:r>
            <w:r w:rsidR="002265D3">
              <w:rPr>
                <w:sz w:val="20"/>
                <w:szCs w:val="20"/>
              </w:rPr>
              <w:t>osed Capital City Zone Schedule</w:t>
            </w:r>
          </w:p>
        </w:tc>
        <w:tc>
          <w:tcPr>
            <w:tcW w:w="3095" w:type="dxa"/>
            <w:shd w:val="clear" w:color="auto" w:fill="auto"/>
          </w:tcPr>
          <w:p w:rsidR="005E1275" w:rsidRPr="00D4049C" w:rsidRDefault="005E1275" w:rsidP="005E1275">
            <w:pPr>
              <w:pStyle w:val="PPVTableText"/>
              <w:rPr>
                <w:szCs w:val="20"/>
              </w:rPr>
            </w:pPr>
            <w:r w:rsidRPr="00D4049C">
              <w:rPr>
                <w:szCs w:val="20"/>
              </w:rPr>
              <w:t>The track changes are ba</w:t>
            </w:r>
            <w:r w:rsidR="00F21A44">
              <w:rPr>
                <w:szCs w:val="20"/>
              </w:rPr>
              <w:t>sed on the Ministers Version C</w:t>
            </w:r>
          </w:p>
        </w:tc>
        <w:tc>
          <w:tcPr>
            <w:tcW w:w="3096" w:type="dxa"/>
            <w:shd w:val="clear" w:color="auto" w:fill="auto"/>
          </w:tcPr>
          <w:p w:rsidR="005E1275" w:rsidRPr="00D4049C" w:rsidRDefault="003058FF" w:rsidP="005E1275">
            <w:pPr>
              <w:pStyle w:val="PPVTableText"/>
              <w:rPr>
                <w:szCs w:val="20"/>
              </w:rPr>
            </w:pPr>
            <w:r>
              <w:rPr>
                <w:szCs w:val="20"/>
              </w:rPr>
              <w:t>Report No 1, Volume 2</w:t>
            </w:r>
          </w:p>
        </w:tc>
      </w:tr>
      <w:tr w:rsidR="005E1275" w:rsidTr="000832BB">
        <w:trPr>
          <w:cantSplit/>
        </w:trPr>
        <w:tc>
          <w:tcPr>
            <w:tcW w:w="3095" w:type="dxa"/>
            <w:shd w:val="clear" w:color="auto" w:fill="auto"/>
          </w:tcPr>
          <w:p w:rsidR="005E1275" w:rsidRPr="00D4049C" w:rsidRDefault="005E1275" w:rsidP="005E1275">
            <w:pPr>
              <w:pStyle w:val="PPVBody"/>
              <w:jc w:val="left"/>
              <w:rPr>
                <w:sz w:val="20"/>
                <w:szCs w:val="20"/>
              </w:rPr>
            </w:pPr>
            <w:r w:rsidRPr="005E1275">
              <w:rPr>
                <w:i/>
                <w:sz w:val="20"/>
                <w:szCs w:val="20"/>
              </w:rPr>
              <w:t>Clause 35d</w:t>
            </w:r>
            <w:r w:rsidR="000F348F">
              <w:rPr>
                <w:sz w:val="20"/>
                <w:szCs w:val="20"/>
              </w:rPr>
              <w:t xml:space="preserve">. </w:t>
            </w:r>
            <w:r w:rsidRPr="00D4049C">
              <w:rPr>
                <w:sz w:val="20"/>
                <w:szCs w:val="20"/>
              </w:rPr>
              <w:t>Any additional recommendations for amendment to all other proposed planning scheme changes sought b</w:t>
            </w:r>
            <w:r w:rsidR="002265D3">
              <w:rPr>
                <w:sz w:val="20"/>
                <w:szCs w:val="20"/>
              </w:rPr>
              <w:t>y the planning scheme amendment</w:t>
            </w:r>
          </w:p>
        </w:tc>
        <w:tc>
          <w:tcPr>
            <w:tcW w:w="3095" w:type="dxa"/>
            <w:shd w:val="clear" w:color="auto" w:fill="auto"/>
          </w:tcPr>
          <w:p w:rsidR="005E1275" w:rsidRPr="00D4049C" w:rsidRDefault="00F21A44" w:rsidP="005E1275">
            <w:pPr>
              <w:pStyle w:val="PPVTableText"/>
              <w:rPr>
                <w:szCs w:val="20"/>
              </w:rPr>
            </w:pPr>
            <w:r w:rsidRPr="00D4049C">
              <w:rPr>
                <w:szCs w:val="20"/>
              </w:rPr>
              <w:t xml:space="preserve">The </w:t>
            </w:r>
            <w:r>
              <w:rPr>
                <w:szCs w:val="20"/>
              </w:rPr>
              <w:t xml:space="preserve">Review Panel has recommended several modifications to the draft Amendment, which are included in the </w:t>
            </w:r>
            <w:r w:rsidRPr="00D4049C">
              <w:rPr>
                <w:szCs w:val="20"/>
              </w:rPr>
              <w:t>track change</w:t>
            </w:r>
            <w:r>
              <w:rPr>
                <w:szCs w:val="20"/>
              </w:rPr>
              <w:t xml:space="preserve"> version</w:t>
            </w:r>
            <w:r w:rsidRPr="00D4049C">
              <w:rPr>
                <w:szCs w:val="20"/>
              </w:rPr>
              <w:t>s</w:t>
            </w:r>
          </w:p>
        </w:tc>
        <w:tc>
          <w:tcPr>
            <w:tcW w:w="3096" w:type="dxa"/>
            <w:shd w:val="clear" w:color="auto" w:fill="auto"/>
          </w:tcPr>
          <w:p w:rsidR="005E1275" w:rsidRPr="00D4049C" w:rsidRDefault="003058FF" w:rsidP="005E1275">
            <w:pPr>
              <w:pStyle w:val="PPVTableText"/>
              <w:rPr>
                <w:szCs w:val="20"/>
              </w:rPr>
            </w:pPr>
            <w:r>
              <w:rPr>
                <w:szCs w:val="20"/>
              </w:rPr>
              <w:t>Report No 1, Volume 2</w:t>
            </w:r>
          </w:p>
        </w:tc>
      </w:tr>
      <w:tr w:rsidR="005E1275" w:rsidTr="000832BB">
        <w:trPr>
          <w:cantSplit/>
        </w:trPr>
        <w:tc>
          <w:tcPr>
            <w:tcW w:w="3095" w:type="dxa"/>
            <w:shd w:val="clear" w:color="auto" w:fill="auto"/>
          </w:tcPr>
          <w:p w:rsidR="005E1275" w:rsidRPr="00D4049C" w:rsidRDefault="005E1275" w:rsidP="005E1275">
            <w:pPr>
              <w:pStyle w:val="PPVBody"/>
              <w:jc w:val="left"/>
              <w:rPr>
                <w:sz w:val="20"/>
                <w:szCs w:val="20"/>
              </w:rPr>
            </w:pPr>
            <w:r w:rsidRPr="005E1275">
              <w:rPr>
                <w:i/>
                <w:sz w:val="20"/>
                <w:szCs w:val="20"/>
              </w:rPr>
              <w:t>Clause 35e</w:t>
            </w:r>
            <w:r w:rsidR="000F348F">
              <w:rPr>
                <w:sz w:val="20"/>
                <w:szCs w:val="20"/>
              </w:rPr>
              <w:t xml:space="preserve">. </w:t>
            </w:r>
            <w:r w:rsidRPr="00D4049C">
              <w:rPr>
                <w:sz w:val="20"/>
                <w:szCs w:val="20"/>
              </w:rPr>
              <w:t>Any changes required to the draft Fishermans Bend Framework as a result of recommendations made t</w:t>
            </w:r>
            <w:r w:rsidR="002265D3">
              <w:rPr>
                <w:sz w:val="20"/>
                <w:szCs w:val="20"/>
              </w:rPr>
              <w:t>o the planning scheme amendment</w:t>
            </w:r>
          </w:p>
        </w:tc>
        <w:tc>
          <w:tcPr>
            <w:tcW w:w="3095" w:type="dxa"/>
            <w:shd w:val="clear" w:color="auto" w:fill="auto"/>
          </w:tcPr>
          <w:p w:rsidR="005E1275" w:rsidRPr="00D4049C" w:rsidRDefault="005E1275" w:rsidP="005E1275">
            <w:pPr>
              <w:pStyle w:val="PPVTableText"/>
              <w:rPr>
                <w:szCs w:val="20"/>
              </w:rPr>
            </w:pPr>
            <w:r w:rsidRPr="00D4049C">
              <w:rPr>
                <w:szCs w:val="20"/>
              </w:rPr>
              <w:t xml:space="preserve">The Review Panel considered whether to make changes to the </w:t>
            </w:r>
            <w:r>
              <w:rPr>
                <w:szCs w:val="20"/>
              </w:rPr>
              <w:t>d</w:t>
            </w:r>
            <w:r w:rsidRPr="00D4049C">
              <w:rPr>
                <w:szCs w:val="20"/>
              </w:rPr>
              <w:t xml:space="preserve">raft Framework and resolved that any changes should be made once the </w:t>
            </w:r>
            <w:r w:rsidR="00FC563B">
              <w:rPr>
                <w:szCs w:val="20"/>
              </w:rPr>
              <w:t>Precinct Plans</w:t>
            </w:r>
            <w:r w:rsidRPr="00D4049C">
              <w:rPr>
                <w:szCs w:val="20"/>
              </w:rPr>
              <w:t xml:space="preserve"> are prepared and in place.  However, the findings and recommendations of the Review Panel in relation to its impact on the draft Framework Plan should be taken into ac</w:t>
            </w:r>
            <w:r w:rsidR="002265D3">
              <w:rPr>
                <w:szCs w:val="20"/>
              </w:rPr>
              <w:t>count as this matter progresses</w:t>
            </w:r>
          </w:p>
        </w:tc>
        <w:tc>
          <w:tcPr>
            <w:tcW w:w="3096" w:type="dxa"/>
            <w:shd w:val="clear" w:color="auto" w:fill="auto"/>
          </w:tcPr>
          <w:p w:rsidR="005E1275" w:rsidRPr="00D4049C" w:rsidRDefault="003058FF" w:rsidP="005E1275">
            <w:pPr>
              <w:pStyle w:val="PPVTableText"/>
              <w:rPr>
                <w:szCs w:val="20"/>
              </w:rPr>
            </w:pPr>
            <w:r>
              <w:rPr>
                <w:szCs w:val="20"/>
              </w:rPr>
              <w:t xml:space="preserve">As the draft Framework is a Reference Document to the Melbourne and Port Phillip Planning Scheme, the Review Panel has not made specific changes.  It considers that such changes can be made once the final decision is made on the draft Amendment and following the completion of the </w:t>
            </w:r>
            <w:r w:rsidR="00FC563B">
              <w:rPr>
                <w:szCs w:val="20"/>
              </w:rPr>
              <w:t>Precinct Plans</w:t>
            </w:r>
          </w:p>
        </w:tc>
      </w:tr>
      <w:tr w:rsidR="005E1275" w:rsidTr="000832BB">
        <w:trPr>
          <w:cantSplit/>
        </w:trPr>
        <w:tc>
          <w:tcPr>
            <w:tcW w:w="3095" w:type="dxa"/>
            <w:shd w:val="clear" w:color="auto" w:fill="auto"/>
          </w:tcPr>
          <w:p w:rsidR="005E1275" w:rsidRPr="00D4049C" w:rsidRDefault="005E1275" w:rsidP="005E1275">
            <w:pPr>
              <w:pStyle w:val="PPVBody"/>
              <w:jc w:val="left"/>
              <w:rPr>
                <w:sz w:val="20"/>
                <w:szCs w:val="20"/>
              </w:rPr>
            </w:pPr>
            <w:r w:rsidRPr="005E1275">
              <w:rPr>
                <w:i/>
                <w:sz w:val="20"/>
                <w:szCs w:val="20"/>
              </w:rPr>
              <w:t>Clause 35f.</w:t>
            </w:r>
            <w:r w:rsidR="000F348F">
              <w:rPr>
                <w:sz w:val="20"/>
                <w:szCs w:val="20"/>
              </w:rPr>
              <w:t xml:space="preserve"> </w:t>
            </w:r>
            <w:r w:rsidRPr="00D4049C">
              <w:rPr>
                <w:sz w:val="20"/>
                <w:szCs w:val="20"/>
              </w:rPr>
              <w:t>A summary of all submitters heard that presented on matters outside the co</w:t>
            </w:r>
            <w:r w:rsidR="002265D3">
              <w:rPr>
                <w:sz w:val="20"/>
                <w:szCs w:val="20"/>
              </w:rPr>
              <w:t>nsideration of the Review Panel</w:t>
            </w:r>
          </w:p>
        </w:tc>
        <w:tc>
          <w:tcPr>
            <w:tcW w:w="3095" w:type="dxa"/>
            <w:shd w:val="clear" w:color="auto" w:fill="auto"/>
          </w:tcPr>
          <w:p w:rsidR="005E1275" w:rsidRPr="00D4049C" w:rsidRDefault="005E1275" w:rsidP="005E1275">
            <w:pPr>
              <w:pStyle w:val="PPVTableText"/>
              <w:rPr>
                <w:szCs w:val="20"/>
              </w:rPr>
            </w:pPr>
            <w:r w:rsidRPr="00D4049C">
              <w:rPr>
                <w:szCs w:val="20"/>
              </w:rPr>
              <w:t xml:space="preserve">A number of issues were raised that </w:t>
            </w:r>
            <w:r w:rsidR="000B2FBD">
              <w:rPr>
                <w:szCs w:val="20"/>
              </w:rPr>
              <w:t xml:space="preserve">could be considered to be </w:t>
            </w:r>
            <w:r w:rsidRPr="00D4049C">
              <w:rPr>
                <w:szCs w:val="20"/>
              </w:rPr>
              <w:t xml:space="preserve">outside the specific remit </w:t>
            </w:r>
            <w:r w:rsidR="000B2FBD">
              <w:rPr>
                <w:szCs w:val="20"/>
              </w:rPr>
              <w:t>of</w:t>
            </w:r>
            <w:r w:rsidRPr="00D4049C">
              <w:rPr>
                <w:szCs w:val="20"/>
              </w:rPr>
              <w:t xml:space="preserve"> the Terms of Reference, these principally related to Governance</w:t>
            </w:r>
          </w:p>
        </w:tc>
        <w:tc>
          <w:tcPr>
            <w:tcW w:w="3096" w:type="dxa"/>
            <w:shd w:val="clear" w:color="auto" w:fill="auto"/>
          </w:tcPr>
          <w:p w:rsidR="005E1275" w:rsidRPr="00D4049C" w:rsidRDefault="000B2FBD" w:rsidP="005E1275">
            <w:pPr>
              <w:pStyle w:val="PPVTableText"/>
              <w:rPr>
                <w:szCs w:val="20"/>
              </w:rPr>
            </w:pPr>
            <w:r>
              <w:rPr>
                <w:szCs w:val="20"/>
              </w:rPr>
              <w:t>Report No 1, Volume 1, Chapter</w:t>
            </w:r>
            <w:r w:rsidR="005E1275" w:rsidRPr="00D4049C">
              <w:rPr>
                <w:szCs w:val="20"/>
              </w:rPr>
              <w:t xml:space="preserve"> </w:t>
            </w:r>
            <w:r>
              <w:rPr>
                <w:szCs w:val="20"/>
              </w:rPr>
              <w:t xml:space="preserve">12 </w:t>
            </w:r>
          </w:p>
        </w:tc>
      </w:tr>
      <w:tr w:rsidR="005E1275" w:rsidTr="000832BB">
        <w:trPr>
          <w:cantSplit/>
        </w:trPr>
        <w:tc>
          <w:tcPr>
            <w:tcW w:w="3095" w:type="dxa"/>
            <w:shd w:val="clear" w:color="auto" w:fill="auto"/>
          </w:tcPr>
          <w:p w:rsidR="005E1275" w:rsidRPr="00D4049C" w:rsidRDefault="005E1275" w:rsidP="005E1275">
            <w:pPr>
              <w:pStyle w:val="PPVBody"/>
              <w:jc w:val="left"/>
              <w:rPr>
                <w:sz w:val="20"/>
                <w:szCs w:val="20"/>
              </w:rPr>
            </w:pPr>
            <w:r w:rsidRPr="005E1275">
              <w:rPr>
                <w:i/>
                <w:sz w:val="20"/>
                <w:szCs w:val="20"/>
              </w:rPr>
              <w:t>Clause 35g</w:t>
            </w:r>
            <w:r w:rsidR="000F348F">
              <w:rPr>
                <w:sz w:val="20"/>
                <w:szCs w:val="20"/>
              </w:rPr>
              <w:t xml:space="preserve">. </w:t>
            </w:r>
            <w:r w:rsidRPr="00D4049C">
              <w:rPr>
                <w:sz w:val="20"/>
                <w:szCs w:val="20"/>
              </w:rPr>
              <w:t>A list of persons who made submissions</w:t>
            </w:r>
            <w:r w:rsidR="002265D3">
              <w:rPr>
                <w:sz w:val="20"/>
                <w:szCs w:val="20"/>
              </w:rPr>
              <w:t xml:space="preserve"> considered by the Review Panel</w:t>
            </w:r>
          </w:p>
        </w:tc>
        <w:tc>
          <w:tcPr>
            <w:tcW w:w="3095" w:type="dxa"/>
            <w:shd w:val="clear" w:color="auto" w:fill="auto"/>
          </w:tcPr>
          <w:p w:rsidR="005E1275" w:rsidRPr="00D4049C" w:rsidRDefault="005E1275" w:rsidP="005E1275">
            <w:pPr>
              <w:pStyle w:val="PPVTableText"/>
              <w:rPr>
                <w:szCs w:val="20"/>
              </w:rPr>
            </w:pPr>
            <w:r w:rsidRPr="00D4049C">
              <w:rPr>
                <w:szCs w:val="20"/>
              </w:rPr>
              <w:t xml:space="preserve">A total of </w:t>
            </w:r>
            <w:r w:rsidR="000B2FBD">
              <w:rPr>
                <w:szCs w:val="20"/>
              </w:rPr>
              <w:t>25</w:t>
            </w:r>
            <w:r w:rsidR="00A6168A">
              <w:rPr>
                <w:szCs w:val="20"/>
              </w:rPr>
              <w:t>5</w:t>
            </w:r>
            <w:r w:rsidRPr="00D4049C">
              <w:rPr>
                <w:szCs w:val="20"/>
              </w:rPr>
              <w:t xml:space="preserve"> written submissions were received and considered</w:t>
            </w:r>
            <w:r w:rsidR="000B2FBD">
              <w:rPr>
                <w:szCs w:val="20"/>
              </w:rPr>
              <w:t xml:space="preserve"> by the Review Panel</w:t>
            </w:r>
          </w:p>
        </w:tc>
        <w:tc>
          <w:tcPr>
            <w:tcW w:w="3096" w:type="dxa"/>
            <w:shd w:val="clear" w:color="auto" w:fill="auto"/>
          </w:tcPr>
          <w:p w:rsidR="005E1275" w:rsidRPr="00D4049C" w:rsidRDefault="005E1275" w:rsidP="005E1275">
            <w:pPr>
              <w:pStyle w:val="PPVTableText"/>
              <w:rPr>
                <w:szCs w:val="20"/>
              </w:rPr>
            </w:pPr>
            <w:r w:rsidRPr="00D4049C">
              <w:rPr>
                <w:szCs w:val="20"/>
              </w:rPr>
              <w:t xml:space="preserve">The list of submitters </w:t>
            </w:r>
            <w:r w:rsidR="003058FF">
              <w:rPr>
                <w:szCs w:val="20"/>
              </w:rPr>
              <w:t xml:space="preserve">and those who presented at the Hearing </w:t>
            </w:r>
            <w:r w:rsidRPr="00D4049C">
              <w:rPr>
                <w:szCs w:val="20"/>
              </w:rPr>
              <w:t xml:space="preserve">is provided in Appendix </w:t>
            </w:r>
            <w:r w:rsidR="003058FF">
              <w:rPr>
                <w:szCs w:val="20"/>
              </w:rPr>
              <w:t>B a</w:t>
            </w:r>
            <w:r w:rsidR="002265D3">
              <w:rPr>
                <w:szCs w:val="20"/>
              </w:rPr>
              <w:t>nd</w:t>
            </w:r>
            <w:r w:rsidR="00465059">
              <w:rPr>
                <w:szCs w:val="20"/>
              </w:rPr>
              <w:t xml:space="preserve"> </w:t>
            </w:r>
            <w:r w:rsidR="002265D3">
              <w:rPr>
                <w:szCs w:val="20"/>
              </w:rPr>
              <w:t>C of Report No 1, Volume 1</w:t>
            </w:r>
          </w:p>
        </w:tc>
      </w:tr>
      <w:tr w:rsidR="005E1275" w:rsidTr="000832BB">
        <w:trPr>
          <w:cantSplit/>
        </w:trPr>
        <w:tc>
          <w:tcPr>
            <w:tcW w:w="3095" w:type="dxa"/>
            <w:shd w:val="clear" w:color="auto" w:fill="auto"/>
          </w:tcPr>
          <w:p w:rsidR="005E1275" w:rsidRPr="00D4049C" w:rsidRDefault="005E1275" w:rsidP="005E1275">
            <w:pPr>
              <w:pStyle w:val="PPVBody"/>
              <w:jc w:val="left"/>
              <w:rPr>
                <w:sz w:val="20"/>
                <w:szCs w:val="20"/>
              </w:rPr>
            </w:pPr>
            <w:r w:rsidRPr="005E1275">
              <w:rPr>
                <w:i/>
                <w:sz w:val="20"/>
                <w:szCs w:val="20"/>
              </w:rPr>
              <w:lastRenderedPageBreak/>
              <w:t>Clause 35h</w:t>
            </w:r>
            <w:r w:rsidR="000F348F">
              <w:rPr>
                <w:sz w:val="20"/>
                <w:szCs w:val="20"/>
              </w:rPr>
              <w:t xml:space="preserve">. </w:t>
            </w:r>
            <w:r w:rsidRPr="00D4049C">
              <w:rPr>
                <w:sz w:val="20"/>
                <w:szCs w:val="20"/>
              </w:rPr>
              <w:t>A lis</w:t>
            </w:r>
            <w:r w:rsidR="002265D3">
              <w:rPr>
                <w:sz w:val="20"/>
                <w:szCs w:val="20"/>
              </w:rPr>
              <w:t>t of persons consulted or heard</w:t>
            </w:r>
          </w:p>
        </w:tc>
        <w:tc>
          <w:tcPr>
            <w:tcW w:w="3095" w:type="dxa"/>
            <w:shd w:val="clear" w:color="auto" w:fill="auto"/>
          </w:tcPr>
          <w:p w:rsidR="005E1275" w:rsidRPr="00D4049C" w:rsidRDefault="005E1275" w:rsidP="005E1275">
            <w:pPr>
              <w:pStyle w:val="PPVTableText"/>
              <w:rPr>
                <w:szCs w:val="20"/>
              </w:rPr>
            </w:pPr>
            <w:r w:rsidRPr="00D4049C">
              <w:rPr>
                <w:szCs w:val="20"/>
              </w:rPr>
              <w:t xml:space="preserve">The Review Panel convened two Directions Hearings (20 December 2017 and 2 February 2018) and conducted its Hearing over 59 hearing days on 47 sitting days.  It heard from the Minister for Planning, the Cities of Melbourne and Port Phillip, various State Government agencies and </w:t>
            </w:r>
            <w:r w:rsidR="00DE1A27">
              <w:rPr>
                <w:szCs w:val="20"/>
              </w:rPr>
              <w:t>a high number of</w:t>
            </w:r>
            <w:r w:rsidRPr="00D4049C">
              <w:rPr>
                <w:szCs w:val="20"/>
              </w:rPr>
              <w:t xml:space="preserve"> </w:t>
            </w:r>
            <w:r w:rsidR="00DE1A27">
              <w:rPr>
                <w:szCs w:val="20"/>
              </w:rPr>
              <w:t>submitters</w:t>
            </w:r>
            <w:r w:rsidRPr="00D4049C">
              <w:rPr>
                <w:szCs w:val="20"/>
              </w:rPr>
              <w:t xml:space="preserve"> out of the </w:t>
            </w:r>
            <w:r w:rsidR="00DE1A27">
              <w:rPr>
                <w:szCs w:val="20"/>
              </w:rPr>
              <w:t>254</w:t>
            </w:r>
            <w:r w:rsidR="003F10AC">
              <w:rPr>
                <w:szCs w:val="20"/>
              </w:rPr>
              <w:t xml:space="preserve"> submissions made</w:t>
            </w:r>
          </w:p>
        </w:tc>
        <w:tc>
          <w:tcPr>
            <w:tcW w:w="3096" w:type="dxa"/>
            <w:shd w:val="clear" w:color="auto" w:fill="auto"/>
          </w:tcPr>
          <w:p w:rsidR="005E1275" w:rsidRPr="00D4049C" w:rsidRDefault="005E1275" w:rsidP="005E1275">
            <w:pPr>
              <w:pStyle w:val="PPVTableText"/>
              <w:rPr>
                <w:szCs w:val="20"/>
              </w:rPr>
            </w:pPr>
            <w:r w:rsidRPr="00D4049C">
              <w:rPr>
                <w:szCs w:val="20"/>
              </w:rPr>
              <w:t xml:space="preserve">The parties heard are listed in Appendix </w:t>
            </w:r>
            <w:r w:rsidR="00DE1A27">
              <w:rPr>
                <w:szCs w:val="20"/>
              </w:rPr>
              <w:t>B</w:t>
            </w:r>
            <w:r w:rsidRPr="00D4049C">
              <w:rPr>
                <w:szCs w:val="20"/>
              </w:rPr>
              <w:t xml:space="preserve">.  In addition, it convened three public briefings (10 and 24 November 2017 and 13 February 2018), two meetings with Port Phillip and Melbourne respectively (28 November and 12 December 2017) and three site inspections (28 November 2017 and 14 February and 22 May 2018), as well as many unaccompanied inspections on its </w:t>
            </w:r>
            <w:r w:rsidR="002265D3">
              <w:rPr>
                <w:szCs w:val="20"/>
              </w:rPr>
              <w:t>own or as the full Review Panel</w:t>
            </w:r>
          </w:p>
        </w:tc>
      </w:tr>
    </w:tbl>
    <w:p w:rsidR="00785416" w:rsidRDefault="000832BB" w:rsidP="0015128B">
      <w:pPr>
        <w:pStyle w:val="PPVBody"/>
        <w:rPr>
          <w:rFonts w:asciiTheme="minorHAnsi" w:hAnsiTheme="minorHAnsi"/>
        </w:rPr>
      </w:pPr>
      <w:r>
        <w:rPr>
          <w:rFonts w:asciiTheme="minorHAnsi" w:hAnsiTheme="minorHAnsi"/>
        </w:rPr>
        <w:t>The Review Panel appreciates that the Minister has acknowledged that there is significant further work to be undertaken to realise</w:t>
      </w:r>
      <w:r w:rsidR="00E43DFC">
        <w:rPr>
          <w:rFonts w:asciiTheme="minorHAnsi" w:hAnsiTheme="minorHAnsi"/>
        </w:rPr>
        <w:t xml:space="preserve"> the</w:t>
      </w:r>
      <w:r>
        <w:rPr>
          <w:rFonts w:asciiTheme="minorHAnsi" w:hAnsiTheme="minorHAnsi"/>
        </w:rPr>
        <w:t xml:space="preserve"> Fishermans Bend</w:t>
      </w:r>
      <w:r w:rsidR="00E43DFC">
        <w:rPr>
          <w:rFonts w:asciiTheme="minorHAnsi" w:hAnsiTheme="minorHAnsi"/>
        </w:rPr>
        <w:t xml:space="preserve"> Vision</w:t>
      </w:r>
      <w:r>
        <w:rPr>
          <w:rFonts w:asciiTheme="minorHAnsi" w:hAnsiTheme="minorHAnsi"/>
        </w:rPr>
        <w:t xml:space="preserve">.  </w:t>
      </w:r>
      <w:r w:rsidR="00DE1A27">
        <w:rPr>
          <w:rFonts w:asciiTheme="minorHAnsi" w:hAnsiTheme="minorHAnsi"/>
        </w:rPr>
        <w:t>Some</w:t>
      </w:r>
      <w:r>
        <w:rPr>
          <w:rFonts w:asciiTheme="minorHAnsi" w:hAnsiTheme="minorHAnsi"/>
        </w:rPr>
        <w:t xml:space="preserve"> of this is a matter of priority. </w:t>
      </w:r>
      <w:r w:rsidR="003554DB">
        <w:rPr>
          <w:rFonts w:asciiTheme="minorHAnsi" w:hAnsiTheme="minorHAnsi"/>
        </w:rPr>
        <w:t xml:space="preserve"> </w:t>
      </w:r>
      <w:r w:rsidR="001646D0">
        <w:rPr>
          <w:rFonts w:asciiTheme="minorHAnsi" w:hAnsiTheme="minorHAnsi"/>
        </w:rPr>
        <w:t xml:space="preserve">The Review Panel notes some of the more immediate matters to be reconciled include </w:t>
      </w:r>
      <w:r w:rsidR="00DE1A27">
        <w:rPr>
          <w:rFonts w:asciiTheme="minorHAnsi" w:hAnsiTheme="minorHAnsi"/>
        </w:rPr>
        <w:t>resolving</w:t>
      </w:r>
      <w:r w:rsidR="001646D0">
        <w:rPr>
          <w:rFonts w:asciiTheme="minorHAnsi" w:hAnsiTheme="minorHAnsi"/>
        </w:rPr>
        <w:t xml:space="preserve"> the existing planning permit applications</w:t>
      </w:r>
      <w:r w:rsidR="00DE1A27">
        <w:rPr>
          <w:rFonts w:asciiTheme="minorHAnsi" w:hAnsiTheme="minorHAnsi"/>
        </w:rPr>
        <w:t>, pre</w:t>
      </w:r>
      <w:r w:rsidR="00F21A44">
        <w:rPr>
          <w:rFonts w:asciiTheme="minorHAnsi" w:hAnsiTheme="minorHAnsi"/>
        </w:rPr>
        <w:t>paring plans for each P</w:t>
      </w:r>
      <w:r w:rsidR="00DE1A27">
        <w:rPr>
          <w:rFonts w:asciiTheme="minorHAnsi" w:hAnsiTheme="minorHAnsi"/>
        </w:rPr>
        <w:t>recinct and identifying areas required for publi</w:t>
      </w:r>
      <w:r w:rsidR="00F21A44">
        <w:rPr>
          <w:rFonts w:asciiTheme="minorHAnsi" w:hAnsiTheme="minorHAnsi"/>
        </w:rPr>
        <w:t>c purposes and the appropriate</w:t>
      </w:r>
      <w:r w:rsidR="00DE1A27">
        <w:rPr>
          <w:rFonts w:asciiTheme="minorHAnsi" w:hAnsiTheme="minorHAnsi"/>
        </w:rPr>
        <w:t xml:space="preserve"> funding mechanism to implement these.</w:t>
      </w:r>
    </w:p>
    <w:p w:rsidR="007152C4" w:rsidRPr="00DE1A27" w:rsidRDefault="00DE1A27" w:rsidP="007152C4">
      <w:pPr>
        <w:pStyle w:val="PPVBody"/>
      </w:pPr>
      <w:r>
        <w:t xml:space="preserve">The Review Panel considers that the strategic aspects of progressing Fishermans Bend, including consideration of the </w:t>
      </w:r>
      <w:r w:rsidR="00FC563B">
        <w:t>Precinct Plans</w:t>
      </w:r>
      <w:r>
        <w:t xml:space="preserve"> and the funding mechanisms for public purpose infrastructure are </w:t>
      </w:r>
      <w:r w:rsidR="008F5D1D">
        <w:t xml:space="preserve">amongst </w:t>
      </w:r>
      <w:r>
        <w:t xml:space="preserve">matters the Minister for Planning might consider retaining this </w:t>
      </w:r>
      <w:r w:rsidR="009054A4">
        <w:t>Review Panel</w:t>
      </w:r>
      <w:r>
        <w:t xml:space="preserve"> to assist with.</w:t>
      </w:r>
    </w:p>
    <w:p w:rsidR="00554E10" w:rsidRDefault="00E32C7D" w:rsidP="008B68A1">
      <w:pPr>
        <w:pStyle w:val="PPVAppendixHeading1"/>
        <w:rPr>
          <w:rFonts w:asciiTheme="minorHAnsi" w:hAnsiTheme="minorHAnsi"/>
        </w:rPr>
      </w:pPr>
      <w:bookmarkStart w:id="1244" w:name="_Toc212009268"/>
      <w:bookmarkStart w:id="1245" w:name="_Toc324252653"/>
      <w:bookmarkStart w:id="1246" w:name="_Toc519710345"/>
      <w:bookmarkStart w:id="1247" w:name="_Toc519766905"/>
      <w:bookmarkEnd w:id="14"/>
      <w:bookmarkEnd w:id="15"/>
      <w:bookmarkEnd w:id="16"/>
      <w:bookmarkEnd w:id="17"/>
      <w:bookmarkEnd w:id="18"/>
      <w:r w:rsidRPr="00A90F8A">
        <w:rPr>
          <w:rFonts w:asciiTheme="minorHAnsi" w:hAnsiTheme="minorHAnsi"/>
        </w:rPr>
        <w:lastRenderedPageBreak/>
        <w:t>Appendix</w:t>
      </w:r>
      <w:bookmarkEnd w:id="1244"/>
      <w:r w:rsidR="00132ACA" w:rsidRPr="00A90F8A">
        <w:rPr>
          <w:rFonts w:asciiTheme="minorHAnsi" w:hAnsiTheme="minorHAnsi"/>
        </w:rPr>
        <w:t xml:space="preserve"> A</w:t>
      </w:r>
      <w:bookmarkEnd w:id="1245"/>
      <w:r w:rsidR="00554E10" w:rsidRPr="00A90F8A">
        <w:rPr>
          <w:rFonts w:asciiTheme="minorHAnsi" w:hAnsiTheme="minorHAnsi"/>
        </w:rPr>
        <w:t>:</w:t>
      </w:r>
      <w:r w:rsidR="00223FC9" w:rsidRPr="00A90F8A">
        <w:rPr>
          <w:rFonts w:asciiTheme="minorHAnsi" w:hAnsiTheme="minorHAnsi"/>
        </w:rPr>
        <w:tab/>
      </w:r>
      <w:r w:rsidR="00554E10" w:rsidRPr="00A90F8A">
        <w:rPr>
          <w:rFonts w:asciiTheme="minorHAnsi" w:hAnsiTheme="minorHAnsi"/>
        </w:rPr>
        <w:t>Terms of Reference</w:t>
      </w:r>
      <w:bookmarkEnd w:id="1246"/>
      <w:bookmarkEnd w:id="1247"/>
    </w:p>
    <w:p w:rsidR="00613E7F" w:rsidRDefault="00613E7F" w:rsidP="00613E7F"/>
    <w:p w:rsidR="00613E7F" w:rsidRDefault="00613E7F" w:rsidP="00613E7F">
      <w:pPr>
        <w:sectPr w:rsidR="00613E7F" w:rsidSect="007339EB">
          <w:footerReference w:type="default" r:id="rId52"/>
          <w:pgSz w:w="11906" w:h="16838"/>
          <w:pgMar w:top="1701" w:right="1418" w:bottom="1135" w:left="1418" w:header="720" w:footer="448" w:gutter="0"/>
          <w:pgNumType w:start="1"/>
          <w:cols w:space="708"/>
          <w:docGrid w:linePitch="360"/>
        </w:sectPr>
      </w:pPr>
    </w:p>
    <w:p w:rsidR="00B11559" w:rsidRPr="00570CA1" w:rsidRDefault="00180DA1" w:rsidP="00B11559">
      <w:pPr>
        <w:pStyle w:val="Header"/>
        <w:spacing w:before="180"/>
        <w:jc w:val="center"/>
      </w:pPr>
      <w:r>
        <w:rPr>
          <w:noProof/>
        </w:rPr>
        <w:lastRenderedPageBreak/>
        <mc:AlternateContent>
          <mc:Choice Requires="wps">
            <w:drawing>
              <wp:anchor distT="0" distB="0" distL="114300" distR="114300" simplePos="0" relativeHeight="251666432" behindDoc="1" locked="0" layoutInCell="1" allowOverlap="1" wp14:anchorId="334F64CE" wp14:editId="07DB0017">
                <wp:simplePos x="0" y="0"/>
                <wp:positionH relativeFrom="page">
                  <wp:posOffset>769327</wp:posOffset>
                </wp:positionH>
                <wp:positionV relativeFrom="page">
                  <wp:posOffset>694055</wp:posOffset>
                </wp:positionV>
                <wp:extent cx="864235" cy="899795"/>
                <wp:effectExtent l="5715" t="8255" r="6350" b="6350"/>
                <wp:wrapNone/>
                <wp:docPr id="8" name="Freeform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235" cy="899795"/>
                        </a:xfrm>
                        <a:custGeom>
                          <a:avLst/>
                          <a:gdLst>
                            <a:gd name="T0" fmla="*/ 864000 w 1339"/>
                            <a:gd name="T1" fmla="*/ 900000 h 1419"/>
                            <a:gd name="T2" fmla="*/ 431677 w 1339"/>
                            <a:gd name="T3" fmla="*/ 0 h 1419"/>
                            <a:gd name="T4" fmla="*/ 0 w 1339"/>
                            <a:gd name="T5" fmla="*/ 900000 h 1419"/>
                            <a:gd name="T6" fmla="*/ 864000 w 1339"/>
                            <a:gd name="T7" fmla="*/ 900000 h 141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39" h="1419">
                              <a:moveTo>
                                <a:pt x="1339" y="1419"/>
                              </a:moveTo>
                              <a:lnTo>
                                <a:pt x="669" y="0"/>
                              </a:lnTo>
                              <a:lnTo>
                                <a:pt x="0" y="1419"/>
                              </a:lnTo>
                              <a:lnTo>
                                <a:pt x="1339" y="1419"/>
                              </a:lnTo>
                              <a:close/>
                            </a:path>
                          </a:pathLst>
                        </a:custGeom>
                        <a:solidFill>
                          <a:srgbClr val="2015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04B329" id="Freeform 4" o:spid="_x0000_s1026" style="position:absolute;margin-left:60.6pt;margin-top:54.65pt;width:68.05pt;height:70.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9,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dgMAAKMIAAAOAAAAZHJzL2Uyb0RvYy54bWysVl1vmzAUfZ+0/2D5cVLKRwwJUUm1rss0&#10;qdsqNfsBDpiABjaznZBu2n/ftYEUmjaqpr0Em3s4vl8+N5dXh6pEeyZVIXiMvQsXI8YTkRZ8G+Pv&#10;69VkjpHSlKe0FJzF+IEpfLV8++ayqRfMF7koUyYRkHC1aOoY51rXC8dRSc4qqi5EzTgYMyErqmEr&#10;t04qaQPsVen4rhs6jZBpLUXClIK3N60RLy1/lrFEf8syxTQqYwy+afsr7e/G/DrLS7rYSlrnRdK5&#10;Qf/Bi4oWHA49Ut1QTdFOFidUVZFIoUSmLxJROSLLioTZGCAaz30SzX1Oa2ZjgeSo+pgm9f9ok6/7&#10;O4mKNMZQKE4rKNFKMmYSjojJTlOrBYDu6ztp4lP1rUh+KDA4I4vZKMCgTfNFpMBCd1rYjBwyWZkv&#10;IVZ0sIl/OCaeHTRK4OU8JP40wCgB0zyKZlFgjnboov842Sn9iQlLRPe3Srd1S2Fls552vq+hxllV&#10;QgnfOQhYXddFDfKm06ir9BHoDYARwACYI494J0B/ACRTL5zNXmCcDoAvkZER5nnPIA/HEM56Fg6A&#10;Z2OdDYBnGaEHjke7KLRZCYNgGj7NXvRaoDcsyFlKb1iREyT0wravNs37BkgOvOsAWCFqNGc9t11X&#10;C2W6zfQD9NTa6/oJYKZfHtHRCA21NujpS2iIxnzek0M1Dbxv1hNyCGkIh3oZ+GzIDnHBZ10QEuTq&#10;qVBJjECoNm0BaqpN7JYUlqgByTW9jXJYmN41lkrs2VpYjDY5aBFwct/dcOYjpuRDbBgCGUCtMAKu&#10;t/bP2jK2SR3Q9eb+2cKeO7hHJKVQrL3jJih72Y/RmaQMLrwSZZGuirI0MSm53XwoJdpTUHTQzID0&#10;+RzBSltnLsxn7THtG1CcLoFGe6xC/448n7jXfjRZhfPZhKxIMIlm7nzietF1FLokIjerPya1Hlnk&#10;RZoyfltw1k8Lj7xOjbu51eq8nRemfFHgB7ZqI+9HQVpx6gsygkmx46lVwpzR9GO31rQo27Uz9tgm&#10;GcLunzYRVsaNcrdSvxHpA6i4FO2khMkOi1zIXxg1MCVjrH7uqGQYlZ85jKHIIwS6QdsNCWY+bOTQ&#10;shlaKE+AKsYaw101yw+6HcW7WhbbHE5qLwwX72F6ZIVReetf61W3gUloI+imthm1w71FPf63WP4F&#10;AAD//wMAUEsDBBQABgAIAAAAIQCpoiC63wAAAAsBAAAPAAAAZHJzL2Rvd25yZXYueG1sTI/BTsMw&#10;EETvSPyDtZW4UTtBQJvGqRCIAxwoacvdjd0kNF5HttukfD3bE9xmtKPZN/lytB07GR9ahxKSqQBm&#10;sHK6xVrCdvN6OwMWokKtOodGwtkEWBbXV7nKtBuwNKd1rBmVYMiUhCbGPuM8VI2xKkxdb5Bue+et&#10;imR9zbVXA5XbjqdCPHCrWqQPjerNc2Oqw/poJWy286/z/l3478PP24d+mX2Wq3KQ8mYyPi2ARTPG&#10;vzBc8AkdCmLauSPqwDryaZJSlISY3wGjRHr/SGJ3EYkAXuT8/4biFwAA//8DAFBLAQItABQABgAI&#10;AAAAIQC2gziS/gAAAOEBAAATAAAAAAAAAAAAAAAAAAAAAABbQ29udGVudF9UeXBlc10ueG1sUEsB&#10;Ai0AFAAGAAgAAAAhADj9If/WAAAAlAEAAAsAAAAAAAAAAAAAAAAALwEAAF9yZWxzLy5yZWxzUEsB&#10;Ai0AFAAGAAgAAAAhAL/xL752AwAAowgAAA4AAAAAAAAAAAAAAAAALgIAAGRycy9lMm9Eb2MueG1s&#10;UEsBAi0AFAAGAAgAAAAhAKmiILrfAAAACwEAAA8AAAAAAAAAAAAAAAAA0AUAAGRycy9kb3ducmV2&#10;LnhtbFBLBQYAAAAABAAEAPMAAADcBgAAAAA=&#10;" path="m1339,1419l669,,,1419r1339,xe" fillcolor="#201547" stroked="f">
                <v:path arrowok="t" o:connecttype="custom" o:connectlocs="557654249,570694503;278618650,0;0,570694503;557654249,570694503" o:connectangles="0,0,0,0"/>
                <w10:wrap anchorx="page" anchory="page"/>
              </v:shape>
            </w:pict>
          </mc:Fallback>
        </mc:AlternateContent>
      </w:r>
      <w:r w:rsidR="00EC1209">
        <w:rPr>
          <w:noProof/>
        </w:rPr>
        <mc:AlternateContent>
          <mc:Choice Requires="wps">
            <w:drawing>
              <wp:anchor distT="0" distB="0" distL="114300" distR="114300" simplePos="0" relativeHeight="251660288" behindDoc="1" locked="0" layoutInCell="1" allowOverlap="1" wp14:anchorId="779F303E" wp14:editId="310ABC13">
                <wp:simplePos x="0" y="0"/>
                <wp:positionH relativeFrom="page">
                  <wp:posOffset>356870</wp:posOffset>
                </wp:positionH>
                <wp:positionV relativeFrom="page">
                  <wp:posOffset>694055</wp:posOffset>
                </wp:positionV>
                <wp:extent cx="864235" cy="899795"/>
                <wp:effectExtent l="2540" t="8255" r="0" b="6350"/>
                <wp:wrapNone/>
                <wp:docPr id="10"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4235" cy="899795"/>
                        </a:xfrm>
                        <a:custGeom>
                          <a:avLst/>
                          <a:gdLst>
                            <a:gd name="T0" fmla="*/ 0 w 1334"/>
                            <a:gd name="T1" fmla="*/ 0 h 1419"/>
                            <a:gd name="T2" fmla="*/ 430705 w 1334"/>
                            <a:gd name="T3" fmla="*/ 900000 h 1419"/>
                            <a:gd name="T4" fmla="*/ 864000 w 1334"/>
                            <a:gd name="T5" fmla="*/ 0 h 1419"/>
                            <a:gd name="T6" fmla="*/ 0 w 1334"/>
                            <a:gd name="T7" fmla="*/ 0 h 141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334" h="1419">
                              <a:moveTo>
                                <a:pt x="0" y="0"/>
                              </a:moveTo>
                              <a:lnTo>
                                <a:pt x="665" y="1419"/>
                              </a:lnTo>
                              <a:lnTo>
                                <a:pt x="1334" y="0"/>
                              </a:lnTo>
                              <a:lnTo>
                                <a:pt x="0" y="0"/>
                              </a:lnTo>
                              <a:close/>
                            </a:path>
                          </a:pathLst>
                        </a:custGeom>
                        <a:solidFill>
                          <a:srgbClr val="7973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682DA9" id="Freeform 3" o:spid="_x0000_s1026" style="position:absolute;margin-left:28.1pt;margin-top:54.65pt;width:68.05pt;height:70.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334,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LSNcAMAAIwIAAAOAAAAZHJzL2Uyb0RvYy54bWysVltvmzAUfp+0/2DxOCkFEi5x1LRa12Wa&#10;1G2Vmv0AB0xAA5vZTkg37b/vHAMppKlUTesDsTkf5/adSy+vD1VJ9lzpQoql4194DuEikWkhtkvn&#10;+3o1mTtEGyZSVkrBl84j18711ds3l0294FOZyzLlioASoRdNvXRyY+qF6+ok5xXTF7LmAoSZVBUz&#10;cFVbN1WsAe1V6U49L3IbqdJayYRrDW9vW6FzZfVnGU/MtyzT3JBy6YBvxj6VfW7w6V5dssVWsTov&#10;ks4N9g9eVKwQYPSo6pYZRnaqeKaqKhIltczMRSIrV2ZZkXAbA0TjeyfRPOSs5jYWSI6uj2nS/09t&#10;8nV/r0iRAneQHsEq4GilOMeMkxmmp6n1AlAP9b3CAHV9J5MfGgTuSIIXDRiyab7IFLSwnZE2JYdM&#10;VfglBEsONvOPx8zzgyEJvJxHwXQWOiQB0ZzSmIZo2mWL/uNkp80nLq0itr/TpiUuhZNNe9r5voYo&#10;sqoEDt+5xCMN8WezoGP5iPFHmJz4gU9PMdMBJph5sRe+oGw2AFIP/8h5jcEACPEi8Lx7kIdBCOeV&#10;RSPMeT3xCHNeD7TnwFZk3Y/CcBad5oO+Foh19DqV/piHE+NA/ranl+U948lBdJTDiTCcMuu5LbNa&#10;aiwvLAAoorXfFRDAsECe0HSEBpoRbSsdLD5DQzT4ea8cOER4X53P4f4IDiwhPB760lrpglAwoE5H&#10;k3IIjKZNS0DNDMZufYAjaaBRsaJJDgcsW5RUcs/X0mLMSYuBtSdpKYaoKIJCA/f66gdoD+h/a6uu&#10;NQhIOy5fhLWJP8UkpdS87WWMxTb1MSjMxaCxtSyLdFWUJYai1XbzoVRkz2B0xzSe0Z7SEay09AqJ&#10;n7Vm2jcwWbq84Yyxo/g39aeBdzOlk1U0jyfBKggnNPbmE8+nNzTyAhrcrv5gRv1gkRdpysVdIXi/&#10;FvzgdWO3W1DtQLeLAVmj4TS0ZI28HwWJzef1+RvBlNyJ1E68nLP0Y3c2rCjbszv22CYZwu5/bSLs&#10;uMYJ3Y70jUwfYVor2a5EWOFwyKX65ZAG1uHS0T93THGHlJ8F7BvqBwEQbOwlCOMpXNRQshlKmEhA&#10;1dIxDrQoHj+YdufualVsc7DU9omQ72FLZAVOc+tf61V3gZVnI+jWM+7U4d2inv6JuPoLAAD//wMA&#10;UEsDBBQABgAIAAAAIQBF5ZZq4QAAAAoBAAAPAAAAZHJzL2Rvd25yZXYueG1sTI9NS8NAEIbvgv9h&#10;GcGLtLuNtLQxmyKiB0UKxoJ4myRjEt2djdltGv+925Pe5uPhnWey7WSNGGnwnWMNi7kCQVy5uuNG&#10;w/71YbYG4QNyjcYxafghD9v8/CzDtHZHfqGxCI2IIexT1NCG0KdS+qoli37ueuK4+3CDxRDboZH1&#10;gMcYbo1MlFpJix3HCy32dNdS9VUcrAbz1t8/Phf4efUeTNeE3VM5rr+1vryYbm9ABJrCHwwn/agO&#10;eXQq3YFrL4yG5SqJZJyrzTWIE7BJYlFqSJYLBTLP5P8X8l8AAAD//wMAUEsBAi0AFAAGAAgAAAAh&#10;ALaDOJL+AAAA4QEAABMAAAAAAAAAAAAAAAAAAAAAAFtDb250ZW50X1R5cGVzXS54bWxQSwECLQAU&#10;AAYACAAAACEAOP0h/9YAAACUAQAACwAAAAAAAAAAAAAAAAAvAQAAX3JlbHMvLnJlbHNQSwECLQAU&#10;AAYACAAAACEAsiS0jXADAACMCAAADgAAAAAAAAAAAAAAAAAuAgAAZHJzL2Uyb0RvYy54bWxQSwEC&#10;LQAUAAYACAAAACEAReWWauEAAAAKAQAADwAAAAAAAAAAAAAAAADKBQAAZHJzL2Rvd25yZXYueG1s&#10;UEsFBgAAAAAEAAQA8wAAANgGAAAAAA==&#10;" path="m,l665,1419,1334,,,xe" fillcolor="#797391" stroked="f">
                <v:path arrowok="t" o:connecttype="custom" o:connectlocs="0,0;279033235,570694503;559744408,0;0,0" o:connectangles="0,0,0,0"/>
                <w10:wrap anchorx="page" anchory="page"/>
              </v:shape>
            </w:pict>
          </mc:Fallback>
        </mc:AlternateContent>
      </w:r>
      <w:r w:rsidR="00EC1209">
        <w:rPr>
          <w:noProof/>
        </w:rPr>
        <mc:AlternateContent>
          <mc:Choice Requires="wps">
            <w:drawing>
              <wp:anchor distT="0" distB="0" distL="114300" distR="114300" simplePos="0" relativeHeight="251654144" behindDoc="1" locked="0" layoutInCell="1" allowOverlap="1" wp14:anchorId="03DE00FE" wp14:editId="76D8CCD0">
                <wp:simplePos x="0" y="0"/>
                <wp:positionH relativeFrom="page">
                  <wp:posOffset>356870</wp:posOffset>
                </wp:positionH>
                <wp:positionV relativeFrom="page">
                  <wp:posOffset>716915</wp:posOffset>
                </wp:positionV>
                <wp:extent cx="7019925" cy="899795"/>
                <wp:effectExtent l="254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9925" cy="899795"/>
                        </a:xfrm>
                        <a:prstGeom prst="rect">
                          <a:avLst/>
                        </a:prstGeom>
                        <a:solidFill>
                          <a:srgbClr val="00B2A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917D08" id="Rectangle 11" o:spid="_x0000_s1026" style="position:absolute;margin-left:28.1pt;margin-top:56.45pt;width:552.75pt;height:70.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h0fAIAAP0EAAAOAAAAZHJzL2Uyb0RvYy54bWysVMGO0zAQvSPxD5bv3SRVuq2jTVfdliKk&#10;BVYsfIBrO42FYxvbbbog/p2x0y4tcECIHlKPZ/z8ZuaNb24PnUJ74bw0usbFVY6R0Mxwqbc1/vRx&#10;PZph5APVnCqjRY2fhMe385cvbnpbibFpjeLCIQDRvuptjdsQbJVlnrWio/7KWKHB2RjX0QCm22bc&#10;0R7QO5WN8/w6643j1hkmvIfd1eDE84TfNIKF903jRUCqxsAtpK9L3038ZvMbWm0dta1kRxr0H1h0&#10;VGq49BlqRQNFOyd/g+okc8abJlwx02WmaSQTKQfIpsh/yeaxpVakXKA43j6Xyf8/WPZu/+CQ5NC7&#10;AiNNO+jRB6ga1VslEOxBgXrrK4h7tA8upujtvWGfPdJm2UKYWDhn+lZQDrRSfHZxIBoejqJN/9Zw&#10;gKe7YFKtDo3rIiBUAR1SS56eWyIOATHYnOYFIeMJRgx8M0KmZBIpZbQ6nbbOh9fCdCguauyAfEKn&#10;+3sfhtBTSGJvlORrqVQy3HazVA7taZRHfjdekCO6Pw9TOgZrE48NiMMOkIQ7oi/STe3+RopxCUBk&#10;tL6eTUflupyMyDSfjSCPO3Kdl6Rcrb9HgkVZtZJzoe+lFifpFeXftfY4BINokvhQX2MygUqlvM7Z&#10;+8skc/j9KclOBphEJTuoc4w5zkZs7CvNIW1aBSrVsM4u6aeGQA1O/6kqSQax84OCNoY/gQqcgSbB&#10;JMKbAYvWuK8Y9TB/NfZfdtQJjNQbDUoiRVnGgU1GOZmOwXDnns25h2oGUDUOGA3LZRiGfGed3LZw&#10;U5EKo80C1NfIJIyozIEV8I4GzFjK4PgexCE+t1PUz1dr/gMAAP//AwBQSwMEFAAGAAgAAAAhAEEP&#10;ijLhAAAACwEAAA8AAABkcnMvZG93bnJldi54bWxMj0FuwjAQRfeVuIM1SOyKk9CENo2DEG1XlaqW&#10;cAATT5NAPI5sAymnr1m1y5l5+vN+sRp1z85oXWdIQDyPgCHVRnXUCNhVb/ePwJyXpGRvCAX8oINV&#10;ObkrZK7Mhb7wvPUNCyHkcimg9X7IOXd1i1q6uRmQwu3bWC19GG3DlZWXEK57nkRRxrXsKHxo5YCb&#10;Fuvj9qQFfK7x+rFR0TWtdgf1Xr0uX4aFFWI2HdfPwDyO/g+Gm35QhzI47c2JlGO9gDRLAhn2cfIE&#10;7AbEWbwEtheQpA8Z8LLg/zuUvwAAAP//AwBQSwECLQAUAAYACAAAACEAtoM4kv4AAADhAQAAEwAA&#10;AAAAAAAAAAAAAAAAAAAAW0NvbnRlbnRfVHlwZXNdLnhtbFBLAQItABQABgAIAAAAIQA4/SH/1gAA&#10;AJQBAAALAAAAAAAAAAAAAAAAAC8BAABfcmVscy8ucmVsc1BLAQItABQABgAIAAAAIQCecKh0fAIA&#10;AP0EAAAOAAAAAAAAAAAAAAAAAC4CAABkcnMvZTJvRG9jLnhtbFBLAQItABQABgAIAAAAIQBBD4oy&#10;4QAAAAsBAAAPAAAAAAAAAAAAAAAAANYEAABkcnMvZG93bnJldi54bWxQSwUGAAAAAAQABADzAAAA&#10;5AUAAAAA&#10;" fillcolor="#00b2a9" stroked="f">
                <w10:wrap anchorx="page" anchory="page"/>
              </v:rect>
            </w:pict>
          </mc:Fallback>
        </mc:AlternateContent>
      </w:r>
      <w:r w:rsidR="00B11559">
        <w:rPr>
          <w:color w:val="FFFFFF" w:themeColor="background1"/>
          <w:spacing w:val="-10"/>
          <w:sz w:val="40"/>
          <w:szCs w:val="40"/>
        </w:rPr>
        <w:t>Terms of Reference</w:t>
      </w:r>
    </w:p>
    <w:p w:rsidR="00613E7F" w:rsidRPr="00613E7F" w:rsidRDefault="00613E7F" w:rsidP="00613E7F">
      <w:pPr>
        <w:spacing w:before="360" w:after="60"/>
        <w:jc w:val="left"/>
        <w:outlineLvl w:val="0"/>
        <w:rPr>
          <w:rFonts w:asciiTheme="minorHAnsi" w:hAnsiTheme="minorHAnsi" w:cstheme="minorHAnsi"/>
          <w:b/>
          <w:bCs/>
          <w:kern w:val="28"/>
          <w:sz w:val="32"/>
          <w:szCs w:val="32"/>
        </w:rPr>
      </w:pPr>
      <w:r w:rsidRPr="00613E7F">
        <w:rPr>
          <w:rFonts w:asciiTheme="minorHAnsi" w:hAnsiTheme="minorHAnsi" w:cstheme="minorHAnsi"/>
          <w:b/>
          <w:bCs/>
          <w:kern w:val="28"/>
          <w:sz w:val="32"/>
          <w:szCs w:val="32"/>
        </w:rPr>
        <w:t>Fisher</w:t>
      </w:r>
      <w:r w:rsidR="00EC1209">
        <w:rPr>
          <w:rFonts w:asciiTheme="minorHAnsi" w:hAnsiTheme="minorHAnsi" w:cstheme="minorHAnsi"/>
          <w:b/>
          <w:bCs/>
          <w:kern w:val="28"/>
          <w:sz w:val="32"/>
          <w:szCs w:val="32"/>
        </w:rPr>
        <w:t>mans Bend Planning Review Panel</w:t>
      </w:r>
    </w:p>
    <w:p w:rsidR="00613E7F" w:rsidRPr="00613E7F" w:rsidRDefault="00613E7F" w:rsidP="00613E7F">
      <w:pPr>
        <w:spacing w:before="0"/>
        <w:jc w:val="left"/>
        <w:rPr>
          <w:rFonts w:ascii="Arial" w:hAnsi="Arial" w:cs="Arial"/>
          <w:sz w:val="20"/>
          <w:szCs w:val="20"/>
        </w:rPr>
      </w:pPr>
    </w:p>
    <w:p w:rsidR="00613E7F" w:rsidRPr="00613E7F" w:rsidRDefault="00613E7F" w:rsidP="00613E7F">
      <w:pPr>
        <w:spacing w:before="0"/>
        <w:jc w:val="left"/>
        <w:rPr>
          <w:rFonts w:ascii="Arial" w:hAnsi="Arial" w:cs="Arial"/>
          <w:sz w:val="20"/>
          <w:szCs w:val="20"/>
        </w:rPr>
      </w:pPr>
      <w:r w:rsidRPr="00613E7F">
        <w:rPr>
          <w:rFonts w:ascii="Arial" w:hAnsi="Arial" w:cs="Arial"/>
          <w:sz w:val="20"/>
          <w:szCs w:val="20"/>
        </w:rPr>
        <w:t xml:space="preserve">Advisory Committee appointed pursuant to Part 7, section 151 of the </w:t>
      </w:r>
      <w:r w:rsidRPr="00613E7F">
        <w:rPr>
          <w:rFonts w:ascii="Arial" w:hAnsi="Arial" w:cs="Arial"/>
          <w:i/>
          <w:sz w:val="20"/>
          <w:szCs w:val="20"/>
        </w:rPr>
        <w:t>Planning and Environment Act 1987</w:t>
      </w:r>
      <w:r w:rsidRPr="00613E7F">
        <w:rPr>
          <w:rFonts w:ascii="Arial" w:hAnsi="Arial" w:cs="Arial"/>
          <w:sz w:val="20"/>
          <w:szCs w:val="20"/>
        </w:rPr>
        <w:t xml:space="preserve"> to report on the proposed Planning Scheme Amendment GC81 for Fishermans Bend, to ensure the vision for Fishermans Bend is realised. </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Name</w:t>
      </w:r>
    </w:p>
    <w:p w:rsidR="00613E7F" w:rsidRPr="00D54F67" w:rsidRDefault="00613E7F" w:rsidP="00613E7F">
      <w:pPr>
        <w:spacing w:before="0"/>
        <w:jc w:val="left"/>
        <w:rPr>
          <w:rFonts w:ascii="Arial" w:hAnsi="Arial" w:cs="Arial"/>
          <w:sz w:val="20"/>
          <w:szCs w:val="20"/>
        </w:rPr>
      </w:pPr>
      <w:r w:rsidRPr="00D54F67">
        <w:rPr>
          <w:rFonts w:ascii="Arial" w:hAnsi="Arial" w:cs="Arial"/>
          <w:sz w:val="20"/>
          <w:szCs w:val="20"/>
        </w:rPr>
        <w:t>The Advisory Committee is to be known as the ‘</w:t>
      </w:r>
      <w:r w:rsidR="00D54F67" w:rsidRPr="00D54F67">
        <w:rPr>
          <w:rFonts w:ascii="Arial" w:hAnsi="Arial" w:cs="Arial"/>
          <w:bCs/>
          <w:noProof/>
          <w:sz w:val="20"/>
          <w:szCs w:val="20"/>
          <w:lang w:val="en-US"/>
        </w:rPr>
        <w:t>Fishermans Bend Planning Review Panel</w:t>
      </w:r>
      <w:r w:rsidR="00D54F67" w:rsidRPr="00D54F67">
        <w:rPr>
          <w:rFonts w:ascii="Arial" w:hAnsi="Arial" w:cs="Arial"/>
          <w:sz w:val="20"/>
          <w:szCs w:val="20"/>
        </w:rPr>
        <w:t>’.</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The membership of the Review Panel is to include the following skills:</w:t>
      </w:r>
    </w:p>
    <w:p w:rsidR="00613E7F" w:rsidRPr="00EC1209" w:rsidRDefault="00613E7F" w:rsidP="000947CB">
      <w:pPr>
        <w:pStyle w:val="ToRAlphaPara"/>
        <w:numPr>
          <w:ilvl w:val="0"/>
          <w:numId w:val="22"/>
        </w:numPr>
        <w:ind w:left="1080"/>
        <w:rPr>
          <w:sz w:val="20"/>
          <w:szCs w:val="20"/>
        </w:rPr>
      </w:pPr>
      <w:r w:rsidRPr="00EC1209">
        <w:rPr>
          <w:sz w:val="20"/>
          <w:szCs w:val="20"/>
        </w:rPr>
        <w:t>Statutory and strategic land use planning</w:t>
      </w:r>
    </w:p>
    <w:p w:rsidR="00613E7F" w:rsidRPr="00613E7F" w:rsidRDefault="00613E7F" w:rsidP="000947CB">
      <w:pPr>
        <w:pStyle w:val="ToRAlphaPara"/>
        <w:numPr>
          <w:ilvl w:val="0"/>
          <w:numId w:val="22"/>
        </w:numPr>
        <w:ind w:left="1080"/>
        <w:rPr>
          <w:sz w:val="20"/>
          <w:szCs w:val="20"/>
        </w:rPr>
      </w:pPr>
      <w:r w:rsidRPr="00613E7F">
        <w:rPr>
          <w:sz w:val="20"/>
          <w:szCs w:val="20"/>
        </w:rPr>
        <w:t>Land development and property economics</w:t>
      </w:r>
    </w:p>
    <w:p w:rsidR="00613E7F" w:rsidRPr="00613E7F" w:rsidRDefault="00613E7F" w:rsidP="000947CB">
      <w:pPr>
        <w:pStyle w:val="ToRAlphaPara"/>
        <w:numPr>
          <w:ilvl w:val="0"/>
          <w:numId w:val="22"/>
        </w:numPr>
        <w:ind w:left="1080"/>
        <w:rPr>
          <w:sz w:val="20"/>
          <w:szCs w:val="20"/>
        </w:rPr>
      </w:pPr>
      <w:r w:rsidRPr="00613E7F">
        <w:rPr>
          <w:sz w:val="20"/>
          <w:szCs w:val="20"/>
        </w:rPr>
        <w:t>Social and environmental planning</w:t>
      </w:r>
    </w:p>
    <w:p w:rsidR="00613E7F" w:rsidRPr="00613E7F" w:rsidRDefault="00613E7F" w:rsidP="000947CB">
      <w:pPr>
        <w:pStyle w:val="ToRAlphaPara"/>
        <w:numPr>
          <w:ilvl w:val="0"/>
          <w:numId w:val="22"/>
        </w:numPr>
        <w:ind w:left="1080"/>
        <w:rPr>
          <w:sz w:val="20"/>
          <w:szCs w:val="20"/>
        </w:rPr>
      </w:pPr>
      <w:r w:rsidRPr="00613E7F">
        <w:rPr>
          <w:sz w:val="20"/>
          <w:szCs w:val="20"/>
        </w:rPr>
        <w:t>Planning law</w:t>
      </w:r>
    </w:p>
    <w:p w:rsidR="00613E7F" w:rsidRPr="00613E7F" w:rsidRDefault="00613E7F" w:rsidP="000947CB">
      <w:pPr>
        <w:pStyle w:val="ToRAlphaPara"/>
        <w:numPr>
          <w:ilvl w:val="0"/>
          <w:numId w:val="22"/>
        </w:numPr>
        <w:ind w:left="1080"/>
        <w:rPr>
          <w:sz w:val="20"/>
          <w:szCs w:val="20"/>
        </w:rPr>
      </w:pPr>
      <w:r w:rsidRPr="00613E7F">
        <w:rPr>
          <w:sz w:val="20"/>
          <w:szCs w:val="20"/>
        </w:rPr>
        <w:t>Infrastructure and transport planning</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w:t>
      </w:r>
      <w:r w:rsidRPr="00613E7F">
        <w:rPr>
          <w:rFonts w:eastAsia="Times"/>
          <w:sz w:val="20"/>
          <w:szCs w:val="20"/>
        </w:rPr>
        <w:t>Review Panel</w:t>
      </w:r>
      <w:r w:rsidRPr="00EC1209">
        <w:rPr>
          <w:rFonts w:eastAsia="Times"/>
          <w:sz w:val="20"/>
          <w:szCs w:val="20"/>
        </w:rPr>
        <w:t xml:space="preserve"> will include an appointed Chair and Deputy Chair.</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Purpose</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purpose of the </w:t>
      </w:r>
      <w:r w:rsidRPr="00613E7F">
        <w:rPr>
          <w:rFonts w:eastAsia="Times"/>
          <w:sz w:val="20"/>
          <w:szCs w:val="20"/>
        </w:rPr>
        <w:t>Review Panel</w:t>
      </w:r>
      <w:r w:rsidRPr="00EC1209">
        <w:rPr>
          <w:rFonts w:eastAsia="Times"/>
          <w:sz w:val="20"/>
          <w:szCs w:val="20"/>
        </w:rPr>
        <w:t xml:space="preserve"> is to advise the Minister for Planning on the appropriateness of the proposed planning scheme amendment GC81. </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 xml:space="preserve">Background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Fishermans Bend is Australia’s largest urban renewal project covering approximately 480 hectares of mainly industrial land (nearly three times the size of the Central Business District). The area spans two councils – the City of Melbourne and the City of Port Phillip. Fishermans Bend is one of several priority precincts identified in Plan Melbourne as playing a central role in accommodating significant growth.</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In 2012, the former Minister for Planning declared Fishermans Bend a project of State significance and approved Melbourne Planning Scheme Amendment C170 and Port Phillip Planning Scheme Amendment C102 with exemption under section 20(4) of the Act.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The Fishermans Bend Urban Renewal Area Draft Vision was released in September 2013 by Places Victoria, in collaboration with the State Government, City of Port Phillip, City of Melbourne and the Office of the Victorian Government Architect. The draft vision underwent six weeks of consultation.</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In 2014, Amendment GC7 was approved by the former Minister, which introduced the Fishermans Bend Strategic Framework Plan (July 2014) as an incorporated document to the Melbourne and Port Phillip Planning Schemes using his powers of exemption under section 20(4) of the Act.</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In April 2015, The Minister for Planning, under section 20(4) of the Act, approved planning scheme Amendment GC29, which introduced interim planning controls and updated the Framework to the </w:t>
      </w:r>
      <w:r w:rsidRPr="00161D97">
        <w:rPr>
          <w:rFonts w:eastAsia="Times"/>
          <w:i/>
          <w:sz w:val="20"/>
          <w:szCs w:val="20"/>
        </w:rPr>
        <w:t>Fishermans Bend Strategic Framework Plan (July 2014, amended April 2015)</w:t>
      </w:r>
      <w:r w:rsidRPr="00EC1209">
        <w:rPr>
          <w:rFonts w:eastAsia="Times"/>
          <w:sz w:val="20"/>
          <w:szCs w:val="20"/>
        </w:rPr>
        <w:t>. At the same time the Minister for Planning committed to “recast the development of Fishermans Bend into a series of distinct neighbourhoods, allowing Victorian planners to showcase best practice renewal”.</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In June 2015, Government established an independent Ministerial Advisory Committee (MAC) to provide community and expert advice for Fishermans Bend.</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The Fishermans Bend Taskforce (the Taskforce) was subsequently created in February 2016 as a dedicated unit within DELWP to carry out strategic planning work for Fishermans Bend in response to one of the MAC’s recommendations.</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lastRenderedPageBreak/>
        <w:t xml:space="preserve">On 3 October 2016, following extensive community consultation, the Minister for Planning released the Fishermans Bend Vision – The next chapter in Melbourne’s growth story, September 2016.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In November 2016, while the Fishermans Bend Framework and permanent planning controls were being developed, Government introduced interim planning controls as part of Planning Scheme Amendment GC50 (updated by GC59).</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Planning Scheme Amendment GC81 has been prepared to implement the Vision for Fishermans Bend through a suite of permanent controls including amendments to the Melbourne and Port Phillip Planning Scheme and a new Fishermans Bend Framework.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The Minister for Planning is the responsible authority for assessing planning permit applications above a certain threshold of development under Clause 61.01 of the Melbourne and Port Phillip Planning Scheme.</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 xml:space="preserve">Method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w:t>
      </w:r>
      <w:r w:rsidRPr="00613E7F">
        <w:rPr>
          <w:rFonts w:eastAsia="Times"/>
          <w:sz w:val="20"/>
          <w:szCs w:val="20"/>
        </w:rPr>
        <w:t>Review Panel</w:t>
      </w:r>
      <w:r w:rsidRPr="00EC1209">
        <w:rPr>
          <w:rFonts w:eastAsia="Times"/>
          <w:sz w:val="20"/>
          <w:szCs w:val="20"/>
        </w:rPr>
        <w:t xml:space="preserve"> may apply to vary these Terms of Reference in any way it sees fit before submitting its report(s).</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w:t>
      </w:r>
      <w:r w:rsidRPr="00613E7F">
        <w:rPr>
          <w:rFonts w:eastAsia="Times"/>
          <w:sz w:val="20"/>
          <w:szCs w:val="20"/>
        </w:rPr>
        <w:t xml:space="preserve">Review Panel is expected to carry out </w:t>
      </w:r>
      <w:r w:rsidRPr="00EC1209">
        <w:rPr>
          <w:rFonts w:eastAsia="Times"/>
          <w:sz w:val="20"/>
          <w:szCs w:val="20"/>
        </w:rPr>
        <w:t xml:space="preserve">a </w:t>
      </w:r>
      <w:r w:rsidRPr="00613E7F">
        <w:rPr>
          <w:rFonts w:eastAsia="Times"/>
          <w:sz w:val="20"/>
          <w:szCs w:val="20"/>
        </w:rPr>
        <w:t>public hearing</w:t>
      </w:r>
      <w:r w:rsidRPr="00EC1209">
        <w:rPr>
          <w:rFonts w:eastAsia="Times"/>
          <w:sz w:val="20"/>
          <w:szCs w:val="20"/>
        </w:rPr>
        <w:t xml:space="preserve"> on the planning scheme amendment. </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The Review Panel may meet and invite others to meet with it when there is a quorum of at least two Committee members including either the Chair of Deputy Chair.</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w:t>
      </w:r>
      <w:r w:rsidRPr="00613E7F">
        <w:rPr>
          <w:rFonts w:eastAsia="Times"/>
          <w:sz w:val="20"/>
          <w:szCs w:val="20"/>
        </w:rPr>
        <w:t>Review Panel</w:t>
      </w:r>
      <w:r w:rsidRPr="00EC1209">
        <w:rPr>
          <w:rFonts w:eastAsia="Times"/>
          <w:sz w:val="20"/>
          <w:szCs w:val="20"/>
        </w:rPr>
        <w:t xml:space="preserve"> may seek advice from experts where it considers this is necessary.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w:t>
      </w:r>
      <w:r w:rsidRPr="00613E7F">
        <w:rPr>
          <w:rFonts w:eastAsia="Times"/>
          <w:sz w:val="20"/>
          <w:szCs w:val="20"/>
        </w:rPr>
        <w:t>Review Panel</w:t>
      </w:r>
      <w:r w:rsidRPr="00EC1209">
        <w:rPr>
          <w:rFonts w:eastAsia="Times"/>
          <w:sz w:val="20"/>
          <w:szCs w:val="20"/>
        </w:rPr>
        <w:t xml:space="preserve"> may retain legal counsel to assist it.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Planning Panels Victoria is to provide administrative support as required.</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Review Panel will be briefed on relevant background information by the Fishermans Bend Taskforce. </w:t>
      </w:r>
    </w:p>
    <w:p w:rsidR="00613E7F" w:rsidRPr="00613E7F" w:rsidRDefault="00613E7F" w:rsidP="00613E7F">
      <w:pPr>
        <w:rPr>
          <w:rFonts w:ascii="Arial" w:hAnsi="Arial" w:cs="Arial"/>
          <w:sz w:val="20"/>
          <w:szCs w:val="20"/>
          <w:u w:val="single"/>
        </w:rPr>
      </w:pPr>
      <w:r w:rsidRPr="00613E7F">
        <w:rPr>
          <w:rFonts w:ascii="Arial" w:hAnsi="Arial" w:cs="Arial"/>
          <w:sz w:val="20"/>
          <w:szCs w:val="20"/>
          <w:u w:val="single"/>
        </w:rPr>
        <w:t>Exhibition</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DELWP will be responsible for notifying relevant persons, including land owners and occupiers who may be affected by the proposed planning scheme amendment.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w:t>
      </w:r>
      <w:r w:rsidRPr="00613E7F">
        <w:rPr>
          <w:rFonts w:eastAsia="Times"/>
          <w:sz w:val="20"/>
          <w:szCs w:val="20"/>
        </w:rPr>
        <w:t>Review Panel</w:t>
      </w:r>
      <w:r w:rsidRPr="00EC1209">
        <w:rPr>
          <w:rFonts w:eastAsia="Times"/>
          <w:sz w:val="20"/>
          <w:szCs w:val="20"/>
        </w:rPr>
        <w:t xml:space="preserve"> is not expected to carry out any additional public notification or referral, but may do so if it considers it to be appropriate.</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Submitters will have six weeks from notification from DELWP to lodge written submissions, with all submissions referred to the </w:t>
      </w:r>
      <w:r w:rsidRPr="00613E7F">
        <w:rPr>
          <w:rFonts w:eastAsia="Times"/>
          <w:sz w:val="20"/>
          <w:szCs w:val="20"/>
        </w:rPr>
        <w:t>Review Panel</w:t>
      </w:r>
      <w:r w:rsidRPr="00EC1209">
        <w:rPr>
          <w:rFonts w:eastAsia="Times"/>
          <w:sz w:val="20"/>
          <w:szCs w:val="20"/>
        </w:rPr>
        <w:t xml:space="preserve"> to be considered for the Planning Scheme Amendment Hearing process.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Submissions will be collected by the office of Planning Panels Victoria in accordance with the Guide to Privacy at PPV. Copies of submissions will be made available to the City of Melbourne and the City of Port Phillip, DELWP, and other submitters upon request. Copies of submissions and other material will be published online where consent has been given.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Petitions and pro-forma letters will be treated as single submissions and only the first name to appear on the first page of the submissions will receive correspondence in relation to the </w:t>
      </w:r>
      <w:r w:rsidRPr="00613E7F">
        <w:rPr>
          <w:rFonts w:eastAsia="Times"/>
          <w:sz w:val="20"/>
          <w:szCs w:val="20"/>
        </w:rPr>
        <w:t>Review Panel</w:t>
      </w:r>
      <w:r w:rsidRPr="00EC1209">
        <w:rPr>
          <w:rFonts w:eastAsia="Times"/>
          <w:sz w:val="20"/>
          <w:szCs w:val="20"/>
        </w:rPr>
        <w:t xml:space="preserve">. </w:t>
      </w:r>
    </w:p>
    <w:p w:rsidR="00613E7F" w:rsidRPr="00613E7F" w:rsidRDefault="00613E7F" w:rsidP="00613E7F">
      <w:pPr>
        <w:rPr>
          <w:rFonts w:ascii="Arial" w:hAnsi="Arial" w:cs="Arial"/>
          <w:sz w:val="20"/>
          <w:szCs w:val="20"/>
          <w:u w:val="single"/>
        </w:rPr>
      </w:pPr>
      <w:r w:rsidRPr="00613E7F">
        <w:rPr>
          <w:rFonts w:ascii="Arial" w:hAnsi="Arial" w:cs="Arial"/>
          <w:sz w:val="20"/>
          <w:szCs w:val="20"/>
          <w:u w:val="single"/>
        </w:rPr>
        <w:t>Hearing Process</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 xml:space="preserve">The </w:t>
      </w:r>
      <w:r w:rsidRPr="00613E7F">
        <w:rPr>
          <w:rFonts w:eastAsia="Times"/>
          <w:sz w:val="20"/>
          <w:szCs w:val="20"/>
        </w:rPr>
        <w:t>Review Panel</w:t>
      </w:r>
      <w:r w:rsidRPr="00EC1209">
        <w:rPr>
          <w:rFonts w:eastAsia="Times"/>
          <w:sz w:val="20"/>
          <w:szCs w:val="20"/>
        </w:rPr>
        <w:t xml:space="preserve"> may inform itself in anyway it sees fit, but it must consider:</w:t>
      </w:r>
    </w:p>
    <w:p w:rsidR="00613E7F" w:rsidRPr="00613E7F" w:rsidRDefault="00613E7F" w:rsidP="000947CB">
      <w:pPr>
        <w:pStyle w:val="ToRAlphaPara"/>
        <w:numPr>
          <w:ilvl w:val="0"/>
          <w:numId w:val="23"/>
        </w:numPr>
        <w:ind w:left="1134" w:hanging="425"/>
        <w:rPr>
          <w:sz w:val="20"/>
          <w:szCs w:val="20"/>
        </w:rPr>
      </w:pPr>
      <w:r w:rsidRPr="00613E7F">
        <w:rPr>
          <w:sz w:val="20"/>
          <w:szCs w:val="20"/>
        </w:rPr>
        <w:t xml:space="preserve">The State policy context of the Fishermans Bend area. </w:t>
      </w:r>
    </w:p>
    <w:p w:rsidR="00613E7F" w:rsidRPr="00613E7F" w:rsidRDefault="00613E7F" w:rsidP="000947CB">
      <w:pPr>
        <w:pStyle w:val="ToRAlphaPara"/>
        <w:numPr>
          <w:ilvl w:val="0"/>
          <w:numId w:val="23"/>
        </w:numPr>
        <w:ind w:left="1134" w:hanging="425"/>
        <w:rPr>
          <w:sz w:val="20"/>
          <w:szCs w:val="20"/>
        </w:rPr>
      </w:pPr>
      <w:r w:rsidRPr="00613E7F">
        <w:rPr>
          <w:sz w:val="20"/>
          <w:szCs w:val="20"/>
        </w:rPr>
        <w:t xml:space="preserve">The extent to which the proposed changes to the Capital City Zone Schedule 1 (Port Phillip Planning Scheme) and Capital City Zone Schedule 4 (Melbourne Planning Scheme) allows for the </w:t>
      </w:r>
      <w:r w:rsidRPr="00EC1209">
        <w:rPr>
          <w:sz w:val="20"/>
          <w:szCs w:val="20"/>
        </w:rPr>
        <w:t>Fishermans Bend Vision, September 2016</w:t>
      </w:r>
      <w:r w:rsidRPr="00613E7F">
        <w:rPr>
          <w:sz w:val="20"/>
          <w:szCs w:val="20"/>
        </w:rPr>
        <w:t xml:space="preserve"> to be achieved.</w:t>
      </w:r>
    </w:p>
    <w:p w:rsidR="00613E7F" w:rsidRPr="00613E7F" w:rsidRDefault="00613E7F" w:rsidP="000947CB">
      <w:pPr>
        <w:pStyle w:val="ToRAlphaPara"/>
        <w:numPr>
          <w:ilvl w:val="0"/>
          <w:numId w:val="23"/>
        </w:numPr>
        <w:ind w:left="1134" w:hanging="425"/>
        <w:rPr>
          <w:sz w:val="20"/>
          <w:szCs w:val="20"/>
        </w:rPr>
      </w:pPr>
      <w:r w:rsidRPr="00613E7F">
        <w:rPr>
          <w:sz w:val="20"/>
          <w:szCs w:val="20"/>
        </w:rPr>
        <w:t xml:space="preserve">The extent to which all other proposed changes sought by GC81 allows for the </w:t>
      </w:r>
      <w:r w:rsidRPr="00161D97">
        <w:rPr>
          <w:i/>
          <w:sz w:val="20"/>
          <w:szCs w:val="20"/>
        </w:rPr>
        <w:t>Fishermans Bend Vision, September 2016</w:t>
      </w:r>
      <w:r w:rsidRPr="00613E7F">
        <w:rPr>
          <w:sz w:val="20"/>
          <w:szCs w:val="20"/>
        </w:rPr>
        <w:t xml:space="preserve"> to be achieved.</w:t>
      </w:r>
    </w:p>
    <w:p w:rsidR="00EC1209" w:rsidRDefault="00EC1209">
      <w:pPr>
        <w:spacing w:before="0"/>
        <w:jc w:val="left"/>
        <w:rPr>
          <w:rFonts w:ascii="Arial" w:eastAsia="Times" w:hAnsi="Arial" w:cs="Arial"/>
          <w:sz w:val="20"/>
          <w:szCs w:val="20"/>
        </w:rPr>
      </w:pPr>
      <w:r>
        <w:rPr>
          <w:sz w:val="20"/>
          <w:szCs w:val="20"/>
        </w:rPr>
        <w:br w:type="page"/>
      </w:r>
    </w:p>
    <w:p w:rsidR="00613E7F" w:rsidRPr="00613E7F" w:rsidRDefault="00613E7F" w:rsidP="000947CB">
      <w:pPr>
        <w:pStyle w:val="ToRAlphaPara"/>
        <w:numPr>
          <w:ilvl w:val="0"/>
          <w:numId w:val="23"/>
        </w:numPr>
        <w:ind w:left="1134" w:hanging="425"/>
        <w:rPr>
          <w:sz w:val="20"/>
          <w:szCs w:val="20"/>
        </w:rPr>
      </w:pPr>
      <w:r w:rsidRPr="00613E7F">
        <w:rPr>
          <w:sz w:val="20"/>
          <w:szCs w:val="20"/>
        </w:rPr>
        <w:lastRenderedPageBreak/>
        <w:t xml:space="preserve">All relevant submissions made in regard to the proposed changes to the Port Phillip and Melbourne Planning Schemes. </w:t>
      </w:r>
    </w:p>
    <w:p w:rsidR="00613E7F" w:rsidRPr="00613E7F" w:rsidRDefault="00613E7F" w:rsidP="000947CB">
      <w:pPr>
        <w:pStyle w:val="ToRAlphaPara"/>
        <w:numPr>
          <w:ilvl w:val="0"/>
          <w:numId w:val="23"/>
        </w:numPr>
        <w:ind w:left="1134" w:hanging="425"/>
        <w:rPr>
          <w:sz w:val="20"/>
          <w:szCs w:val="20"/>
        </w:rPr>
      </w:pPr>
      <w:r w:rsidRPr="00613E7F">
        <w:rPr>
          <w:sz w:val="20"/>
          <w:szCs w:val="20"/>
        </w:rPr>
        <w:t xml:space="preserve">An assessment of whether the proposed planning provisions make proper use of the Victoria Planning Provisions and are prepared and presented in accordance with the Ministerial Direction on </w:t>
      </w:r>
      <w:r w:rsidRPr="000947CB">
        <w:rPr>
          <w:i/>
          <w:sz w:val="20"/>
          <w:szCs w:val="20"/>
        </w:rPr>
        <w:t>The Form and Content of Planning Schemes</w:t>
      </w:r>
      <w:r w:rsidRPr="00EC1209">
        <w:rPr>
          <w:sz w:val="20"/>
          <w:szCs w:val="20"/>
        </w:rPr>
        <w:t>.</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Review Panel will provide an opportunity for any person who requests to be heard through the submission process to present to it. Submitters are not required to have formal representation at the hearing. </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Review Panel may limit the time of parties appearing before it using the following time frames as a guide: </w:t>
      </w:r>
    </w:p>
    <w:p w:rsidR="00613E7F" w:rsidRPr="00613E7F" w:rsidRDefault="00613E7F" w:rsidP="000947CB">
      <w:pPr>
        <w:pStyle w:val="ToRAlphaPara"/>
        <w:numPr>
          <w:ilvl w:val="0"/>
          <w:numId w:val="24"/>
        </w:numPr>
        <w:ind w:left="1134" w:hanging="425"/>
        <w:rPr>
          <w:sz w:val="20"/>
          <w:szCs w:val="20"/>
        </w:rPr>
      </w:pPr>
      <w:r w:rsidRPr="00613E7F">
        <w:rPr>
          <w:sz w:val="20"/>
          <w:szCs w:val="20"/>
        </w:rPr>
        <w:t>Local council – 3 hours</w:t>
      </w:r>
    </w:p>
    <w:p w:rsidR="00613E7F" w:rsidRPr="00613E7F" w:rsidRDefault="00613E7F" w:rsidP="000947CB">
      <w:pPr>
        <w:pStyle w:val="ToRAlphaPara"/>
        <w:numPr>
          <w:ilvl w:val="0"/>
          <w:numId w:val="24"/>
        </w:numPr>
        <w:ind w:left="1134" w:hanging="425"/>
        <w:rPr>
          <w:sz w:val="20"/>
          <w:szCs w:val="20"/>
        </w:rPr>
      </w:pPr>
      <w:r w:rsidRPr="00613E7F">
        <w:rPr>
          <w:sz w:val="20"/>
          <w:szCs w:val="20"/>
        </w:rPr>
        <w:t>Land owner – 2-3 hours</w:t>
      </w:r>
    </w:p>
    <w:p w:rsidR="00613E7F" w:rsidRPr="00613E7F" w:rsidRDefault="00613E7F" w:rsidP="000947CB">
      <w:pPr>
        <w:pStyle w:val="ToRAlphaPara"/>
        <w:numPr>
          <w:ilvl w:val="0"/>
          <w:numId w:val="24"/>
        </w:numPr>
        <w:ind w:left="1134" w:hanging="425"/>
        <w:rPr>
          <w:sz w:val="20"/>
          <w:szCs w:val="20"/>
        </w:rPr>
      </w:pPr>
      <w:r w:rsidRPr="00613E7F">
        <w:rPr>
          <w:sz w:val="20"/>
          <w:szCs w:val="20"/>
        </w:rPr>
        <w:t>Agency or statutory authority – 1 hour</w:t>
      </w:r>
    </w:p>
    <w:p w:rsidR="00613E7F" w:rsidRPr="00613E7F" w:rsidRDefault="00613E7F" w:rsidP="000947CB">
      <w:pPr>
        <w:pStyle w:val="ToRAlphaPara"/>
        <w:numPr>
          <w:ilvl w:val="0"/>
          <w:numId w:val="24"/>
        </w:numPr>
        <w:ind w:left="1134" w:hanging="425"/>
        <w:rPr>
          <w:sz w:val="20"/>
          <w:szCs w:val="20"/>
        </w:rPr>
      </w:pPr>
      <w:r w:rsidRPr="00613E7F">
        <w:rPr>
          <w:sz w:val="20"/>
          <w:szCs w:val="20"/>
        </w:rPr>
        <w:t>Community Group – 1 hour</w:t>
      </w:r>
    </w:p>
    <w:p w:rsidR="00613E7F" w:rsidRPr="00613E7F" w:rsidRDefault="00613E7F" w:rsidP="000947CB">
      <w:pPr>
        <w:pStyle w:val="ToRAlphaPara"/>
        <w:numPr>
          <w:ilvl w:val="0"/>
          <w:numId w:val="24"/>
        </w:numPr>
        <w:ind w:left="1134" w:hanging="425"/>
        <w:rPr>
          <w:sz w:val="20"/>
          <w:szCs w:val="20"/>
        </w:rPr>
      </w:pPr>
      <w:r w:rsidRPr="00613E7F">
        <w:rPr>
          <w:sz w:val="20"/>
          <w:szCs w:val="20"/>
        </w:rPr>
        <w:t>Individual – 30 minutes</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Review Panel may at its discretion: </w:t>
      </w:r>
    </w:p>
    <w:p w:rsidR="00613E7F" w:rsidRPr="00613E7F" w:rsidRDefault="00613E7F" w:rsidP="000947CB">
      <w:pPr>
        <w:pStyle w:val="ToRAlphaPara"/>
        <w:numPr>
          <w:ilvl w:val="0"/>
          <w:numId w:val="25"/>
        </w:numPr>
        <w:ind w:left="1134" w:hanging="425"/>
        <w:rPr>
          <w:sz w:val="20"/>
          <w:szCs w:val="20"/>
        </w:rPr>
      </w:pPr>
      <w:r w:rsidRPr="00613E7F">
        <w:rPr>
          <w:sz w:val="20"/>
          <w:szCs w:val="20"/>
        </w:rPr>
        <w:t>Limit the time for presentation of evidence by witnesses.</w:t>
      </w:r>
    </w:p>
    <w:p w:rsidR="00613E7F" w:rsidRPr="00613E7F" w:rsidRDefault="00613E7F" w:rsidP="000947CB">
      <w:pPr>
        <w:pStyle w:val="ToRAlphaPara"/>
        <w:numPr>
          <w:ilvl w:val="0"/>
          <w:numId w:val="25"/>
        </w:numPr>
        <w:ind w:left="1134" w:hanging="425"/>
        <w:rPr>
          <w:sz w:val="20"/>
          <w:szCs w:val="20"/>
        </w:rPr>
      </w:pPr>
      <w:r w:rsidRPr="00613E7F">
        <w:rPr>
          <w:sz w:val="20"/>
          <w:szCs w:val="20"/>
        </w:rPr>
        <w:t>Control cross examination of witnesses, including by prohibition of cross examination in appropriate circumstances.</w:t>
      </w:r>
    </w:p>
    <w:p w:rsidR="00613E7F" w:rsidRPr="00613E7F" w:rsidRDefault="00613E7F" w:rsidP="000947CB">
      <w:pPr>
        <w:pStyle w:val="ToRAlphaPara"/>
        <w:numPr>
          <w:ilvl w:val="0"/>
          <w:numId w:val="25"/>
        </w:numPr>
        <w:ind w:left="1134" w:hanging="425"/>
        <w:rPr>
          <w:sz w:val="20"/>
          <w:szCs w:val="20"/>
        </w:rPr>
      </w:pPr>
      <w:r w:rsidRPr="00613E7F">
        <w:rPr>
          <w:sz w:val="20"/>
          <w:szCs w:val="20"/>
        </w:rPr>
        <w:t>Conduct concurrent hearings on matters as determined by the Review Panel where, in its opinion, no submitter who wishes to participate in the hearing is likely to be unfairly prejudiced by concurrent hearings.</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Submissions are public documents</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The Review Panel must retain a library of any written submissions or other supporting documentation provided directly to it until a decision has been made on its report or five years has passed from the time of its appointment.</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Any written submissions or other supporting documentation provided to the Review Panel must be available for public inspection until the submission of its report, unless the Review Panel specifically directs that the material is to remain ‘in camera’.</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All information will be made publicly available online</w:t>
      </w:r>
      <w:r w:rsidRPr="00EC1209">
        <w:rPr>
          <w:rFonts w:eastAsia="Times"/>
          <w:sz w:val="20"/>
          <w:szCs w:val="20"/>
        </w:rPr>
        <w:t xml:space="preserve"> </w:t>
      </w:r>
      <w:r w:rsidRPr="00613E7F">
        <w:rPr>
          <w:rFonts w:eastAsia="Times"/>
          <w:sz w:val="20"/>
          <w:szCs w:val="20"/>
        </w:rPr>
        <w:t>where consent has been given.</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Outcomes</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Review Panel must produce a written report for the Minister for Planning. </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The report is to be produced following the conclusion of the public hearing on the planning scheme amendment and is to provide the following:</w:t>
      </w:r>
    </w:p>
    <w:p w:rsidR="00613E7F" w:rsidRPr="00613E7F" w:rsidRDefault="00613E7F" w:rsidP="000947CB">
      <w:pPr>
        <w:pStyle w:val="ToRAlphaPara"/>
        <w:numPr>
          <w:ilvl w:val="0"/>
          <w:numId w:val="26"/>
        </w:numPr>
        <w:ind w:left="1134" w:hanging="425"/>
        <w:rPr>
          <w:sz w:val="20"/>
          <w:szCs w:val="20"/>
        </w:rPr>
      </w:pPr>
      <w:r w:rsidRPr="00613E7F">
        <w:rPr>
          <w:sz w:val="20"/>
          <w:szCs w:val="20"/>
        </w:rPr>
        <w:t xml:space="preserve">A summary of the Review Panel’s reasons for recommending (or otherwise) amendments to the proposed planning scheme amendment. </w:t>
      </w:r>
    </w:p>
    <w:p w:rsidR="00613E7F" w:rsidRPr="00613E7F" w:rsidRDefault="00613E7F" w:rsidP="000947CB">
      <w:pPr>
        <w:pStyle w:val="ToRAlphaPara"/>
        <w:numPr>
          <w:ilvl w:val="0"/>
          <w:numId w:val="26"/>
        </w:numPr>
        <w:ind w:left="1134" w:hanging="425"/>
        <w:rPr>
          <w:sz w:val="20"/>
          <w:szCs w:val="20"/>
        </w:rPr>
      </w:pPr>
      <w:r w:rsidRPr="00613E7F">
        <w:rPr>
          <w:sz w:val="20"/>
          <w:szCs w:val="20"/>
        </w:rPr>
        <w:t xml:space="preserve">A track change version of the proposed planning scheme schedules and clauses. </w:t>
      </w:r>
    </w:p>
    <w:p w:rsidR="00613E7F" w:rsidRPr="00613E7F" w:rsidRDefault="00613E7F" w:rsidP="000947CB">
      <w:pPr>
        <w:pStyle w:val="ToRAlphaPara"/>
        <w:numPr>
          <w:ilvl w:val="0"/>
          <w:numId w:val="26"/>
        </w:numPr>
        <w:ind w:left="1134" w:hanging="425"/>
        <w:rPr>
          <w:sz w:val="20"/>
          <w:szCs w:val="20"/>
        </w:rPr>
      </w:pPr>
      <w:r w:rsidRPr="00613E7F">
        <w:rPr>
          <w:sz w:val="20"/>
          <w:szCs w:val="20"/>
        </w:rPr>
        <w:t>Any additional recommendations for amendments to the proposed Capital City Zone Schedule.</w:t>
      </w:r>
    </w:p>
    <w:p w:rsidR="00613E7F" w:rsidRPr="00613E7F" w:rsidRDefault="00613E7F" w:rsidP="000947CB">
      <w:pPr>
        <w:pStyle w:val="ToRAlphaPara"/>
        <w:numPr>
          <w:ilvl w:val="0"/>
          <w:numId w:val="26"/>
        </w:numPr>
        <w:ind w:left="1134" w:hanging="425"/>
        <w:rPr>
          <w:sz w:val="20"/>
          <w:szCs w:val="20"/>
        </w:rPr>
      </w:pPr>
      <w:r w:rsidRPr="00613E7F">
        <w:rPr>
          <w:sz w:val="20"/>
          <w:szCs w:val="20"/>
        </w:rPr>
        <w:t xml:space="preserve">Any additional recommendations for amendments to all other proposed planning scheme changes sought by the planning scheme amendment. </w:t>
      </w:r>
    </w:p>
    <w:p w:rsidR="00613E7F" w:rsidRPr="00613E7F" w:rsidRDefault="00613E7F" w:rsidP="000947CB">
      <w:pPr>
        <w:pStyle w:val="ToRAlphaPara"/>
        <w:numPr>
          <w:ilvl w:val="0"/>
          <w:numId w:val="26"/>
        </w:numPr>
        <w:ind w:left="1134" w:hanging="425"/>
        <w:rPr>
          <w:sz w:val="20"/>
          <w:szCs w:val="20"/>
        </w:rPr>
      </w:pPr>
      <w:r w:rsidRPr="00613E7F">
        <w:rPr>
          <w:sz w:val="20"/>
          <w:szCs w:val="20"/>
        </w:rPr>
        <w:t xml:space="preserve">Any changes required to the draft Fishermans Bend Framework as a result of recommendations made to the planning scheme amendment.  </w:t>
      </w:r>
    </w:p>
    <w:p w:rsidR="00613E7F" w:rsidRPr="00613E7F" w:rsidRDefault="00613E7F" w:rsidP="000947CB">
      <w:pPr>
        <w:pStyle w:val="ToRAlphaPara"/>
        <w:numPr>
          <w:ilvl w:val="0"/>
          <w:numId w:val="26"/>
        </w:numPr>
        <w:ind w:left="1134" w:hanging="425"/>
        <w:rPr>
          <w:sz w:val="20"/>
          <w:szCs w:val="20"/>
        </w:rPr>
      </w:pPr>
      <w:r w:rsidRPr="00613E7F">
        <w:rPr>
          <w:sz w:val="20"/>
          <w:szCs w:val="20"/>
        </w:rPr>
        <w:t xml:space="preserve">A summary of all submitters heard that presented on matters outside the consideration of the Review Panel. </w:t>
      </w:r>
    </w:p>
    <w:p w:rsidR="00EC1209" w:rsidRDefault="00EC1209">
      <w:pPr>
        <w:spacing w:before="0"/>
        <w:jc w:val="left"/>
        <w:rPr>
          <w:rFonts w:ascii="Arial" w:eastAsia="Times" w:hAnsi="Arial" w:cs="Arial"/>
          <w:sz w:val="20"/>
          <w:szCs w:val="20"/>
        </w:rPr>
      </w:pPr>
      <w:r>
        <w:rPr>
          <w:sz w:val="20"/>
          <w:szCs w:val="20"/>
        </w:rPr>
        <w:br w:type="page"/>
      </w:r>
    </w:p>
    <w:p w:rsidR="00613E7F" w:rsidRPr="00613E7F" w:rsidRDefault="00613E7F" w:rsidP="000947CB">
      <w:pPr>
        <w:pStyle w:val="ToRAlphaPara"/>
        <w:numPr>
          <w:ilvl w:val="0"/>
          <w:numId w:val="26"/>
        </w:numPr>
        <w:ind w:left="1134" w:hanging="425"/>
        <w:rPr>
          <w:sz w:val="20"/>
          <w:szCs w:val="20"/>
        </w:rPr>
      </w:pPr>
      <w:r w:rsidRPr="00613E7F">
        <w:rPr>
          <w:sz w:val="20"/>
          <w:szCs w:val="20"/>
        </w:rPr>
        <w:lastRenderedPageBreak/>
        <w:t>A list of persons who made submissions considered by the Review Panel.</w:t>
      </w:r>
    </w:p>
    <w:p w:rsidR="00613E7F" w:rsidRPr="00613E7F" w:rsidRDefault="00613E7F" w:rsidP="000947CB">
      <w:pPr>
        <w:pStyle w:val="ToRAlphaPara"/>
        <w:numPr>
          <w:ilvl w:val="0"/>
          <w:numId w:val="26"/>
        </w:numPr>
        <w:ind w:left="1134" w:hanging="425"/>
        <w:rPr>
          <w:sz w:val="20"/>
          <w:szCs w:val="20"/>
        </w:rPr>
      </w:pPr>
      <w:r w:rsidRPr="00613E7F">
        <w:rPr>
          <w:sz w:val="20"/>
          <w:szCs w:val="20"/>
        </w:rPr>
        <w:t xml:space="preserve">A list of persons consulted or heard. </w:t>
      </w:r>
    </w:p>
    <w:p w:rsidR="00613E7F" w:rsidRPr="00EC1209" w:rsidRDefault="00613E7F" w:rsidP="000947CB">
      <w:pPr>
        <w:pStyle w:val="ToRNumberedPara"/>
        <w:numPr>
          <w:ilvl w:val="0"/>
          <w:numId w:val="21"/>
        </w:numPr>
        <w:ind w:left="360"/>
        <w:rPr>
          <w:rFonts w:eastAsia="Times"/>
          <w:sz w:val="20"/>
          <w:szCs w:val="20"/>
        </w:rPr>
      </w:pPr>
      <w:r w:rsidRPr="00EC1209">
        <w:rPr>
          <w:rFonts w:eastAsia="Times"/>
          <w:sz w:val="20"/>
          <w:szCs w:val="20"/>
        </w:rPr>
        <w:t>The report will be publicly released at the discretion on the Minister for Planning.</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Timing</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The Review Panel is required to attend public briefings by the Fishermans Bend Taskforce on date as agreed.</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Review Panel is required to commence the public hearing on the planning scheme amendment no later than week of 5 February 2018, or as agreed. </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Review Panel is required to submit its report in writing as soon as practicable but no later than 40 business days from the completion of the hearing. </w:t>
      </w: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Fee</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 xml:space="preserve">The fee for the Review Panel will be set at the current rate for a Panel appointed under Part 8 of the </w:t>
      </w:r>
      <w:r w:rsidRPr="000947CB">
        <w:rPr>
          <w:rFonts w:eastAsia="Times"/>
          <w:i/>
          <w:sz w:val="20"/>
          <w:szCs w:val="20"/>
        </w:rPr>
        <w:t>Planning and Environment Act 1987</w:t>
      </w:r>
      <w:r w:rsidRPr="00613E7F">
        <w:rPr>
          <w:rFonts w:eastAsia="Times"/>
          <w:sz w:val="20"/>
          <w:szCs w:val="20"/>
        </w:rPr>
        <w:t>.</w:t>
      </w:r>
    </w:p>
    <w:p w:rsidR="00613E7F" w:rsidRPr="00613E7F" w:rsidRDefault="00613E7F" w:rsidP="000947CB">
      <w:pPr>
        <w:pStyle w:val="ToRNumberedPara"/>
        <w:numPr>
          <w:ilvl w:val="0"/>
          <w:numId w:val="21"/>
        </w:numPr>
        <w:ind w:left="360"/>
        <w:rPr>
          <w:rFonts w:eastAsia="Times"/>
          <w:sz w:val="20"/>
          <w:szCs w:val="20"/>
        </w:rPr>
      </w:pPr>
      <w:r w:rsidRPr="00613E7F">
        <w:rPr>
          <w:rFonts w:eastAsia="Times"/>
          <w:sz w:val="20"/>
          <w:szCs w:val="20"/>
        </w:rPr>
        <w:t>The costs of the Review Panel will be met by the Fishermans Bend Taskforce of the Department of Environ</w:t>
      </w:r>
      <w:r w:rsidR="00161D97">
        <w:rPr>
          <w:rFonts w:eastAsia="Times"/>
          <w:sz w:val="20"/>
          <w:szCs w:val="20"/>
        </w:rPr>
        <w:t>ment, Land, Water and Planning.</w:t>
      </w:r>
    </w:p>
    <w:p w:rsidR="00613E7F" w:rsidRPr="00613E7F" w:rsidRDefault="00726576" w:rsidP="00726576">
      <w:pPr>
        <w:spacing w:before="0"/>
        <w:ind w:left="-426"/>
        <w:jc w:val="left"/>
        <w:rPr>
          <w:rFonts w:ascii="Arial" w:hAnsi="Arial" w:cs="Arial"/>
          <w:sz w:val="20"/>
          <w:szCs w:val="20"/>
        </w:rPr>
      </w:pPr>
      <w:r>
        <w:rPr>
          <w:rFonts w:ascii="Arial" w:hAnsi="Arial" w:cs="Arial"/>
          <w:noProof/>
          <w:sz w:val="20"/>
          <w:szCs w:val="20"/>
        </w:rPr>
        <w:drawing>
          <wp:inline distT="0" distB="0" distL="0" distR="0">
            <wp:extent cx="2731770" cy="133815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igTOR_Oct.jpg"/>
                    <pic:cNvPicPr/>
                  </pic:nvPicPr>
                  <pic:blipFill rotWithShape="1">
                    <a:blip r:embed="rId53" cstate="print">
                      <a:extLst>
                        <a:ext uri="{28A0092B-C50C-407E-A947-70E740481C1C}">
                          <a14:useLocalDpi xmlns:a14="http://schemas.microsoft.com/office/drawing/2010/main" val="0"/>
                        </a:ext>
                      </a:extLst>
                    </a:blip>
                    <a:srcRect l="5230" t="39679" r="57979" b="47579"/>
                    <a:stretch/>
                  </pic:blipFill>
                  <pic:spPr bwMode="auto">
                    <a:xfrm>
                      <a:off x="0" y="0"/>
                      <a:ext cx="2739757" cy="1342064"/>
                    </a:xfrm>
                    <a:prstGeom prst="rect">
                      <a:avLst/>
                    </a:prstGeom>
                    <a:ln>
                      <a:noFill/>
                    </a:ln>
                    <a:extLst>
                      <a:ext uri="{53640926-AAD7-44D8-BBD7-CCE9431645EC}">
                        <a14:shadowObscured xmlns:a14="http://schemas.microsoft.com/office/drawing/2010/main"/>
                      </a:ext>
                    </a:extLst>
                  </pic:spPr>
                </pic:pic>
              </a:graphicData>
            </a:graphic>
          </wp:inline>
        </w:drawing>
      </w:r>
      <w:r w:rsidR="00613E7F" w:rsidRPr="00613E7F">
        <w:rPr>
          <w:rFonts w:ascii="Arial" w:hAnsi="Arial" w:cs="Arial"/>
          <w:sz w:val="20"/>
          <w:szCs w:val="20"/>
        </w:rPr>
        <w:br w:type="page"/>
      </w:r>
    </w:p>
    <w:p w:rsidR="00613E7F" w:rsidRPr="00613E7F" w:rsidRDefault="00613E7F" w:rsidP="00613E7F">
      <w:pPr>
        <w:spacing w:before="0"/>
        <w:jc w:val="left"/>
        <w:rPr>
          <w:rFonts w:ascii="Arial" w:hAnsi="Arial" w:cs="Arial"/>
          <w:sz w:val="20"/>
          <w:szCs w:val="20"/>
        </w:rPr>
      </w:pPr>
      <w:r w:rsidRPr="00613E7F">
        <w:rPr>
          <w:rFonts w:ascii="Arial" w:hAnsi="Arial" w:cs="Arial"/>
          <w:sz w:val="20"/>
          <w:szCs w:val="20"/>
        </w:rPr>
        <w:lastRenderedPageBreak/>
        <w:t>The following information does not form part the Terms of Reference.</w:t>
      </w:r>
    </w:p>
    <w:p w:rsidR="00613E7F" w:rsidRPr="00613E7F" w:rsidRDefault="00613E7F" w:rsidP="00613E7F">
      <w:pPr>
        <w:spacing w:before="0"/>
        <w:jc w:val="left"/>
        <w:rPr>
          <w:rFonts w:ascii="Arial" w:hAnsi="Arial" w:cs="Arial"/>
          <w:sz w:val="20"/>
          <w:szCs w:val="20"/>
        </w:rPr>
      </w:pPr>
    </w:p>
    <w:p w:rsidR="00613E7F" w:rsidRPr="00613E7F" w:rsidRDefault="00613E7F" w:rsidP="00613E7F">
      <w:pPr>
        <w:keepNext/>
        <w:spacing w:before="240" w:after="120"/>
        <w:jc w:val="left"/>
        <w:rPr>
          <w:rFonts w:ascii="Arial" w:hAnsi="Arial" w:cs="Arial"/>
          <w:b/>
          <w:noProof/>
          <w:snapToGrid w:val="0"/>
          <w:spacing w:val="-6"/>
        </w:rPr>
      </w:pPr>
      <w:r w:rsidRPr="00613E7F">
        <w:rPr>
          <w:rFonts w:ascii="Arial" w:hAnsi="Arial" w:cs="Arial"/>
          <w:b/>
          <w:noProof/>
          <w:snapToGrid w:val="0"/>
          <w:spacing w:val="-6"/>
        </w:rPr>
        <w:t>Project Management</w:t>
      </w:r>
    </w:p>
    <w:p w:rsidR="00613E7F" w:rsidRPr="00613E7F" w:rsidRDefault="00613E7F" w:rsidP="000947CB">
      <w:pPr>
        <w:numPr>
          <w:ilvl w:val="0"/>
          <w:numId w:val="19"/>
        </w:numPr>
        <w:spacing w:before="0" w:after="40"/>
        <w:ind w:left="709" w:hanging="352"/>
        <w:jc w:val="left"/>
        <w:rPr>
          <w:rFonts w:ascii="Arial" w:eastAsia="Times" w:hAnsi="Arial" w:cs="Arial"/>
          <w:sz w:val="20"/>
          <w:szCs w:val="20"/>
        </w:rPr>
      </w:pPr>
      <w:r w:rsidRPr="00613E7F">
        <w:rPr>
          <w:rFonts w:ascii="Arial" w:eastAsia="Times" w:hAnsi="Arial" w:cs="Arial"/>
          <w:sz w:val="20"/>
          <w:szCs w:val="20"/>
        </w:rPr>
        <w:t xml:space="preserve">Administrative and operational support to the Review Panel will be provided by Fawn Goodall, Statutory Planner, the Department of Environment, Land, Water and Planning, 9948 2857 and </w:t>
      </w:r>
      <w:hyperlink r:id="rId54" w:history="1">
        <w:r w:rsidRPr="00613E7F">
          <w:rPr>
            <w:rFonts w:ascii="Arial" w:eastAsia="Times" w:hAnsi="Arial" w:cs="Arial"/>
            <w:color w:val="132F8A"/>
            <w:sz w:val="20"/>
            <w:szCs w:val="20"/>
            <w:u w:val="single"/>
          </w:rPr>
          <w:t>fawn.goodall@delwp.vic.gov.au</w:t>
        </w:r>
      </w:hyperlink>
    </w:p>
    <w:p w:rsidR="00613E7F" w:rsidRPr="00161D97" w:rsidRDefault="00613E7F" w:rsidP="000947CB">
      <w:pPr>
        <w:numPr>
          <w:ilvl w:val="0"/>
          <w:numId w:val="19"/>
        </w:numPr>
        <w:spacing w:before="0" w:after="60"/>
        <w:ind w:left="709" w:hanging="352"/>
        <w:contextualSpacing/>
        <w:jc w:val="left"/>
        <w:rPr>
          <w:rFonts w:ascii="Arial" w:eastAsia="Times" w:hAnsi="Arial" w:cs="Arial"/>
          <w:sz w:val="20"/>
          <w:szCs w:val="20"/>
        </w:rPr>
      </w:pPr>
      <w:r w:rsidRPr="00613E7F">
        <w:rPr>
          <w:rFonts w:ascii="Arial" w:eastAsia="Times" w:hAnsi="Arial" w:cs="Arial"/>
          <w:sz w:val="20"/>
          <w:szCs w:val="20"/>
        </w:rPr>
        <w:t>Day to day liaison for the Review Panel will be through Andrea Harwood, Senior Project Manager, of Planning Panels Victoria on 8392 5123, andrea.harwood@delwp.vic.gov.au</w:t>
      </w:r>
    </w:p>
    <w:p w:rsidR="00613E7F" w:rsidRDefault="00613E7F" w:rsidP="00613E7F"/>
    <w:p w:rsidR="00613E7F" w:rsidRDefault="00613E7F" w:rsidP="00613E7F">
      <w:pPr>
        <w:sectPr w:rsidR="00613E7F" w:rsidSect="00726576">
          <w:pgSz w:w="11906" w:h="16838" w:code="9"/>
          <w:pgMar w:top="1792" w:right="1134" w:bottom="426" w:left="1134" w:header="720" w:footer="692" w:gutter="0"/>
          <w:cols w:space="708"/>
          <w:docGrid w:linePitch="360"/>
        </w:sectPr>
      </w:pPr>
    </w:p>
    <w:p w:rsidR="00607994" w:rsidRPr="00A90F8A" w:rsidRDefault="00475C1E" w:rsidP="008B68A1">
      <w:pPr>
        <w:pStyle w:val="PPVAppendixHeading1"/>
        <w:rPr>
          <w:rFonts w:asciiTheme="minorHAnsi" w:hAnsiTheme="minorHAnsi"/>
        </w:rPr>
      </w:pPr>
      <w:bookmarkStart w:id="1248" w:name="_Toc519710346"/>
      <w:bookmarkStart w:id="1249" w:name="_Toc519766906"/>
      <w:r w:rsidRPr="00A90F8A">
        <w:rPr>
          <w:rFonts w:asciiTheme="minorHAnsi" w:hAnsiTheme="minorHAnsi"/>
        </w:rPr>
        <w:lastRenderedPageBreak/>
        <w:t>Appendix B:</w:t>
      </w:r>
      <w:r w:rsidRPr="00A90F8A">
        <w:rPr>
          <w:rFonts w:asciiTheme="minorHAnsi" w:hAnsiTheme="minorHAnsi"/>
        </w:rPr>
        <w:tab/>
      </w:r>
      <w:r w:rsidR="00223FC9" w:rsidRPr="00A90F8A">
        <w:rPr>
          <w:rFonts w:asciiTheme="minorHAnsi" w:hAnsiTheme="minorHAnsi"/>
        </w:rPr>
        <w:t>Submitters</w:t>
      </w:r>
      <w:r w:rsidR="004335DE" w:rsidRPr="00A90F8A">
        <w:rPr>
          <w:rFonts w:asciiTheme="minorHAnsi" w:hAnsiTheme="minorHAnsi"/>
        </w:rPr>
        <w:t xml:space="preserve"> to the Amendment</w:t>
      </w:r>
      <w:bookmarkEnd w:id="1248"/>
      <w:bookmarkEnd w:id="1249"/>
    </w:p>
    <w:tbl>
      <w:tblPr>
        <w:tblW w:w="9180" w:type="dxa"/>
        <w:tblBorders>
          <w:bottom w:val="single" w:sz="4" w:space="0" w:color="auto"/>
          <w:insideH w:val="dotted" w:sz="4" w:space="0" w:color="auto"/>
        </w:tblBorders>
        <w:tblLayout w:type="fixed"/>
        <w:tblLook w:val="04A0" w:firstRow="1" w:lastRow="0" w:firstColumn="1" w:lastColumn="0" w:noHBand="0" w:noVBand="1"/>
      </w:tblPr>
      <w:tblGrid>
        <w:gridCol w:w="1101"/>
        <w:gridCol w:w="3261"/>
        <w:gridCol w:w="1081"/>
        <w:gridCol w:w="3737"/>
      </w:tblGrid>
      <w:tr w:rsidR="00554E10" w:rsidRPr="00A90F8A" w:rsidTr="00554E10">
        <w:trPr>
          <w:cantSplit/>
          <w:tblHeader/>
        </w:trPr>
        <w:tc>
          <w:tcPr>
            <w:tcW w:w="1101" w:type="dxa"/>
            <w:shd w:val="clear" w:color="auto" w:fill="215868"/>
            <w:vAlign w:val="bottom"/>
            <w:hideMark/>
          </w:tcPr>
          <w:p w:rsidR="00554E10" w:rsidRPr="00A90F8A" w:rsidRDefault="00554E10" w:rsidP="00554E10">
            <w:pPr>
              <w:pStyle w:val="PPVTableHeader"/>
              <w:rPr>
                <w:rFonts w:asciiTheme="minorHAnsi" w:hAnsiTheme="minorHAnsi"/>
              </w:rPr>
            </w:pPr>
            <w:r w:rsidRPr="00A90F8A">
              <w:rPr>
                <w:rFonts w:asciiTheme="minorHAnsi" w:hAnsiTheme="minorHAnsi"/>
              </w:rPr>
              <w:t>No.</w:t>
            </w:r>
          </w:p>
        </w:tc>
        <w:tc>
          <w:tcPr>
            <w:tcW w:w="3261" w:type="dxa"/>
            <w:shd w:val="clear" w:color="auto" w:fill="215868"/>
            <w:vAlign w:val="bottom"/>
            <w:hideMark/>
          </w:tcPr>
          <w:p w:rsidR="00554E10" w:rsidRPr="00A90F8A" w:rsidRDefault="00554E10" w:rsidP="00554E10">
            <w:pPr>
              <w:pStyle w:val="PPVTableHeader"/>
              <w:rPr>
                <w:rFonts w:asciiTheme="minorHAnsi" w:hAnsiTheme="minorHAnsi"/>
              </w:rPr>
            </w:pPr>
            <w:r w:rsidRPr="00A90F8A">
              <w:rPr>
                <w:rFonts w:asciiTheme="minorHAnsi" w:hAnsiTheme="minorHAnsi"/>
              </w:rPr>
              <w:t>Submitter</w:t>
            </w:r>
          </w:p>
        </w:tc>
        <w:tc>
          <w:tcPr>
            <w:tcW w:w="1081" w:type="dxa"/>
            <w:shd w:val="clear" w:color="auto" w:fill="215868"/>
            <w:vAlign w:val="bottom"/>
            <w:hideMark/>
          </w:tcPr>
          <w:p w:rsidR="00554E10" w:rsidRPr="00A90F8A" w:rsidRDefault="00554E10" w:rsidP="00554E10">
            <w:pPr>
              <w:pStyle w:val="PPVTableHeader"/>
              <w:rPr>
                <w:rFonts w:asciiTheme="minorHAnsi" w:hAnsiTheme="minorHAnsi"/>
              </w:rPr>
            </w:pPr>
            <w:r w:rsidRPr="00A90F8A">
              <w:rPr>
                <w:rFonts w:asciiTheme="minorHAnsi" w:hAnsiTheme="minorHAnsi"/>
              </w:rPr>
              <w:t>No</w:t>
            </w:r>
          </w:p>
        </w:tc>
        <w:tc>
          <w:tcPr>
            <w:tcW w:w="3737" w:type="dxa"/>
            <w:shd w:val="clear" w:color="auto" w:fill="215868"/>
            <w:vAlign w:val="bottom"/>
            <w:hideMark/>
          </w:tcPr>
          <w:p w:rsidR="00554E10" w:rsidRPr="00A90F8A" w:rsidRDefault="00554E10" w:rsidP="00554E10">
            <w:pPr>
              <w:pStyle w:val="PPVTableHeader"/>
              <w:rPr>
                <w:rFonts w:asciiTheme="minorHAnsi" w:hAnsiTheme="minorHAnsi"/>
              </w:rPr>
            </w:pPr>
            <w:r w:rsidRPr="00A90F8A">
              <w:rPr>
                <w:rFonts w:asciiTheme="minorHAnsi" w:hAnsiTheme="minorHAnsi"/>
              </w:rPr>
              <w:t>Submitter</w:t>
            </w:r>
          </w:p>
        </w:tc>
      </w:tr>
      <w:tr w:rsidR="00CC07AB" w:rsidRPr="00A90F8A" w:rsidTr="00162307">
        <w:trPr>
          <w:cantSplit/>
        </w:trPr>
        <w:tc>
          <w:tcPr>
            <w:tcW w:w="1101" w:type="dxa"/>
            <w:vAlign w:val="center"/>
            <w:hideMark/>
          </w:tcPr>
          <w:p w:rsidR="00CC07AB" w:rsidRPr="00A90F8A" w:rsidRDefault="00CC07AB" w:rsidP="00554E10">
            <w:pPr>
              <w:pStyle w:val="PPVTableText"/>
              <w:rPr>
                <w:rFonts w:asciiTheme="minorHAnsi" w:hAnsiTheme="minorHAnsi"/>
                <w:szCs w:val="20"/>
              </w:rPr>
            </w:pPr>
            <w:r w:rsidRPr="00A90F8A">
              <w:rPr>
                <w:rFonts w:asciiTheme="minorHAnsi" w:hAnsiTheme="minorHAnsi"/>
                <w:szCs w:val="20"/>
              </w:rPr>
              <w:t>1</w:t>
            </w:r>
          </w:p>
        </w:tc>
        <w:tc>
          <w:tcPr>
            <w:tcW w:w="3261" w:type="dxa"/>
            <w:vAlign w:val="center"/>
          </w:tcPr>
          <w:p w:rsidR="00CC07AB" w:rsidRPr="00B1080D" w:rsidRDefault="00CC07AB" w:rsidP="00CC07AB">
            <w:pPr>
              <w:pStyle w:val="PPVTableText"/>
              <w:rPr>
                <w:rFonts w:asciiTheme="minorHAnsi" w:hAnsiTheme="minorHAnsi"/>
                <w:szCs w:val="20"/>
              </w:rPr>
            </w:pPr>
            <w:r w:rsidRPr="00B1080D">
              <w:rPr>
                <w:rFonts w:asciiTheme="minorHAnsi" w:hAnsiTheme="minorHAnsi"/>
                <w:szCs w:val="20"/>
              </w:rPr>
              <w:t>Cameron Cook</w:t>
            </w:r>
          </w:p>
        </w:tc>
        <w:tc>
          <w:tcPr>
            <w:tcW w:w="1081" w:type="dxa"/>
            <w:vAlign w:val="center"/>
          </w:tcPr>
          <w:p w:rsidR="00CC07AB" w:rsidRPr="00B1080D" w:rsidRDefault="00CC07AB" w:rsidP="00554E10">
            <w:pPr>
              <w:pStyle w:val="PPVTableText"/>
              <w:rPr>
                <w:rFonts w:asciiTheme="minorHAnsi" w:hAnsiTheme="minorHAnsi"/>
                <w:szCs w:val="20"/>
              </w:rPr>
            </w:pPr>
            <w:r w:rsidRPr="00B1080D">
              <w:rPr>
                <w:rFonts w:asciiTheme="minorHAnsi" w:hAnsiTheme="minorHAnsi"/>
                <w:szCs w:val="20"/>
              </w:rPr>
              <w:t>129</w:t>
            </w:r>
          </w:p>
        </w:tc>
        <w:tc>
          <w:tcPr>
            <w:tcW w:w="3737" w:type="dxa"/>
            <w:vAlign w:val="center"/>
          </w:tcPr>
          <w:p w:rsidR="00CC07AB" w:rsidRPr="00B1080D" w:rsidRDefault="0013526F" w:rsidP="00554E10">
            <w:pPr>
              <w:pStyle w:val="PPVTableText"/>
              <w:rPr>
                <w:rFonts w:asciiTheme="minorHAnsi" w:hAnsiTheme="minorHAnsi"/>
                <w:szCs w:val="20"/>
              </w:rPr>
            </w:pPr>
            <w:r w:rsidRPr="00B1080D">
              <w:rPr>
                <w:rFonts w:asciiTheme="minorHAnsi" w:hAnsiTheme="minorHAnsi"/>
                <w:szCs w:val="20"/>
              </w:rPr>
              <w:t xml:space="preserve">Prof </w:t>
            </w:r>
            <w:r w:rsidR="00374E11" w:rsidRPr="00B1080D">
              <w:rPr>
                <w:rFonts w:asciiTheme="minorHAnsi" w:hAnsiTheme="minorHAnsi"/>
                <w:szCs w:val="20"/>
              </w:rPr>
              <w:t>E</w:t>
            </w:r>
            <w:r w:rsidR="00673475" w:rsidRPr="00B1080D">
              <w:rPr>
                <w:rFonts w:asciiTheme="minorHAnsi" w:hAnsiTheme="minorHAnsi"/>
                <w:szCs w:val="20"/>
              </w:rPr>
              <w:t>douard Collins Nice</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Christine Griffiths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130</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VCHQ2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Andrew Brown</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131</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The Jane Property Group</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4</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Gavin O'Meara</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132</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Dennis and Katrina O'Hara</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David Landgren</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133</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Kevin and Cheryl Johnson</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Water Polo Victoria</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134</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Port o</w:t>
            </w:r>
            <w:r w:rsidR="00696FE7" w:rsidRPr="00B1080D">
              <w:rPr>
                <w:rFonts w:asciiTheme="minorHAnsi" w:hAnsiTheme="minorHAnsi"/>
                <w:color w:val="000000"/>
                <w:szCs w:val="20"/>
              </w:rPr>
              <w:t>f Melbourne Operations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Ross Mulcahy</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135</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BEG Developments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Gloria Rosemary Fellows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136</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Bellamia Nominees Pty Ltd &amp; PCLC Investment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Residents of 437</w:t>
            </w:r>
            <w:r w:rsidR="00A80B82">
              <w:rPr>
                <w:rFonts w:asciiTheme="minorHAnsi" w:hAnsiTheme="minorHAnsi"/>
                <w:szCs w:val="20"/>
              </w:rPr>
              <w:t xml:space="preserve"> – </w:t>
            </w:r>
            <w:r w:rsidRPr="00B1080D">
              <w:rPr>
                <w:rFonts w:asciiTheme="minorHAnsi" w:hAnsiTheme="minorHAnsi"/>
                <w:szCs w:val="20"/>
              </w:rPr>
              <w:t>514 Bay Street, Montague Precinct</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137</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202N Pty Ltd</w:t>
            </w:r>
          </w:p>
        </w:tc>
      </w:tr>
      <w:tr w:rsidR="00CC07AB" w:rsidRPr="00A90F8A" w:rsidTr="00162307">
        <w:trPr>
          <w:cantSplit/>
        </w:trPr>
        <w:tc>
          <w:tcPr>
            <w:tcW w:w="1101" w:type="dxa"/>
            <w:vAlign w:val="center"/>
            <w:hideMark/>
          </w:tcPr>
          <w:p w:rsidR="00CC07AB" w:rsidRPr="00A90F8A" w:rsidRDefault="00CC07AB" w:rsidP="00554E10">
            <w:pPr>
              <w:pStyle w:val="PPVTableText"/>
              <w:rPr>
                <w:rFonts w:asciiTheme="minorHAnsi" w:hAnsiTheme="minorHAnsi"/>
                <w:szCs w:val="20"/>
              </w:rPr>
            </w:pPr>
            <w:r w:rsidRPr="00A90F8A">
              <w:rPr>
                <w:rFonts w:asciiTheme="minorHAnsi" w:hAnsiTheme="minorHAnsi"/>
                <w:szCs w:val="20"/>
              </w:rPr>
              <w:t>10</w:t>
            </w:r>
          </w:p>
        </w:tc>
        <w:tc>
          <w:tcPr>
            <w:tcW w:w="3261" w:type="dxa"/>
            <w:vAlign w:val="center"/>
          </w:tcPr>
          <w:p w:rsidR="00CC07AB" w:rsidRPr="00B1080D" w:rsidRDefault="00CC07AB" w:rsidP="00CC07AB">
            <w:pPr>
              <w:pStyle w:val="PPVTableText"/>
              <w:rPr>
                <w:rFonts w:asciiTheme="minorHAnsi" w:hAnsiTheme="minorHAnsi"/>
                <w:szCs w:val="20"/>
              </w:rPr>
            </w:pPr>
            <w:r w:rsidRPr="00B1080D">
              <w:rPr>
                <w:rFonts w:asciiTheme="minorHAnsi" w:hAnsiTheme="minorHAnsi"/>
                <w:szCs w:val="20"/>
              </w:rPr>
              <w:t>Friends of Westgate Park Inc.</w:t>
            </w:r>
          </w:p>
        </w:tc>
        <w:tc>
          <w:tcPr>
            <w:tcW w:w="1081" w:type="dxa"/>
            <w:vAlign w:val="center"/>
          </w:tcPr>
          <w:p w:rsidR="00CC07AB" w:rsidRPr="00B1080D" w:rsidRDefault="00CC07AB" w:rsidP="00554E10">
            <w:pPr>
              <w:pStyle w:val="PPVTableText"/>
              <w:rPr>
                <w:rFonts w:asciiTheme="minorHAnsi" w:hAnsiTheme="minorHAnsi"/>
                <w:szCs w:val="20"/>
              </w:rPr>
            </w:pPr>
            <w:r w:rsidRPr="00B1080D">
              <w:rPr>
                <w:rFonts w:asciiTheme="minorHAnsi" w:hAnsiTheme="minorHAnsi"/>
                <w:szCs w:val="20"/>
              </w:rPr>
              <w:t>138</w:t>
            </w:r>
          </w:p>
        </w:tc>
        <w:tc>
          <w:tcPr>
            <w:tcW w:w="3737" w:type="dxa"/>
            <w:vAlign w:val="center"/>
          </w:tcPr>
          <w:p w:rsidR="00CC07AB" w:rsidRPr="00B1080D" w:rsidRDefault="00673475" w:rsidP="00673475">
            <w:pPr>
              <w:jc w:val="left"/>
              <w:rPr>
                <w:rFonts w:asciiTheme="minorHAnsi" w:hAnsiTheme="minorHAnsi"/>
                <w:color w:val="000000"/>
                <w:sz w:val="20"/>
                <w:szCs w:val="20"/>
              </w:rPr>
            </w:pPr>
            <w:r w:rsidRPr="00B1080D">
              <w:rPr>
                <w:rFonts w:asciiTheme="minorHAnsi" w:hAnsiTheme="minorHAnsi"/>
                <w:color w:val="000000"/>
                <w:sz w:val="20"/>
                <w:szCs w:val="20"/>
              </w:rPr>
              <w:t>Richard Oldfield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11</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Owen Bentley</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139</w:t>
            </w:r>
          </w:p>
        </w:tc>
        <w:tc>
          <w:tcPr>
            <w:tcW w:w="3737" w:type="dxa"/>
            <w:vAlign w:val="center"/>
          </w:tcPr>
          <w:p w:rsidR="00673475" w:rsidRPr="00B1080D" w:rsidRDefault="00673475" w:rsidP="00673475">
            <w:pPr>
              <w:pStyle w:val="PPVTableText"/>
              <w:rPr>
                <w:rFonts w:asciiTheme="minorHAnsi" w:hAnsiTheme="minorHAnsi"/>
                <w:szCs w:val="20"/>
              </w:rPr>
            </w:pPr>
            <w:r w:rsidRPr="00B1080D">
              <w:rPr>
                <w:rFonts w:asciiTheme="minorHAnsi" w:hAnsiTheme="minorHAnsi"/>
                <w:color w:val="000000"/>
                <w:szCs w:val="20"/>
              </w:rPr>
              <w:t>Comm</w:t>
            </w:r>
            <w:r w:rsidR="00696FE7" w:rsidRPr="00B1080D">
              <w:rPr>
                <w:rFonts w:asciiTheme="minorHAnsi" w:hAnsiTheme="minorHAnsi"/>
                <w:color w:val="000000"/>
                <w:szCs w:val="20"/>
              </w:rPr>
              <w:t>unity Alliance of Port Phillip</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12</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Willy Tanuwidjaja</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140</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Victorian Transport Association</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13</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Kimberley Rea</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141</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Kador Group Holdings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14</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Karen</w:t>
            </w:r>
            <w:r w:rsidR="00D45296" w:rsidRPr="00B1080D">
              <w:rPr>
                <w:rFonts w:asciiTheme="minorHAnsi" w:hAnsiTheme="minorHAnsi"/>
                <w:szCs w:val="20"/>
              </w:rPr>
              <w:t xml:space="preserve"> and</w:t>
            </w:r>
            <w:r w:rsidRPr="00B1080D">
              <w:rPr>
                <w:rFonts w:asciiTheme="minorHAnsi" w:hAnsiTheme="minorHAnsi"/>
                <w:szCs w:val="20"/>
              </w:rPr>
              <w:t xml:space="preserve"> Keith Sutherland</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142</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South Port Community Housing Group Inc.</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15</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 xml:space="preserve">Yarra River Business Association Inc. </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143</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Wadhawan Holdings Pty Ltd</w:t>
            </w:r>
          </w:p>
        </w:tc>
      </w:tr>
      <w:tr w:rsidR="00CC07AB" w:rsidRPr="00A90F8A" w:rsidTr="00162307">
        <w:trPr>
          <w:cantSplit/>
        </w:trPr>
        <w:tc>
          <w:tcPr>
            <w:tcW w:w="1101" w:type="dxa"/>
            <w:vAlign w:val="center"/>
            <w:hideMark/>
          </w:tcPr>
          <w:p w:rsidR="00CC07AB" w:rsidRPr="00A90F8A" w:rsidRDefault="00CC07AB" w:rsidP="00554E10">
            <w:pPr>
              <w:pStyle w:val="PPVTableText"/>
              <w:rPr>
                <w:rFonts w:asciiTheme="minorHAnsi" w:hAnsiTheme="minorHAnsi"/>
                <w:szCs w:val="20"/>
              </w:rPr>
            </w:pPr>
            <w:r w:rsidRPr="00A90F8A">
              <w:rPr>
                <w:rFonts w:asciiTheme="minorHAnsi" w:hAnsiTheme="minorHAnsi"/>
                <w:szCs w:val="20"/>
              </w:rPr>
              <w:t>16</w:t>
            </w:r>
          </w:p>
        </w:tc>
        <w:tc>
          <w:tcPr>
            <w:tcW w:w="3261" w:type="dxa"/>
            <w:vAlign w:val="center"/>
          </w:tcPr>
          <w:p w:rsidR="00CC07AB" w:rsidRPr="00B1080D" w:rsidRDefault="00CC07AB" w:rsidP="00CC07AB">
            <w:pPr>
              <w:pStyle w:val="PPVTableText"/>
              <w:rPr>
                <w:rFonts w:asciiTheme="minorHAnsi" w:hAnsiTheme="minorHAnsi"/>
                <w:szCs w:val="20"/>
              </w:rPr>
            </w:pPr>
            <w:r w:rsidRPr="00B1080D">
              <w:rPr>
                <w:rFonts w:asciiTheme="minorHAnsi" w:hAnsiTheme="minorHAnsi"/>
                <w:szCs w:val="20"/>
              </w:rPr>
              <w:t>Allen Gravier</w:t>
            </w:r>
          </w:p>
        </w:tc>
        <w:tc>
          <w:tcPr>
            <w:tcW w:w="1081" w:type="dxa"/>
            <w:vAlign w:val="center"/>
          </w:tcPr>
          <w:p w:rsidR="00CC07AB" w:rsidRPr="00B1080D" w:rsidRDefault="00CC07AB" w:rsidP="00554E10">
            <w:pPr>
              <w:pStyle w:val="PPVTableText"/>
              <w:rPr>
                <w:rFonts w:asciiTheme="minorHAnsi" w:hAnsiTheme="minorHAnsi"/>
                <w:szCs w:val="20"/>
              </w:rPr>
            </w:pPr>
            <w:r w:rsidRPr="00B1080D">
              <w:rPr>
                <w:rFonts w:asciiTheme="minorHAnsi" w:hAnsiTheme="minorHAnsi"/>
                <w:szCs w:val="20"/>
              </w:rPr>
              <w:t>144</w:t>
            </w:r>
          </w:p>
        </w:tc>
        <w:tc>
          <w:tcPr>
            <w:tcW w:w="3737" w:type="dxa"/>
            <w:vAlign w:val="center"/>
          </w:tcPr>
          <w:p w:rsidR="00CC07AB" w:rsidRPr="00B1080D" w:rsidRDefault="00673475" w:rsidP="00554E10">
            <w:pPr>
              <w:pStyle w:val="PPVTableText"/>
              <w:rPr>
                <w:rFonts w:asciiTheme="minorHAnsi" w:hAnsiTheme="minorHAnsi"/>
                <w:szCs w:val="20"/>
              </w:rPr>
            </w:pPr>
            <w:r w:rsidRPr="00B1080D">
              <w:rPr>
                <w:rFonts w:asciiTheme="minorHAnsi" w:hAnsiTheme="minorHAnsi"/>
                <w:szCs w:val="20"/>
              </w:rPr>
              <w:t>Kim H</w:t>
            </w:r>
            <w:r w:rsidR="00BE09EF">
              <w:rPr>
                <w:rFonts w:asciiTheme="minorHAnsi" w:hAnsiTheme="minorHAnsi"/>
                <w:szCs w:val="20"/>
              </w:rPr>
              <w:t>elyer</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17</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Elmarn Pty Ltd</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145</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J&amp;D Bowen (Port Melbourne) Pty Ltd and Bowen &amp; Pomeroy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Gayle Roberts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146</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Alpha 14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Salta Properties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147</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Hanson Construction Materials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20</w:t>
            </w:r>
          </w:p>
        </w:tc>
        <w:tc>
          <w:tcPr>
            <w:tcW w:w="3261" w:type="dxa"/>
            <w:vAlign w:val="center"/>
          </w:tcPr>
          <w:p w:rsidR="00673475" w:rsidRPr="00B1080D" w:rsidRDefault="00673475" w:rsidP="00CC07AB">
            <w:pPr>
              <w:pStyle w:val="PPVTableText"/>
              <w:rPr>
                <w:rFonts w:asciiTheme="minorHAnsi" w:hAnsiTheme="minorHAnsi"/>
                <w:szCs w:val="20"/>
              </w:rPr>
            </w:pPr>
            <w:r w:rsidRPr="00B1080D">
              <w:rPr>
                <w:rFonts w:asciiTheme="minorHAnsi" w:hAnsiTheme="minorHAnsi"/>
                <w:szCs w:val="20"/>
              </w:rPr>
              <w:t>Michael Perrott</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148</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 xml:space="preserve">Planning Institute Australia </w:t>
            </w:r>
            <w:r w:rsidR="00492A43" w:rsidRPr="00B1080D">
              <w:rPr>
                <w:rFonts w:asciiTheme="minorHAnsi" w:hAnsiTheme="minorHAnsi"/>
                <w:color w:val="000000"/>
                <w:szCs w:val="20"/>
              </w:rPr>
              <w:t>–</w:t>
            </w:r>
            <w:r w:rsidRPr="00B1080D">
              <w:rPr>
                <w:rFonts w:asciiTheme="minorHAnsi" w:hAnsiTheme="minorHAnsi"/>
                <w:color w:val="000000"/>
                <w:szCs w:val="20"/>
              </w:rPr>
              <w:t xml:space="preserve"> Victoria</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21</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Isabelle Bisinella</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149</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Goodman</w:t>
            </w:r>
          </w:p>
        </w:tc>
      </w:tr>
      <w:tr w:rsidR="004F626C" w:rsidRPr="00A90F8A" w:rsidTr="00162307">
        <w:trPr>
          <w:cantSplit/>
        </w:trPr>
        <w:tc>
          <w:tcPr>
            <w:tcW w:w="1101" w:type="dxa"/>
            <w:vAlign w:val="center"/>
            <w:hideMark/>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22</w:t>
            </w:r>
          </w:p>
        </w:tc>
        <w:tc>
          <w:tcPr>
            <w:tcW w:w="3261" w:type="dxa"/>
            <w:vAlign w:val="center"/>
          </w:tcPr>
          <w:p w:rsidR="004F626C" w:rsidRPr="00B1080D" w:rsidRDefault="004F626C" w:rsidP="00554E10">
            <w:pPr>
              <w:pStyle w:val="PPVTableText"/>
              <w:rPr>
                <w:rFonts w:asciiTheme="minorHAnsi" w:hAnsiTheme="minorHAnsi"/>
                <w:szCs w:val="20"/>
              </w:rPr>
            </w:pPr>
            <w:r w:rsidRPr="00B1080D">
              <w:rPr>
                <w:rFonts w:asciiTheme="minorHAnsi" w:hAnsiTheme="minorHAnsi"/>
                <w:color w:val="000000"/>
                <w:szCs w:val="20"/>
              </w:rPr>
              <w:t>Danielle McCaffrey, Glen Robertson, Bronwyn McNamara</w:t>
            </w:r>
          </w:p>
        </w:tc>
        <w:tc>
          <w:tcPr>
            <w:tcW w:w="1081" w:type="dxa"/>
            <w:vAlign w:val="center"/>
          </w:tcPr>
          <w:p w:rsidR="004F626C" w:rsidRPr="00B1080D" w:rsidRDefault="004F626C" w:rsidP="00554E10">
            <w:pPr>
              <w:pStyle w:val="PPVTableText"/>
              <w:rPr>
                <w:rFonts w:asciiTheme="minorHAnsi" w:hAnsiTheme="minorHAnsi"/>
                <w:szCs w:val="20"/>
              </w:rPr>
            </w:pPr>
            <w:r w:rsidRPr="00B1080D">
              <w:rPr>
                <w:rFonts w:asciiTheme="minorHAnsi" w:hAnsiTheme="minorHAnsi"/>
                <w:szCs w:val="20"/>
              </w:rPr>
              <w:t>150</w:t>
            </w:r>
          </w:p>
        </w:tc>
        <w:tc>
          <w:tcPr>
            <w:tcW w:w="3737" w:type="dxa"/>
            <w:vAlign w:val="center"/>
          </w:tcPr>
          <w:p w:rsidR="004F626C" w:rsidRPr="00B1080D" w:rsidRDefault="00673475" w:rsidP="00554E10">
            <w:pPr>
              <w:pStyle w:val="PPVTableText"/>
              <w:rPr>
                <w:rFonts w:asciiTheme="minorHAnsi" w:hAnsiTheme="minorHAnsi"/>
                <w:szCs w:val="20"/>
              </w:rPr>
            </w:pPr>
            <w:r w:rsidRPr="00B1080D">
              <w:rPr>
                <w:rFonts w:asciiTheme="minorHAnsi" w:hAnsiTheme="minorHAnsi"/>
                <w:szCs w:val="20"/>
              </w:rPr>
              <w:t>Frank Walker and Sel Reklaw Pty Ltd</w:t>
            </w:r>
          </w:p>
        </w:tc>
      </w:tr>
      <w:tr w:rsidR="004F626C" w:rsidRPr="00A90F8A" w:rsidTr="00162307">
        <w:trPr>
          <w:cantSplit/>
        </w:trPr>
        <w:tc>
          <w:tcPr>
            <w:tcW w:w="1101" w:type="dxa"/>
            <w:vAlign w:val="center"/>
            <w:hideMark/>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23</w:t>
            </w:r>
          </w:p>
        </w:tc>
        <w:tc>
          <w:tcPr>
            <w:tcW w:w="326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color w:val="000000"/>
                <w:szCs w:val="20"/>
              </w:rPr>
              <w:t>William Tolis</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151</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David McCausland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24</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Luhson Tan</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152</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AECOM</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25</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Ella Crotty and Emma Tranchina</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153</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City of Port Phillip</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26</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Jason, Hannah, John, Robert and Megan</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154</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Victoria International Container Terminal Limited</w:t>
            </w:r>
          </w:p>
        </w:tc>
      </w:tr>
      <w:tr w:rsidR="004F626C" w:rsidRPr="00A90F8A" w:rsidTr="00162307">
        <w:trPr>
          <w:cantSplit/>
        </w:trPr>
        <w:tc>
          <w:tcPr>
            <w:tcW w:w="1101" w:type="dxa"/>
            <w:vAlign w:val="center"/>
            <w:hideMark/>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27</w:t>
            </w:r>
          </w:p>
        </w:tc>
        <w:tc>
          <w:tcPr>
            <w:tcW w:w="326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color w:val="000000"/>
                <w:szCs w:val="20"/>
              </w:rPr>
              <w:t>Gemma Romijn</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155</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Gilly Davis</w:t>
            </w:r>
          </w:p>
        </w:tc>
      </w:tr>
      <w:tr w:rsidR="004F626C" w:rsidRPr="00A90F8A" w:rsidTr="00162307">
        <w:trPr>
          <w:cantSplit/>
        </w:trPr>
        <w:tc>
          <w:tcPr>
            <w:tcW w:w="1101" w:type="dxa"/>
            <w:vAlign w:val="center"/>
            <w:hideMark/>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28</w:t>
            </w:r>
          </w:p>
        </w:tc>
        <w:tc>
          <w:tcPr>
            <w:tcW w:w="326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color w:val="000000"/>
                <w:szCs w:val="20"/>
              </w:rPr>
              <w:t>Rebecca Marcs</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156</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Jopsal Pty Ltd</w:t>
            </w:r>
          </w:p>
        </w:tc>
      </w:tr>
      <w:tr w:rsidR="004F626C" w:rsidRPr="00A90F8A" w:rsidTr="00162307">
        <w:trPr>
          <w:cantSplit/>
        </w:trPr>
        <w:tc>
          <w:tcPr>
            <w:tcW w:w="1101" w:type="dxa"/>
            <w:vAlign w:val="center"/>
            <w:hideMark/>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29</w:t>
            </w:r>
          </w:p>
        </w:tc>
        <w:tc>
          <w:tcPr>
            <w:tcW w:w="326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color w:val="000000"/>
                <w:szCs w:val="20"/>
              </w:rPr>
              <w:t>Anita Maria Horvath</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157</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APN DF2 Project 1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30</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Keith Sutherland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158</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Essendon Airport Pty ltd</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31</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Robert Horner</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159</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Cycling Victoria</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lastRenderedPageBreak/>
              <w:t>32</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Rodney Reginald Watson</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160</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South East Water</w:t>
            </w:r>
          </w:p>
        </w:tc>
      </w:tr>
      <w:tr w:rsidR="004F626C" w:rsidRPr="00A90F8A" w:rsidTr="00162307">
        <w:trPr>
          <w:cantSplit/>
        </w:trPr>
        <w:tc>
          <w:tcPr>
            <w:tcW w:w="1101" w:type="dxa"/>
            <w:vAlign w:val="center"/>
            <w:hideMark/>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33</w:t>
            </w:r>
          </w:p>
        </w:tc>
        <w:tc>
          <w:tcPr>
            <w:tcW w:w="326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color w:val="000000"/>
                <w:szCs w:val="20"/>
              </w:rPr>
              <w:t>Hisaaki Nagao</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161</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John Thatcher</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34</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Zoe Sorensen</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162</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Lorimer Place Owners Corporation C/o Human Habitats</w:t>
            </w:r>
          </w:p>
        </w:tc>
      </w:tr>
      <w:tr w:rsidR="00673475" w:rsidRPr="00A90F8A" w:rsidTr="00162307">
        <w:trPr>
          <w:cantSplit/>
        </w:trPr>
        <w:tc>
          <w:tcPr>
            <w:tcW w:w="1101" w:type="dxa"/>
            <w:vAlign w:val="center"/>
            <w:hideMark/>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35</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Bernadene Voss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163</w:t>
            </w:r>
          </w:p>
        </w:tc>
        <w:tc>
          <w:tcPr>
            <w:tcW w:w="3737" w:type="dxa"/>
            <w:vAlign w:val="center"/>
          </w:tcPr>
          <w:p w:rsidR="00673475" w:rsidRPr="00A90F8A" w:rsidRDefault="00475C1E" w:rsidP="00554E10">
            <w:pPr>
              <w:pStyle w:val="PPVTableText"/>
              <w:rPr>
                <w:rFonts w:asciiTheme="minorHAnsi" w:hAnsiTheme="minorHAnsi"/>
                <w:szCs w:val="20"/>
              </w:rPr>
            </w:pPr>
            <w:r w:rsidRPr="00A90F8A">
              <w:rPr>
                <w:rFonts w:asciiTheme="minorHAnsi" w:hAnsiTheme="minorHAnsi"/>
                <w:color w:val="000000"/>
                <w:szCs w:val="20"/>
              </w:rPr>
              <w:t>Barro Group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36</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Claric Ninety Nine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164</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Marlton Investments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37</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Claric 178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165</w:t>
            </w:r>
          </w:p>
        </w:tc>
        <w:tc>
          <w:tcPr>
            <w:tcW w:w="3737" w:type="dxa"/>
            <w:vAlign w:val="center"/>
          </w:tcPr>
          <w:p w:rsidR="00673475" w:rsidRPr="00A90F8A" w:rsidRDefault="00475C1E" w:rsidP="00554E10">
            <w:pPr>
              <w:pStyle w:val="PPVTableText"/>
              <w:rPr>
                <w:rFonts w:asciiTheme="minorHAnsi" w:hAnsiTheme="minorHAnsi"/>
                <w:szCs w:val="20"/>
              </w:rPr>
            </w:pPr>
            <w:r w:rsidRPr="00A90F8A">
              <w:rPr>
                <w:rFonts w:asciiTheme="minorHAnsi" w:hAnsiTheme="minorHAnsi"/>
                <w:color w:val="000000"/>
                <w:szCs w:val="20"/>
              </w:rPr>
              <w:t>Barro Group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38</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Adrianne Walton</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166</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Docklands Chamber of Commerce</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39</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Rohan Bentley</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167</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One Smart Pty Ltd</w:t>
            </w:r>
          </w:p>
        </w:tc>
      </w:tr>
      <w:tr w:rsidR="004F626C" w:rsidRPr="00A90F8A" w:rsidTr="00162307">
        <w:trPr>
          <w:cantSplit/>
        </w:trPr>
        <w:tc>
          <w:tcPr>
            <w:tcW w:w="110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40</w:t>
            </w:r>
          </w:p>
        </w:tc>
        <w:tc>
          <w:tcPr>
            <w:tcW w:w="326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color w:val="000000"/>
                <w:szCs w:val="20"/>
              </w:rPr>
              <w:t>CBRE</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168</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Meike Wagenhoff</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41</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Yarra Edge Class Action Committee</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169</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Teller Group</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42</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Geoff &amp; Susan Spooner</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170</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Cement Concrete &amp; Aggregates Australia</w:t>
            </w:r>
          </w:p>
        </w:tc>
      </w:tr>
      <w:tr w:rsidR="004F626C" w:rsidRPr="00A90F8A" w:rsidTr="00162307">
        <w:trPr>
          <w:cantSplit/>
        </w:trPr>
        <w:tc>
          <w:tcPr>
            <w:tcW w:w="110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43</w:t>
            </w:r>
          </w:p>
        </w:tc>
        <w:tc>
          <w:tcPr>
            <w:tcW w:w="3261" w:type="dxa"/>
            <w:vAlign w:val="center"/>
          </w:tcPr>
          <w:p w:rsidR="004F626C" w:rsidRPr="00A90F8A" w:rsidRDefault="004F626C" w:rsidP="004F626C">
            <w:pPr>
              <w:pStyle w:val="PPVTableText"/>
              <w:rPr>
                <w:rFonts w:asciiTheme="minorHAnsi" w:hAnsiTheme="minorHAnsi"/>
                <w:szCs w:val="20"/>
              </w:rPr>
            </w:pPr>
            <w:r w:rsidRPr="00A90F8A">
              <w:rPr>
                <w:rFonts w:asciiTheme="minorHAnsi" w:hAnsiTheme="minorHAnsi"/>
                <w:szCs w:val="20"/>
              </w:rPr>
              <w:t>Shaun Mc</w:t>
            </w:r>
            <w:r w:rsidR="00BE09EF">
              <w:rPr>
                <w:rFonts w:asciiTheme="minorHAnsi" w:hAnsiTheme="minorHAnsi"/>
                <w:szCs w:val="20"/>
              </w:rPr>
              <w:t>C</w:t>
            </w:r>
            <w:r w:rsidRPr="00A90F8A">
              <w:rPr>
                <w:rFonts w:asciiTheme="minorHAnsi" w:hAnsiTheme="minorHAnsi"/>
                <w:szCs w:val="20"/>
              </w:rPr>
              <w:t>arthy</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171</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Sue Mason</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44</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Tom Warwick</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172</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One Smart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45</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Roger G Joyce</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173</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EPC Pacific Pty Ltd</w:t>
            </w:r>
          </w:p>
        </w:tc>
      </w:tr>
      <w:tr w:rsidR="004F626C" w:rsidRPr="00A90F8A" w:rsidTr="00162307">
        <w:trPr>
          <w:cantSplit/>
        </w:trPr>
        <w:tc>
          <w:tcPr>
            <w:tcW w:w="110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46</w:t>
            </w:r>
          </w:p>
        </w:tc>
        <w:tc>
          <w:tcPr>
            <w:tcW w:w="3261" w:type="dxa"/>
            <w:vAlign w:val="center"/>
          </w:tcPr>
          <w:p w:rsidR="004F626C" w:rsidRPr="00A90F8A" w:rsidRDefault="004F626C" w:rsidP="004F626C">
            <w:pPr>
              <w:pStyle w:val="PPVTableText"/>
              <w:rPr>
                <w:rFonts w:asciiTheme="minorHAnsi" w:hAnsiTheme="minorHAnsi"/>
                <w:szCs w:val="20"/>
              </w:rPr>
            </w:pPr>
            <w:r w:rsidRPr="00A90F8A">
              <w:rPr>
                <w:rFonts w:asciiTheme="minorHAnsi" w:hAnsiTheme="minorHAnsi"/>
                <w:szCs w:val="20"/>
              </w:rPr>
              <w:t>Peter Robert Hirst</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174</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Stephen Grech</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47</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Irene Elizabeth Hirst</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175</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CitiPower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48</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Michael Williams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176</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Australian Institute of Architects</w:t>
            </w:r>
          </w:p>
        </w:tc>
      </w:tr>
      <w:tr w:rsidR="004F626C" w:rsidRPr="00A90F8A" w:rsidTr="00162307">
        <w:trPr>
          <w:cantSplit/>
        </w:trPr>
        <w:tc>
          <w:tcPr>
            <w:tcW w:w="110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49</w:t>
            </w:r>
          </w:p>
        </w:tc>
        <w:tc>
          <w:tcPr>
            <w:tcW w:w="3261" w:type="dxa"/>
            <w:vAlign w:val="center"/>
          </w:tcPr>
          <w:p w:rsidR="004F626C" w:rsidRPr="00B1080D" w:rsidRDefault="004F626C" w:rsidP="004F626C">
            <w:pPr>
              <w:pStyle w:val="PPVTableText"/>
              <w:rPr>
                <w:rFonts w:asciiTheme="minorHAnsi" w:hAnsiTheme="minorHAnsi"/>
                <w:szCs w:val="20"/>
              </w:rPr>
            </w:pPr>
            <w:r w:rsidRPr="00B1080D">
              <w:rPr>
                <w:rFonts w:asciiTheme="minorHAnsi" w:hAnsiTheme="minorHAnsi"/>
                <w:szCs w:val="20"/>
              </w:rPr>
              <w:t>Steve Kohler</w:t>
            </w:r>
          </w:p>
        </w:tc>
        <w:tc>
          <w:tcPr>
            <w:tcW w:w="1081" w:type="dxa"/>
            <w:vAlign w:val="center"/>
          </w:tcPr>
          <w:p w:rsidR="004F626C" w:rsidRPr="00B1080D" w:rsidRDefault="004F626C" w:rsidP="00554E10">
            <w:pPr>
              <w:pStyle w:val="PPVTableText"/>
              <w:rPr>
                <w:rFonts w:asciiTheme="minorHAnsi" w:hAnsiTheme="minorHAnsi"/>
                <w:szCs w:val="20"/>
              </w:rPr>
            </w:pPr>
            <w:r w:rsidRPr="00B1080D">
              <w:rPr>
                <w:rFonts w:asciiTheme="minorHAnsi" w:hAnsiTheme="minorHAnsi"/>
                <w:szCs w:val="20"/>
              </w:rPr>
              <w:t>177</w:t>
            </w:r>
          </w:p>
        </w:tc>
        <w:tc>
          <w:tcPr>
            <w:tcW w:w="3737" w:type="dxa"/>
            <w:vAlign w:val="center"/>
          </w:tcPr>
          <w:p w:rsidR="004F626C" w:rsidRPr="00B1080D" w:rsidRDefault="00673475" w:rsidP="00673475">
            <w:pPr>
              <w:jc w:val="left"/>
              <w:rPr>
                <w:rFonts w:asciiTheme="minorHAnsi" w:hAnsiTheme="minorHAnsi"/>
                <w:color w:val="000000"/>
                <w:sz w:val="20"/>
                <w:szCs w:val="20"/>
              </w:rPr>
            </w:pPr>
            <w:r w:rsidRPr="00B1080D">
              <w:rPr>
                <w:rFonts w:asciiTheme="minorHAnsi" w:hAnsiTheme="minorHAnsi"/>
                <w:color w:val="000000"/>
                <w:sz w:val="20"/>
                <w:szCs w:val="20"/>
              </w:rPr>
              <w:t>Kerrin Wilson</w:t>
            </w:r>
          </w:p>
        </w:tc>
      </w:tr>
      <w:tr w:rsidR="004F626C" w:rsidRPr="00A90F8A" w:rsidTr="00162307">
        <w:trPr>
          <w:cantSplit/>
        </w:trPr>
        <w:tc>
          <w:tcPr>
            <w:tcW w:w="110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50</w:t>
            </w:r>
          </w:p>
        </w:tc>
        <w:tc>
          <w:tcPr>
            <w:tcW w:w="3261" w:type="dxa"/>
            <w:vAlign w:val="center"/>
          </w:tcPr>
          <w:p w:rsidR="004F626C" w:rsidRPr="00B1080D" w:rsidRDefault="004F626C" w:rsidP="004F626C">
            <w:pPr>
              <w:pStyle w:val="PPVTableText"/>
              <w:rPr>
                <w:rFonts w:asciiTheme="minorHAnsi" w:hAnsiTheme="minorHAnsi"/>
                <w:szCs w:val="20"/>
              </w:rPr>
            </w:pPr>
            <w:r w:rsidRPr="00B1080D">
              <w:rPr>
                <w:rFonts w:asciiTheme="minorHAnsi" w:hAnsiTheme="minorHAnsi"/>
                <w:szCs w:val="20"/>
              </w:rPr>
              <w:t>Joshua Ciechanowski</w:t>
            </w:r>
          </w:p>
        </w:tc>
        <w:tc>
          <w:tcPr>
            <w:tcW w:w="1081" w:type="dxa"/>
            <w:vAlign w:val="center"/>
          </w:tcPr>
          <w:p w:rsidR="004F626C" w:rsidRPr="00B1080D" w:rsidRDefault="004F626C" w:rsidP="00554E10">
            <w:pPr>
              <w:pStyle w:val="PPVTableText"/>
              <w:rPr>
                <w:rFonts w:asciiTheme="minorHAnsi" w:hAnsiTheme="minorHAnsi"/>
                <w:szCs w:val="20"/>
              </w:rPr>
            </w:pPr>
            <w:r w:rsidRPr="00B1080D">
              <w:rPr>
                <w:rFonts w:asciiTheme="minorHAnsi" w:hAnsiTheme="minorHAnsi"/>
                <w:szCs w:val="20"/>
              </w:rPr>
              <w:t>178</w:t>
            </w:r>
          </w:p>
        </w:tc>
        <w:tc>
          <w:tcPr>
            <w:tcW w:w="3737" w:type="dxa"/>
            <w:vAlign w:val="center"/>
          </w:tcPr>
          <w:p w:rsidR="004F626C" w:rsidRPr="00B1080D" w:rsidRDefault="00673475" w:rsidP="00554E10">
            <w:pPr>
              <w:pStyle w:val="PPVTableText"/>
              <w:rPr>
                <w:rFonts w:asciiTheme="minorHAnsi" w:hAnsiTheme="minorHAnsi"/>
                <w:szCs w:val="20"/>
              </w:rPr>
            </w:pPr>
            <w:r w:rsidRPr="00B1080D">
              <w:rPr>
                <w:rFonts w:asciiTheme="minorHAnsi" w:hAnsiTheme="minorHAnsi"/>
                <w:szCs w:val="20"/>
              </w:rPr>
              <w:t>Soundfirm</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51</w:t>
            </w:r>
          </w:p>
        </w:tc>
        <w:tc>
          <w:tcPr>
            <w:tcW w:w="3261" w:type="dxa"/>
            <w:vAlign w:val="center"/>
          </w:tcPr>
          <w:p w:rsidR="00673475" w:rsidRPr="00B1080D" w:rsidRDefault="00673475" w:rsidP="004F626C">
            <w:pPr>
              <w:pStyle w:val="PPVTableText"/>
              <w:rPr>
                <w:rFonts w:asciiTheme="minorHAnsi" w:hAnsiTheme="minorHAnsi"/>
                <w:szCs w:val="20"/>
              </w:rPr>
            </w:pPr>
            <w:r w:rsidRPr="00B1080D">
              <w:rPr>
                <w:rFonts w:asciiTheme="minorHAnsi" w:hAnsiTheme="minorHAnsi"/>
                <w:szCs w:val="20"/>
              </w:rPr>
              <w:t>Linda Lellman</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179</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2"/>
              </w:rPr>
              <w:t>ID Williamstown Road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52</w:t>
            </w:r>
          </w:p>
        </w:tc>
        <w:tc>
          <w:tcPr>
            <w:tcW w:w="3261" w:type="dxa"/>
            <w:vAlign w:val="center"/>
          </w:tcPr>
          <w:p w:rsidR="00673475" w:rsidRPr="00B1080D" w:rsidRDefault="00673475" w:rsidP="004F626C">
            <w:pPr>
              <w:pStyle w:val="PPVTableText"/>
              <w:rPr>
                <w:rFonts w:asciiTheme="minorHAnsi" w:hAnsiTheme="minorHAnsi"/>
                <w:szCs w:val="20"/>
              </w:rPr>
            </w:pPr>
            <w:r w:rsidRPr="00B1080D">
              <w:rPr>
                <w:rFonts w:asciiTheme="minorHAnsi" w:hAnsiTheme="minorHAnsi"/>
                <w:szCs w:val="20"/>
              </w:rPr>
              <w:t>Derek Cheung</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180</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2"/>
              </w:rPr>
              <w:t>Delta Group</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53</w:t>
            </w:r>
          </w:p>
        </w:tc>
        <w:tc>
          <w:tcPr>
            <w:tcW w:w="3261" w:type="dxa"/>
            <w:vAlign w:val="center"/>
          </w:tcPr>
          <w:p w:rsidR="00673475" w:rsidRPr="00B1080D" w:rsidRDefault="00673475" w:rsidP="004F626C">
            <w:pPr>
              <w:pStyle w:val="PPVTableText"/>
              <w:rPr>
                <w:rFonts w:asciiTheme="minorHAnsi" w:hAnsiTheme="minorHAnsi"/>
                <w:szCs w:val="20"/>
              </w:rPr>
            </w:pPr>
            <w:r w:rsidRPr="00B1080D">
              <w:rPr>
                <w:rFonts w:asciiTheme="minorHAnsi" w:hAnsiTheme="minorHAnsi"/>
                <w:szCs w:val="20"/>
              </w:rPr>
              <w:t>Alex Njoo</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181</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2"/>
              </w:rPr>
              <w:t>J &amp; D Bowen</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54</w:t>
            </w:r>
          </w:p>
        </w:tc>
        <w:tc>
          <w:tcPr>
            <w:tcW w:w="3261" w:type="dxa"/>
            <w:vAlign w:val="center"/>
          </w:tcPr>
          <w:p w:rsidR="00673475" w:rsidRPr="00B1080D" w:rsidRDefault="00673475" w:rsidP="004F626C">
            <w:pPr>
              <w:pStyle w:val="PPVTableText"/>
              <w:rPr>
                <w:rFonts w:asciiTheme="minorHAnsi" w:hAnsiTheme="minorHAnsi"/>
                <w:szCs w:val="20"/>
              </w:rPr>
            </w:pPr>
            <w:r w:rsidRPr="00B1080D">
              <w:rPr>
                <w:rFonts w:asciiTheme="minorHAnsi" w:hAnsiTheme="minorHAnsi"/>
                <w:szCs w:val="20"/>
              </w:rPr>
              <w:t>NABERS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182</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2"/>
              </w:rPr>
              <w:t>Lateral Estate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55</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Shirley Gauci</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183</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 xml:space="preserve">Beacon Cove Neighbourhood Association </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56</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 xml:space="preserve">Leighton John Collier </w:t>
            </w:r>
            <w:r w:rsidRPr="00180DA1">
              <w:rPr>
                <w:rFonts w:asciiTheme="minorHAnsi" w:hAnsiTheme="minorHAnsi"/>
                <w:szCs w:val="20"/>
              </w:rPr>
              <w:t>Hipkins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184</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Dexus Funds Management Limited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57</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144 Ferrars St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185</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SM253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58</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Armsby Architects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186</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Capital Alliance Investment Group</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59</w:t>
            </w:r>
          </w:p>
        </w:tc>
        <w:tc>
          <w:tcPr>
            <w:tcW w:w="3261" w:type="dxa"/>
            <w:vAlign w:val="center"/>
          </w:tcPr>
          <w:p w:rsidR="00673475" w:rsidRPr="00A90F8A" w:rsidRDefault="00673475" w:rsidP="004F626C">
            <w:pPr>
              <w:pStyle w:val="PPVTableText"/>
              <w:rPr>
                <w:rFonts w:asciiTheme="minorHAnsi" w:hAnsiTheme="minorHAnsi"/>
                <w:szCs w:val="20"/>
              </w:rPr>
            </w:pPr>
            <w:r w:rsidRPr="00A90F8A">
              <w:rPr>
                <w:rFonts w:asciiTheme="minorHAnsi" w:hAnsiTheme="minorHAnsi"/>
                <w:szCs w:val="20"/>
              </w:rPr>
              <w:t>Adventure Sails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187</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South Wharf Towers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60</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Gary Williams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188</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City of Melbourne</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61</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 xml:space="preserve">St Kilda Cycling Club </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189</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APA Group</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62</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Salta Properties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190</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South</w:t>
            </w:r>
            <w:r w:rsidR="00475C1E" w:rsidRPr="00A90F8A">
              <w:rPr>
                <w:rFonts w:asciiTheme="minorHAnsi" w:hAnsiTheme="minorHAnsi"/>
                <w:color w:val="000000"/>
                <w:szCs w:val="20"/>
              </w:rPr>
              <w:t xml:space="preserve"> </w:t>
            </w:r>
            <w:r w:rsidRPr="00A90F8A">
              <w:rPr>
                <w:rFonts w:asciiTheme="minorHAnsi" w:hAnsiTheme="minorHAnsi"/>
                <w:color w:val="000000"/>
                <w:szCs w:val="20"/>
              </w:rPr>
              <w:t xml:space="preserve">Port Urban Responsible Renewal </w:t>
            </w:r>
          </w:p>
        </w:tc>
      </w:tr>
      <w:tr w:rsidR="004F626C" w:rsidRPr="00A90F8A" w:rsidTr="00162307">
        <w:trPr>
          <w:cantSplit/>
        </w:trPr>
        <w:tc>
          <w:tcPr>
            <w:tcW w:w="110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63</w:t>
            </w:r>
          </w:p>
        </w:tc>
        <w:tc>
          <w:tcPr>
            <w:tcW w:w="3261" w:type="dxa"/>
            <w:vAlign w:val="center"/>
          </w:tcPr>
          <w:p w:rsidR="004F626C" w:rsidRPr="00A90F8A" w:rsidRDefault="004F626C" w:rsidP="00FF5F53">
            <w:pPr>
              <w:pStyle w:val="PPVTableText"/>
              <w:rPr>
                <w:rFonts w:asciiTheme="minorHAnsi" w:hAnsiTheme="minorHAnsi"/>
                <w:szCs w:val="20"/>
              </w:rPr>
            </w:pPr>
            <w:r w:rsidRPr="00A90F8A">
              <w:rPr>
                <w:rFonts w:asciiTheme="minorHAnsi" w:hAnsiTheme="minorHAnsi"/>
                <w:szCs w:val="20"/>
              </w:rPr>
              <w:t xml:space="preserve">Little Lane Child Care </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191</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Damien Joyce</w:t>
            </w:r>
          </w:p>
        </w:tc>
      </w:tr>
      <w:tr w:rsidR="004F626C" w:rsidRPr="00A90F8A" w:rsidTr="00162307">
        <w:trPr>
          <w:cantSplit/>
        </w:trPr>
        <w:tc>
          <w:tcPr>
            <w:tcW w:w="110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64</w:t>
            </w:r>
          </w:p>
        </w:tc>
        <w:tc>
          <w:tcPr>
            <w:tcW w:w="3261" w:type="dxa"/>
            <w:vAlign w:val="center"/>
          </w:tcPr>
          <w:p w:rsidR="004F626C" w:rsidRPr="00A90F8A" w:rsidRDefault="004F626C" w:rsidP="00FF5F53">
            <w:pPr>
              <w:pStyle w:val="PPVTableText"/>
              <w:rPr>
                <w:rFonts w:asciiTheme="minorHAnsi" w:hAnsiTheme="minorHAnsi"/>
                <w:szCs w:val="20"/>
              </w:rPr>
            </w:pPr>
            <w:r w:rsidRPr="00A90F8A">
              <w:rPr>
                <w:rFonts w:asciiTheme="minorHAnsi" w:hAnsiTheme="minorHAnsi"/>
                <w:szCs w:val="20"/>
              </w:rPr>
              <w:t>UnChain Incorporated</w:t>
            </w:r>
          </w:p>
        </w:tc>
        <w:tc>
          <w:tcPr>
            <w:tcW w:w="1081" w:type="dxa"/>
            <w:vAlign w:val="center"/>
          </w:tcPr>
          <w:p w:rsidR="004F626C" w:rsidRPr="00A90F8A" w:rsidRDefault="004F626C" w:rsidP="00554E10">
            <w:pPr>
              <w:pStyle w:val="PPVTableText"/>
              <w:rPr>
                <w:rFonts w:asciiTheme="minorHAnsi" w:hAnsiTheme="minorHAnsi"/>
                <w:szCs w:val="20"/>
              </w:rPr>
            </w:pPr>
            <w:r w:rsidRPr="00A90F8A">
              <w:rPr>
                <w:rFonts w:asciiTheme="minorHAnsi" w:hAnsiTheme="minorHAnsi"/>
                <w:szCs w:val="20"/>
              </w:rPr>
              <w:t>192</w:t>
            </w:r>
          </w:p>
        </w:tc>
        <w:tc>
          <w:tcPr>
            <w:tcW w:w="3737" w:type="dxa"/>
            <w:vAlign w:val="center"/>
          </w:tcPr>
          <w:p w:rsidR="004F626C" w:rsidRPr="00A90F8A" w:rsidRDefault="00673475" w:rsidP="00554E10">
            <w:pPr>
              <w:pStyle w:val="PPVTableText"/>
              <w:rPr>
                <w:rFonts w:asciiTheme="minorHAnsi" w:hAnsiTheme="minorHAnsi"/>
                <w:szCs w:val="20"/>
              </w:rPr>
            </w:pPr>
            <w:r w:rsidRPr="00A90F8A">
              <w:rPr>
                <w:rFonts w:asciiTheme="minorHAnsi" w:hAnsiTheme="minorHAnsi"/>
                <w:szCs w:val="20"/>
              </w:rPr>
              <w:t>Commonwealth Department of Infrastructure and Regional Development</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65</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Susan Morwood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193</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Kerrigan Fellows</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66</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Curious Architects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194</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Trevor White</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lastRenderedPageBreak/>
              <w:t>67</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CBQ Corp P/L</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195</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Port Melbourne Football Club</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68</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Aquaino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196</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Submission on behalf of Belsize Nominees</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69</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Philip Lack</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197</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Proactive Ageing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70</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Frans Wilhelm</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198</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EPA Victoria</w:t>
            </w:r>
          </w:p>
        </w:tc>
      </w:tr>
      <w:tr w:rsidR="00CC07AB" w:rsidRPr="00A90F8A" w:rsidTr="00162307">
        <w:trPr>
          <w:cantSplit/>
        </w:trPr>
        <w:tc>
          <w:tcPr>
            <w:tcW w:w="1101" w:type="dxa"/>
            <w:vAlign w:val="center"/>
          </w:tcPr>
          <w:p w:rsidR="00CC07AB" w:rsidRPr="00A90F8A" w:rsidRDefault="00FF5F53" w:rsidP="00554E10">
            <w:pPr>
              <w:pStyle w:val="PPVTableText"/>
              <w:rPr>
                <w:rFonts w:asciiTheme="minorHAnsi" w:hAnsiTheme="minorHAnsi"/>
                <w:szCs w:val="20"/>
              </w:rPr>
            </w:pPr>
            <w:r w:rsidRPr="00A90F8A">
              <w:rPr>
                <w:rFonts w:asciiTheme="minorHAnsi" w:hAnsiTheme="minorHAnsi"/>
                <w:szCs w:val="20"/>
              </w:rPr>
              <w:t>71</w:t>
            </w:r>
          </w:p>
        </w:tc>
        <w:tc>
          <w:tcPr>
            <w:tcW w:w="3261" w:type="dxa"/>
            <w:vAlign w:val="center"/>
          </w:tcPr>
          <w:p w:rsidR="00CC07AB" w:rsidRPr="00A90F8A" w:rsidRDefault="00FF5F53" w:rsidP="00554E10">
            <w:pPr>
              <w:pStyle w:val="PPVTableText"/>
              <w:rPr>
                <w:rFonts w:asciiTheme="minorHAnsi" w:hAnsiTheme="minorHAnsi"/>
                <w:szCs w:val="20"/>
              </w:rPr>
            </w:pPr>
            <w:r w:rsidRPr="00A90F8A">
              <w:rPr>
                <w:rFonts w:asciiTheme="minorHAnsi" w:hAnsiTheme="minorHAnsi"/>
                <w:szCs w:val="20"/>
              </w:rPr>
              <w:t>CostaFox Developments Pty Ltd</w:t>
            </w:r>
          </w:p>
        </w:tc>
        <w:tc>
          <w:tcPr>
            <w:tcW w:w="1081" w:type="dxa"/>
            <w:vAlign w:val="center"/>
          </w:tcPr>
          <w:p w:rsidR="00CC07AB" w:rsidRPr="00A90F8A" w:rsidRDefault="00CC07AB" w:rsidP="00554E10">
            <w:pPr>
              <w:pStyle w:val="PPVTableText"/>
              <w:rPr>
                <w:rFonts w:asciiTheme="minorHAnsi" w:hAnsiTheme="minorHAnsi"/>
                <w:szCs w:val="20"/>
              </w:rPr>
            </w:pPr>
            <w:r w:rsidRPr="00A90F8A">
              <w:rPr>
                <w:rFonts w:asciiTheme="minorHAnsi" w:hAnsiTheme="minorHAnsi"/>
                <w:szCs w:val="20"/>
              </w:rPr>
              <w:t>199</w:t>
            </w:r>
          </w:p>
        </w:tc>
        <w:tc>
          <w:tcPr>
            <w:tcW w:w="3737" w:type="dxa"/>
            <w:vAlign w:val="center"/>
          </w:tcPr>
          <w:p w:rsidR="00CC07AB" w:rsidRPr="00A90F8A" w:rsidRDefault="00673475" w:rsidP="00554E10">
            <w:pPr>
              <w:pStyle w:val="PPVTableText"/>
              <w:rPr>
                <w:rFonts w:asciiTheme="minorHAnsi" w:hAnsiTheme="minorHAnsi"/>
                <w:szCs w:val="20"/>
              </w:rPr>
            </w:pPr>
            <w:r w:rsidRPr="00A90F8A">
              <w:rPr>
                <w:rFonts w:asciiTheme="minorHAnsi" w:hAnsiTheme="minorHAnsi"/>
                <w:szCs w:val="20"/>
              </w:rPr>
              <w:t>Judy Bush</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72</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Richard Alexander Roberts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200</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Normanby Group Holdings</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73</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Altis Property Partners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201</w:t>
            </w:r>
          </w:p>
        </w:tc>
        <w:tc>
          <w:tcPr>
            <w:tcW w:w="3737" w:type="dxa"/>
            <w:vAlign w:val="center"/>
          </w:tcPr>
          <w:p w:rsidR="00673475" w:rsidRPr="00B1080D" w:rsidRDefault="00180DA1" w:rsidP="00554E10">
            <w:pPr>
              <w:pStyle w:val="PPVTableText"/>
              <w:rPr>
                <w:rFonts w:asciiTheme="minorHAnsi" w:hAnsiTheme="minorHAnsi"/>
                <w:szCs w:val="20"/>
              </w:rPr>
            </w:pPr>
            <w:r>
              <w:rPr>
                <w:rFonts w:asciiTheme="minorHAnsi" w:hAnsiTheme="minorHAnsi"/>
                <w:color w:val="000000"/>
                <w:szCs w:val="20"/>
              </w:rPr>
              <w:t>Osten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74</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Aurelien Prevot</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202</w:t>
            </w:r>
          </w:p>
        </w:tc>
        <w:tc>
          <w:tcPr>
            <w:tcW w:w="3737" w:type="dxa"/>
            <w:vAlign w:val="center"/>
          </w:tcPr>
          <w:p w:rsidR="00673475" w:rsidRPr="00B1080D" w:rsidRDefault="00180DA1" w:rsidP="00554E10">
            <w:pPr>
              <w:pStyle w:val="PPVTableText"/>
              <w:rPr>
                <w:rFonts w:asciiTheme="minorHAnsi" w:hAnsiTheme="minorHAnsi"/>
                <w:szCs w:val="20"/>
              </w:rPr>
            </w:pPr>
            <w:r w:rsidRPr="00180DA1">
              <w:rPr>
                <w:rFonts w:asciiTheme="minorHAnsi" w:hAnsiTheme="minorHAnsi"/>
                <w:color w:val="000000"/>
                <w:szCs w:val="20"/>
              </w:rPr>
              <w:t>Samma Group and Spec Property Development</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75</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Philip John Hopkins</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203</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Fishermans Bend Management Pty Ltd</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76</w:t>
            </w:r>
          </w:p>
        </w:tc>
        <w:tc>
          <w:tcPr>
            <w:tcW w:w="3261" w:type="dxa"/>
            <w:vAlign w:val="center"/>
          </w:tcPr>
          <w:p w:rsidR="00FF5F53" w:rsidRPr="00B1080D" w:rsidRDefault="00FF5F53" w:rsidP="00554E10">
            <w:pPr>
              <w:pStyle w:val="PPVTableText"/>
              <w:rPr>
                <w:rFonts w:asciiTheme="minorHAnsi" w:hAnsiTheme="minorHAnsi"/>
                <w:szCs w:val="20"/>
              </w:rPr>
            </w:pPr>
            <w:r w:rsidRPr="00B1080D">
              <w:rPr>
                <w:rFonts w:asciiTheme="minorHAnsi" w:hAnsiTheme="minorHAnsi"/>
                <w:color w:val="000000"/>
                <w:szCs w:val="20"/>
              </w:rPr>
              <w:t>Mile Tony Nincevic</w:t>
            </w:r>
          </w:p>
        </w:tc>
        <w:tc>
          <w:tcPr>
            <w:tcW w:w="1081" w:type="dxa"/>
            <w:vAlign w:val="center"/>
          </w:tcPr>
          <w:p w:rsidR="00FF5F53" w:rsidRPr="00B1080D" w:rsidRDefault="00FF5F53" w:rsidP="00554E10">
            <w:pPr>
              <w:pStyle w:val="PPVTableText"/>
              <w:rPr>
                <w:rFonts w:asciiTheme="minorHAnsi" w:hAnsiTheme="minorHAnsi"/>
                <w:szCs w:val="20"/>
              </w:rPr>
            </w:pPr>
            <w:r w:rsidRPr="00B1080D">
              <w:rPr>
                <w:rFonts w:asciiTheme="minorHAnsi" w:hAnsiTheme="minorHAnsi"/>
                <w:szCs w:val="20"/>
              </w:rPr>
              <w:t>204</w:t>
            </w:r>
          </w:p>
        </w:tc>
        <w:tc>
          <w:tcPr>
            <w:tcW w:w="3737" w:type="dxa"/>
            <w:vAlign w:val="center"/>
          </w:tcPr>
          <w:p w:rsidR="00FF5F53" w:rsidRPr="00B1080D" w:rsidRDefault="00673475" w:rsidP="00554E10">
            <w:pPr>
              <w:pStyle w:val="PPVTableText"/>
              <w:rPr>
                <w:rFonts w:asciiTheme="minorHAnsi" w:hAnsiTheme="minorHAnsi"/>
                <w:szCs w:val="20"/>
              </w:rPr>
            </w:pPr>
            <w:r w:rsidRPr="00B1080D">
              <w:rPr>
                <w:rFonts w:asciiTheme="minorHAnsi" w:hAnsiTheme="minorHAnsi"/>
                <w:szCs w:val="20"/>
              </w:rPr>
              <w:t>Bryce Paterson</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77</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Susan Jean Spender</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205</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Herzog Group</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78</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Urban Ecology in Action</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206</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Property Council Of Australia</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79</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W.W Sidwell Investments Pty Ltd</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207</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Normanby Road Developments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80</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Kanahoee Nominees Pty Ltd</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208</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Mitmazal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81</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Rebecca Chapman</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209</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Osprey Developments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82</w:t>
            </w:r>
          </w:p>
        </w:tc>
        <w:tc>
          <w:tcPr>
            <w:tcW w:w="326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Robert William Ditton</w:t>
            </w:r>
          </w:p>
        </w:tc>
        <w:tc>
          <w:tcPr>
            <w:tcW w:w="1081"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szCs w:val="20"/>
              </w:rPr>
              <w:t>210</w:t>
            </w:r>
          </w:p>
        </w:tc>
        <w:tc>
          <w:tcPr>
            <w:tcW w:w="3737" w:type="dxa"/>
            <w:vAlign w:val="center"/>
          </w:tcPr>
          <w:p w:rsidR="00673475" w:rsidRPr="00B1080D" w:rsidRDefault="00673475" w:rsidP="00554E10">
            <w:pPr>
              <w:pStyle w:val="PPVTableText"/>
              <w:rPr>
                <w:rFonts w:asciiTheme="minorHAnsi" w:hAnsiTheme="minorHAnsi"/>
                <w:szCs w:val="20"/>
              </w:rPr>
            </w:pPr>
            <w:r w:rsidRPr="00B1080D">
              <w:rPr>
                <w:rFonts w:asciiTheme="minorHAnsi" w:hAnsiTheme="minorHAnsi"/>
                <w:color w:val="000000"/>
                <w:szCs w:val="20"/>
              </w:rPr>
              <w:t>Port Phillip Housing Association</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83</w:t>
            </w:r>
          </w:p>
        </w:tc>
        <w:tc>
          <w:tcPr>
            <w:tcW w:w="3261" w:type="dxa"/>
            <w:vAlign w:val="center"/>
          </w:tcPr>
          <w:p w:rsidR="00FF5F53" w:rsidRPr="00B1080D" w:rsidRDefault="00FF5F53" w:rsidP="00FF5F53">
            <w:pPr>
              <w:pStyle w:val="PPVTableText"/>
              <w:rPr>
                <w:rFonts w:asciiTheme="minorHAnsi" w:hAnsiTheme="minorHAnsi"/>
                <w:szCs w:val="20"/>
              </w:rPr>
            </w:pPr>
            <w:r w:rsidRPr="00B1080D">
              <w:rPr>
                <w:rFonts w:asciiTheme="minorHAnsi" w:hAnsiTheme="minorHAnsi"/>
                <w:szCs w:val="20"/>
              </w:rPr>
              <w:t>Georgios Kypriotis</w:t>
            </w:r>
          </w:p>
        </w:tc>
        <w:tc>
          <w:tcPr>
            <w:tcW w:w="1081" w:type="dxa"/>
            <w:vAlign w:val="center"/>
          </w:tcPr>
          <w:p w:rsidR="00FF5F53" w:rsidRPr="00B1080D" w:rsidRDefault="00FF5F53" w:rsidP="00554E10">
            <w:pPr>
              <w:pStyle w:val="PPVTableText"/>
              <w:rPr>
                <w:rFonts w:asciiTheme="minorHAnsi" w:hAnsiTheme="minorHAnsi"/>
                <w:szCs w:val="20"/>
              </w:rPr>
            </w:pPr>
            <w:r w:rsidRPr="00B1080D">
              <w:rPr>
                <w:rFonts w:asciiTheme="minorHAnsi" w:hAnsiTheme="minorHAnsi"/>
                <w:szCs w:val="20"/>
              </w:rPr>
              <w:t>211</w:t>
            </w:r>
          </w:p>
        </w:tc>
        <w:tc>
          <w:tcPr>
            <w:tcW w:w="3737" w:type="dxa"/>
            <w:vAlign w:val="center"/>
          </w:tcPr>
          <w:p w:rsidR="00FF5F53" w:rsidRPr="00B1080D" w:rsidRDefault="00673475" w:rsidP="00554E10">
            <w:pPr>
              <w:pStyle w:val="PPVTableText"/>
              <w:rPr>
                <w:rFonts w:asciiTheme="minorHAnsi" w:hAnsiTheme="minorHAnsi"/>
                <w:szCs w:val="20"/>
              </w:rPr>
            </w:pPr>
            <w:r w:rsidRPr="00B1080D">
              <w:rPr>
                <w:rFonts w:asciiTheme="minorHAnsi" w:hAnsiTheme="minorHAnsi"/>
                <w:szCs w:val="20"/>
              </w:rPr>
              <w:t>Ramona Headifen</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84</w:t>
            </w:r>
          </w:p>
        </w:tc>
        <w:tc>
          <w:tcPr>
            <w:tcW w:w="3261" w:type="dxa"/>
            <w:vAlign w:val="center"/>
          </w:tcPr>
          <w:p w:rsidR="00FF5F53" w:rsidRPr="00B1080D" w:rsidRDefault="00FF5F53" w:rsidP="00554E10">
            <w:pPr>
              <w:pStyle w:val="PPVTableText"/>
              <w:rPr>
                <w:rFonts w:asciiTheme="minorHAnsi" w:hAnsiTheme="minorHAnsi"/>
                <w:szCs w:val="20"/>
              </w:rPr>
            </w:pPr>
            <w:r w:rsidRPr="00B1080D">
              <w:rPr>
                <w:rFonts w:asciiTheme="minorHAnsi" w:hAnsiTheme="minorHAnsi"/>
                <w:szCs w:val="20"/>
              </w:rPr>
              <w:t>BWP Trust</w:t>
            </w:r>
          </w:p>
        </w:tc>
        <w:tc>
          <w:tcPr>
            <w:tcW w:w="1081" w:type="dxa"/>
            <w:vAlign w:val="center"/>
          </w:tcPr>
          <w:p w:rsidR="00FF5F53" w:rsidRPr="00B1080D" w:rsidRDefault="00FF5F53" w:rsidP="00554E10">
            <w:pPr>
              <w:pStyle w:val="PPVTableText"/>
              <w:rPr>
                <w:rFonts w:asciiTheme="minorHAnsi" w:hAnsiTheme="minorHAnsi"/>
                <w:szCs w:val="20"/>
              </w:rPr>
            </w:pPr>
            <w:r w:rsidRPr="00B1080D">
              <w:rPr>
                <w:rFonts w:asciiTheme="minorHAnsi" w:hAnsiTheme="minorHAnsi"/>
                <w:szCs w:val="20"/>
              </w:rPr>
              <w:t>212</w:t>
            </w:r>
          </w:p>
        </w:tc>
        <w:tc>
          <w:tcPr>
            <w:tcW w:w="3737" w:type="dxa"/>
            <w:vAlign w:val="center"/>
          </w:tcPr>
          <w:p w:rsidR="00FF5F53" w:rsidRPr="00B1080D" w:rsidRDefault="00673475" w:rsidP="00554E10">
            <w:pPr>
              <w:pStyle w:val="PPVTableText"/>
              <w:rPr>
                <w:rFonts w:asciiTheme="minorHAnsi" w:hAnsiTheme="minorHAnsi"/>
                <w:szCs w:val="20"/>
              </w:rPr>
            </w:pPr>
            <w:r w:rsidRPr="00B1080D">
              <w:rPr>
                <w:rFonts w:asciiTheme="minorHAnsi" w:hAnsiTheme="minorHAnsi"/>
                <w:szCs w:val="20"/>
              </w:rPr>
              <w:t>Victorian Young Planners, P</w:t>
            </w:r>
            <w:r w:rsidR="00475C1E" w:rsidRPr="00B1080D">
              <w:rPr>
                <w:rFonts w:asciiTheme="minorHAnsi" w:hAnsiTheme="minorHAnsi"/>
                <w:szCs w:val="20"/>
              </w:rPr>
              <w:t>IA</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85</w:t>
            </w:r>
          </w:p>
        </w:tc>
        <w:tc>
          <w:tcPr>
            <w:tcW w:w="326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color w:val="000000"/>
                <w:szCs w:val="20"/>
              </w:rPr>
              <w:t>Christine Gravier</w:t>
            </w:r>
          </w:p>
        </w:tc>
        <w:tc>
          <w:tcPr>
            <w:tcW w:w="108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213</w:t>
            </w:r>
          </w:p>
        </w:tc>
        <w:tc>
          <w:tcPr>
            <w:tcW w:w="3737" w:type="dxa"/>
            <w:vAlign w:val="center"/>
          </w:tcPr>
          <w:p w:rsidR="00FF5F53" w:rsidRPr="00A90F8A" w:rsidRDefault="00673475" w:rsidP="00554E10">
            <w:pPr>
              <w:pStyle w:val="PPVTableText"/>
              <w:rPr>
                <w:rFonts w:asciiTheme="minorHAnsi" w:hAnsiTheme="minorHAnsi"/>
                <w:szCs w:val="20"/>
              </w:rPr>
            </w:pPr>
            <w:r w:rsidRPr="00A90F8A">
              <w:rPr>
                <w:rFonts w:asciiTheme="minorHAnsi" w:hAnsiTheme="minorHAnsi"/>
                <w:szCs w:val="20"/>
              </w:rPr>
              <w:t>Marcus Rogers</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86</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Sach Sackl</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214</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Yarra Riverkeeper Association</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87</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Lie Property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215</w:t>
            </w:r>
          </w:p>
        </w:tc>
        <w:tc>
          <w:tcPr>
            <w:tcW w:w="3737" w:type="dxa"/>
            <w:vAlign w:val="center"/>
          </w:tcPr>
          <w:p w:rsidR="00673475" w:rsidRPr="00A90F8A" w:rsidRDefault="00475C1E" w:rsidP="00554E10">
            <w:pPr>
              <w:pStyle w:val="PPVTableText"/>
              <w:rPr>
                <w:rFonts w:asciiTheme="minorHAnsi" w:hAnsiTheme="minorHAnsi"/>
                <w:szCs w:val="20"/>
              </w:rPr>
            </w:pPr>
            <w:r w:rsidRPr="00A90F8A">
              <w:rPr>
                <w:rFonts w:asciiTheme="minorHAnsi" w:hAnsiTheme="minorHAnsi"/>
                <w:color w:val="000000"/>
                <w:szCs w:val="22"/>
              </w:rPr>
              <w:t>UDIA</w:t>
            </w:r>
            <w:r w:rsidR="00673475" w:rsidRPr="00A90F8A">
              <w:rPr>
                <w:rFonts w:asciiTheme="minorHAnsi" w:hAnsiTheme="minorHAnsi"/>
                <w:color w:val="000000"/>
                <w:szCs w:val="22"/>
              </w:rPr>
              <w:t xml:space="preserve"> (Victoria)</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88</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Homes for Homes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216</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ANZ</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89</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Barro Group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217</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Third Street Pty Ltd</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90</w:t>
            </w:r>
          </w:p>
        </w:tc>
        <w:tc>
          <w:tcPr>
            <w:tcW w:w="3261" w:type="dxa"/>
            <w:vAlign w:val="center"/>
          </w:tcPr>
          <w:p w:rsidR="00FF5F53" w:rsidRPr="00A90F8A" w:rsidRDefault="00A80B82" w:rsidP="00554E10">
            <w:pPr>
              <w:pStyle w:val="PPVTableText"/>
              <w:rPr>
                <w:rFonts w:asciiTheme="minorHAnsi" w:hAnsiTheme="minorHAnsi"/>
                <w:szCs w:val="20"/>
              </w:rPr>
            </w:pPr>
            <w:r>
              <w:rPr>
                <w:rFonts w:asciiTheme="minorHAnsi" w:hAnsiTheme="minorHAnsi"/>
                <w:color w:val="000000"/>
                <w:szCs w:val="20"/>
              </w:rPr>
              <w:t xml:space="preserve">Gurner 2 – </w:t>
            </w:r>
            <w:r w:rsidR="00FF5F53" w:rsidRPr="00A90F8A">
              <w:rPr>
                <w:rFonts w:asciiTheme="minorHAnsi" w:hAnsiTheme="minorHAnsi"/>
                <w:color w:val="000000"/>
                <w:szCs w:val="20"/>
              </w:rPr>
              <w:t>28 Montague Street Pty Ltd</w:t>
            </w:r>
          </w:p>
        </w:tc>
        <w:tc>
          <w:tcPr>
            <w:tcW w:w="108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218</w:t>
            </w:r>
          </w:p>
        </w:tc>
        <w:tc>
          <w:tcPr>
            <w:tcW w:w="3737" w:type="dxa"/>
            <w:vAlign w:val="center"/>
          </w:tcPr>
          <w:p w:rsidR="00FF5F53" w:rsidRPr="00A90F8A" w:rsidRDefault="00673475" w:rsidP="00554E10">
            <w:pPr>
              <w:pStyle w:val="PPVTableText"/>
              <w:rPr>
                <w:rFonts w:asciiTheme="minorHAnsi" w:hAnsiTheme="minorHAnsi"/>
                <w:szCs w:val="20"/>
              </w:rPr>
            </w:pPr>
            <w:r w:rsidRPr="00A90F8A">
              <w:rPr>
                <w:rFonts w:asciiTheme="minorHAnsi" w:hAnsiTheme="minorHAnsi"/>
                <w:szCs w:val="20"/>
              </w:rPr>
              <w:t>Linda Jennifer King</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91</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E133 Property Development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219</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National Trust of Australia (Victoria)</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92</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Metropolitan Waste and Resource Recovery Group</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220</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Toyota Motor Corporation Australia Limited</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93</w:t>
            </w:r>
          </w:p>
        </w:tc>
        <w:tc>
          <w:tcPr>
            <w:tcW w:w="326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color w:val="000000"/>
                <w:szCs w:val="20"/>
              </w:rPr>
              <w:t>One Eight One Pty Ltd</w:t>
            </w:r>
          </w:p>
        </w:tc>
        <w:tc>
          <w:tcPr>
            <w:tcW w:w="108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221</w:t>
            </w:r>
          </w:p>
        </w:tc>
        <w:tc>
          <w:tcPr>
            <w:tcW w:w="3737" w:type="dxa"/>
            <w:vAlign w:val="center"/>
          </w:tcPr>
          <w:p w:rsidR="00FF5F53" w:rsidRPr="00A90F8A" w:rsidRDefault="00673475" w:rsidP="00554E10">
            <w:pPr>
              <w:pStyle w:val="PPVTableText"/>
              <w:rPr>
                <w:rFonts w:asciiTheme="minorHAnsi" w:hAnsiTheme="minorHAnsi"/>
                <w:szCs w:val="20"/>
              </w:rPr>
            </w:pPr>
            <w:r w:rsidRPr="00A90F8A">
              <w:rPr>
                <w:rFonts w:asciiTheme="minorHAnsi" w:hAnsiTheme="minorHAnsi"/>
                <w:szCs w:val="20"/>
              </w:rPr>
              <w:t>Ross Headifen</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94</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Thousand Degree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222</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Moniton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95</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Lutkas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223</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Frances Fox</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96</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Gladyslake Pty Ltd, Ausun Property CBD Pty Ltd &amp; D.W</w:t>
            </w:r>
            <w:r w:rsidR="00374E11" w:rsidRPr="00A90F8A">
              <w:rPr>
                <w:rFonts w:asciiTheme="minorHAnsi" w:hAnsiTheme="minorHAnsi"/>
                <w:color w:val="000000"/>
                <w:szCs w:val="20"/>
              </w:rPr>
              <w:t>.</w:t>
            </w:r>
            <w:r w:rsidR="00374E11">
              <w:rPr>
                <w:rFonts w:asciiTheme="minorHAnsi" w:hAnsiTheme="minorHAnsi"/>
                <w:color w:val="000000"/>
                <w:szCs w:val="20"/>
              </w:rPr>
              <w:t xml:space="preserve"> </w:t>
            </w:r>
            <w:r w:rsidR="00374E11" w:rsidRPr="00A90F8A">
              <w:rPr>
                <w:rFonts w:asciiTheme="minorHAnsi" w:hAnsiTheme="minorHAnsi"/>
                <w:color w:val="000000"/>
                <w:szCs w:val="20"/>
              </w:rPr>
              <w:t>K</w:t>
            </w:r>
            <w:r w:rsidRPr="00A90F8A">
              <w:rPr>
                <w:rFonts w:asciiTheme="minorHAnsi" w:hAnsiTheme="minorHAnsi"/>
                <w:color w:val="000000"/>
                <w:szCs w:val="20"/>
              </w:rPr>
              <w:t>eir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224</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William Tolis</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97</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Gladyslake Pty Ltd, Ausun Property CBD Pty Ltd &amp; D.W</w:t>
            </w:r>
            <w:r w:rsidR="00374E11" w:rsidRPr="00A90F8A">
              <w:rPr>
                <w:rFonts w:asciiTheme="minorHAnsi" w:hAnsiTheme="minorHAnsi"/>
                <w:szCs w:val="20"/>
              </w:rPr>
              <w:t>.</w:t>
            </w:r>
            <w:r w:rsidR="00374E11">
              <w:rPr>
                <w:rFonts w:asciiTheme="minorHAnsi" w:hAnsiTheme="minorHAnsi"/>
                <w:szCs w:val="20"/>
              </w:rPr>
              <w:t xml:space="preserve"> </w:t>
            </w:r>
            <w:r w:rsidR="00374E11" w:rsidRPr="00A90F8A">
              <w:rPr>
                <w:rFonts w:asciiTheme="minorHAnsi" w:hAnsiTheme="minorHAnsi"/>
                <w:szCs w:val="20"/>
              </w:rPr>
              <w:t>K</w:t>
            </w:r>
            <w:r w:rsidRPr="00A90F8A">
              <w:rPr>
                <w:rFonts w:asciiTheme="minorHAnsi" w:hAnsiTheme="minorHAnsi"/>
                <w:szCs w:val="20"/>
              </w:rPr>
              <w:t>eir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225</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Mark Helyer</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98</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Victorian Yacht Charters</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226</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Jen</w:t>
            </w:r>
            <w:r w:rsidR="00BE09EF">
              <w:rPr>
                <w:rFonts w:asciiTheme="minorHAnsi" w:hAnsiTheme="minorHAnsi"/>
                <w:color w:val="000000"/>
                <w:szCs w:val="20"/>
              </w:rPr>
              <w:t>n</w:t>
            </w:r>
            <w:r w:rsidRPr="00A90F8A">
              <w:rPr>
                <w:rFonts w:asciiTheme="minorHAnsi" w:hAnsiTheme="minorHAnsi"/>
                <w:color w:val="000000"/>
                <w:szCs w:val="20"/>
              </w:rPr>
              <w:t>ifer Joyner</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99</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Claire Florence-Gray</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227</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Stephen Pennells</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lastRenderedPageBreak/>
              <w:t>100</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Owners Corporation PS429255 situated</w:t>
            </w:r>
            <w:r w:rsidR="00A80B82">
              <w:rPr>
                <w:rFonts w:asciiTheme="minorHAnsi" w:hAnsiTheme="minorHAnsi"/>
                <w:szCs w:val="20"/>
              </w:rPr>
              <w:t xml:space="preserve"> at 339 – </w:t>
            </w:r>
            <w:r w:rsidRPr="00A90F8A">
              <w:rPr>
                <w:rFonts w:asciiTheme="minorHAnsi" w:hAnsiTheme="minorHAnsi"/>
                <w:szCs w:val="20"/>
              </w:rPr>
              <w:t>343 Williamstown Road, Port Melbourne</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228</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 xml:space="preserve">YCAC </w:t>
            </w:r>
            <w:r w:rsidR="00492A43">
              <w:rPr>
                <w:rFonts w:asciiTheme="minorHAnsi" w:hAnsiTheme="minorHAnsi"/>
                <w:szCs w:val="20"/>
              </w:rPr>
              <w:t>–</w:t>
            </w:r>
            <w:r w:rsidRPr="00A90F8A">
              <w:rPr>
                <w:rFonts w:asciiTheme="minorHAnsi" w:hAnsiTheme="minorHAnsi"/>
                <w:szCs w:val="20"/>
              </w:rPr>
              <w:t xml:space="preserve"> Yarra's Edge Class Action Committee </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101</w:t>
            </w:r>
          </w:p>
        </w:tc>
        <w:tc>
          <w:tcPr>
            <w:tcW w:w="3261" w:type="dxa"/>
            <w:vAlign w:val="center"/>
          </w:tcPr>
          <w:p w:rsidR="00673475" w:rsidRPr="00A90F8A" w:rsidRDefault="00673475" w:rsidP="00FF5F53">
            <w:pPr>
              <w:pStyle w:val="PPVTableText"/>
              <w:rPr>
                <w:rFonts w:asciiTheme="minorHAnsi" w:hAnsiTheme="minorHAnsi"/>
                <w:szCs w:val="20"/>
              </w:rPr>
            </w:pPr>
            <w:r w:rsidRPr="00A90F8A">
              <w:rPr>
                <w:rFonts w:asciiTheme="minorHAnsi" w:hAnsiTheme="minorHAnsi"/>
                <w:szCs w:val="20"/>
              </w:rPr>
              <w:t>Mirvac Victoria</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229</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Port Melbourne Soccer Club</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103</w:t>
            </w:r>
          </w:p>
        </w:tc>
        <w:tc>
          <w:tcPr>
            <w:tcW w:w="3261" w:type="dxa"/>
            <w:vAlign w:val="center"/>
          </w:tcPr>
          <w:p w:rsidR="00673475" w:rsidRPr="00A90F8A" w:rsidRDefault="00673475" w:rsidP="00673475">
            <w:pPr>
              <w:pStyle w:val="PPVTableText"/>
              <w:rPr>
                <w:rFonts w:asciiTheme="minorHAnsi" w:hAnsiTheme="minorHAnsi"/>
                <w:szCs w:val="20"/>
              </w:rPr>
            </w:pPr>
            <w:r w:rsidRPr="00A90F8A">
              <w:rPr>
                <w:rFonts w:asciiTheme="minorHAnsi" w:hAnsiTheme="minorHAnsi"/>
                <w:szCs w:val="20"/>
              </w:rPr>
              <w:t>Cube Properties and Investments P</w:t>
            </w:r>
            <w:r w:rsidR="00475C1E" w:rsidRPr="00A90F8A">
              <w:rPr>
                <w:rFonts w:asciiTheme="minorHAnsi" w:hAnsiTheme="minorHAnsi"/>
                <w:szCs w:val="20"/>
              </w:rPr>
              <w:t>/L</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230</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Manors Gate Group</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104</w:t>
            </w:r>
          </w:p>
        </w:tc>
        <w:tc>
          <w:tcPr>
            <w:tcW w:w="3261" w:type="dxa"/>
            <w:vAlign w:val="center"/>
          </w:tcPr>
          <w:p w:rsidR="00FF5F53" w:rsidRPr="00A90F8A" w:rsidRDefault="00FF5F53" w:rsidP="00673475">
            <w:pPr>
              <w:pStyle w:val="PPVTableText"/>
              <w:rPr>
                <w:rFonts w:asciiTheme="minorHAnsi" w:hAnsiTheme="minorHAnsi"/>
                <w:szCs w:val="20"/>
              </w:rPr>
            </w:pPr>
            <w:r w:rsidRPr="00A90F8A">
              <w:rPr>
                <w:rFonts w:asciiTheme="minorHAnsi" w:hAnsiTheme="minorHAnsi"/>
                <w:szCs w:val="20"/>
              </w:rPr>
              <w:t>The University of Melbourne</w:t>
            </w:r>
          </w:p>
        </w:tc>
        <w:tc>
          <w:tcPr>
            <w:tcW w:w="108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231</w:t>
            </w:r>
          </w:p>
        </w:tc>
        <w:tc>
          <w:tcPr>
            <w:tcW w:w="3737" w:type="dxa"/>
            <w:vAlign w:val="center"/>
          </w:tcPr>
          <w:p w:rsidR="00FF5F53" w:rsidRPr="00A90F8A" w:rsidRDefault="00673475" w:rsidP="00554E10">
            <w:pPr>
              <w:pStyle w:val="PPVTableText"/>
              <w:rPr>
                <w:rFonts w:asciiTheme="minorHAnsi" w:hAnsiTheme="minorHAnsi"/>
                <w:szCs w:val="20"/>
              </w:rPr>
            </w:pPr>
            <w:r w:rsidRPr="00A90F8A">
              <w:rPr>
                <w:rFonts w:asciiTheme="minorHAnsi" w:hAnsiTheme="minorHAnsi"/>
                <w:szCs w:val="20"/>
              </w:rPr>
              <w:t>Dr Simon Lynch</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105</w:t>
            </w:r>
          </w:p>
        </w:tc>
        <w:tc>
          <w:tcPr>
            <w:tcW w:w="3261" w:type="dxa"/>
            <w:vAlign w:val="center"/>
          </w:tcPr>
          <w:p w:rsidR="00FF5F53" w:rsidRPr="00A90F8A" w:rsidRDefault="00673475" w:rsidP="00673475">
            <w:pPr>
              <w:pStyle w:val="PPVTableText"/>
              <w:rPr>
                <w:rFonts w:asciiTheme="minorHAnsi" w:hAnsiTheme="minorHAnsi"/>
                <w:szCs w:val="20"/>
              </w:rPr>
            </w:pPr>
            <w:r w:rsidRPr="00A90F8A">
              <w:rPr>
                <w:rFonts w:asciiTheme="minorHAnsi" w:hAnsiTheme="minorHAnsi"/>
                <w:szCs w:val="20"/>
              </w:rPr>
              <w:t>Elisa Leyva McEnroe</w:t>
            </w:r>
          </w:p>
        </w:tc>
        <w:tc>
          <w:tcPr>
            <w:tcW w:w="108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232</w:t>
            </w:r>
          </w:p>
        </w:tc>
        <w:tc>
          <w:tcPr>
            <w:tcW w:w="3737" w:type="dxa"/>
            <w:vAlign w:val="center"/>
          </w:tcPr>
          <w:p w:rsidR="00FF5F53" w:rsidRPr="00A90F8A" w:rsidRDefault="00673475" w:rsidP="00554E10">
            <w:pPr>
              <w:pStyle w:val="PPVTableText"/>
              <w:rPr>
                <w:rFonts w:asciiTheme="minorHAnsi" w:hAnsiTheme="minorHAnsi"/>
                <w:szCs w:val="20"/>
              </w:rPr>
            </w:pPr>
            <w:r w:rsidRPr="00A90F8A">
              <w:rPr>
                <w:rFonts w:asciiTheme="minorHAnsi" w:hAnsiTheme="minorHAnsi"/>
                <w:szCs w:val="20"/>
              </w:rPr>
              <w:t>Fishermans Bend Business Forum</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106</w:t>
            </w:r>
          </w:p>
        </w:tc>
        <w:tc>
          <w:tcPr>
            <w:tcW w:w="3261" w:type="dxa"/>
            <w:vAlign w:val="center"/>
          </w:tcPr>
          <w:p w:rsidR="00FF5F53" w:rsidRPr="00A90F8A" w:rsidRDefault="00673475" w:rsidP="00673475">
            <w:pPr>
              <w:pStyle w:val="PPVTableText"/>
              <w:rPr>
                <w:rFonts w:asciiTheme="minorHAnsi" w:hAnsiTheme="minorHAnsi"/>
                <w:szCs w:val="20"/>
              </w:rPr>
            </w:pPr>
            <w:r w:rsidRPr="00A90F8A">
              <w:rPr>
                <w:rFonts w:asciiTheme="minorHAnsi" w:hAnsiTheme="minorHAnsi"/>
                <w:szCs w:val="20"/>
              </w:rPr>
              <w:t>The Father Bob Maguire Foundation</w:t>
            </w:r>
          </w:p>
        </w:tc>
        <w:tc>
          <w:tcPr>
            <w:tcW w:w="108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233</w:t>
            </w:r>
          </w:p>
        </w:tc>
        <w:tc>
          <w:tcPr>
            <w:tcW w:w="3737" w:type="dxa"/>
            <w:vAlign w:val="center"/>
          </w:tcPr>
          <w:p w:rsidR="00FF5F53" w:rsidRPr="00A90F8A" w:rsidRDefault="00673475" w:rsidP="00554E10">
            <w:pPr>
              <w:pStyle w:val="PPVTableText"/>
              <w:rPr>
                <w:rFonts w:asciiTheme="minorHAnsi" w:hAnsiTheme="minorHAnsi"/>
                <w:szCs w:val="20"/>
              </w:rPr>
            </w:pPr>
            <w:r w:rsidRPr="00A90F8A">
              <w:rPr>
                <w:rFonts w:asciiTheme="minorHAnsi" w:hAnsiTheme="minorHAnsi"/>
                <w:szCs w:val="20"/>
              </w:rPr>
              <w:t>Graeme Bruce Rowe</w:t>
            </w:r>
          </w:p>
        </w:tc>
      </w:tr>
      <w:tr w:rsidR="00FF5F53" w:rsidRPr="00A90F8A" w:rsidTr="00162307">
        <w:trPr>
          <w:cantSplit/>
        </w:trPr>
        <w:tc>
          <w:tcPr>
            <w:tcW w:w="110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107</w:t>
            </w:r>
          </w:p>
        </w:tc>
        <w:tc>
          <w:tcPr>
            <w:tcW w:w="3261" w:type="dxa"/>
            <w:vAlign w:val="center"/>
          </w:tcPr>
          <w:p w:rsidR="00FF5F53" w:rsidRPr="00A90F8A" w:rsidRDefault="00673475" w:rsidP="00673475">
            <w:pPr>
              <w:pStyle w:val="PPVTableText"/>
              <w:rPr>
                <w:rFonts w:asciiTheme="minorHAnsi" w:hAnsiTheme="minorHAnsi"/>
                <w:szCs w:val="20"/>
              </w:rPr>
            </w:pPr>
            <w:r w:rsidRPr="00A90F8A">
              <w:rPr>
                <w:rFonts w:asciiTheme="minorHAnsi" w:hAnsiTheme="minorHAnsi"/>
                <w:szCs w:val="20"/>
              </w:rPr>
              <w:t>Jesus Leyva Infante</w:t>
            </w:r>
          </w:p>
        </w:tc>
        <w:tc>
          <w:tcPr>
            <w:tcW w:w="1081" w:type="dxa"/>
            <w:vAlign w:val="center"/>
          </w:tcPr>
          <w:p w:rsidR="00FF5F53" w:rsidRPr="00A90F8A" w:rsidRDefault="00FF5F53" w:rsidP="00554E10">
            <w:pPr>
              <w:pStyle w:val="PPVTableText"/>
              <w:rPr>
                <w:rFonts w:asciiTheme="minorHAnsi" w:hAnsiTheme="minorHAnsi"/>
                <w:szCs w:val="20"/>
              </w:rPr>
            </w:pPr>
            <w:r w:rsidRPr="00A90F8A">
              <w:rPr>
                <w:rFonts w:asciiTheme="minorHAnsi" w:hAnsiTheme="minorHAnsi"/>
                <w:szCs w:val="20"/>
              </w:rPr>
              <w:t>234</w:t>
            </w:r>
          </w:p>
        </w:tc>
        <w:tc>
          <w:tcPr>
            <w:tcW w:w="3737" w:type="dxa"/>
            <w:vAlign w:val="center"/>
          </w:tcPr>
          <w:p w:rsidR="00FF5F53" w:rsidRPr="00A90F8A" w:rsidRDefault="00673475" w:rsidP="00554E10">
            <w:pPr>
              <w:pStyle w:val="PPVTableText"/>
              <w:rPr>
                <w:rFonts w:asciiTheme="minorHAnsi" w:hAnsiTheme="minorHAnsi"/>
                <w:szCs w:val="20"/>
              </w:rPr>
            </w:pPr>
            <w:r w:rsidRPr="00A90F8A">
              <w:rPr>
                <w:rFonts w:asciiTheme="minorHAnsi" w:hAnsiTheme="minorHAnsi"/>
                <w:szCs w:val="20"/>
              </w:rPr>
              <w:t>Port Melbourne Historical and Preservation Society</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108</w:t>
            </w:r>
          </w:p>
        </w:tc>
        <w:tc>
          <w:tcPr>
            <w:tcW w:w="3261" w:type="dxa"/>
            <w:vAlign w:val="center"/>
          </w:tcPr>
          <w:p w:rsidR="00673475" w:rsidRPr="00A90F8A" w:rsidRDefault="00673475" w:rsidP="00673475">
            <w:pPr>
              <w:pStyle w:val="PPVTableText"/>
              <w:rPr>
                <w:rFonts w:asciiTheme="minorHAnsi" w:hAnsiTheme="minorHAnsi"/>
                <w:szCs w:val="20"/>
              </w:rPr>
            </w:pPr>
            <w:r w:rsidRPr="00A90F8A">
              <w:rPr>
                <w:rFonts w:asciiTheme="minorHAnsi" w:hAnsiTheme="minorHAnsi"/>
                <w:szCs w:val="20"/>
              </w:rPr>
              <w:t>Jacobs Group</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235</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2"/>
              </w:rPr>
              <w:t>Gail Loveridge</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109</w:t>
            </w:r>
          </w:p>
        </w:tc>
        <w:tc>
          <w:tcPr>
            <w:tcW w:w="3261" w:type="dxa"/>
            <w:vAlign w:val="center"/>
          </w:tcPr>
          <w:p w:rsidR="00673475" w:rsidRPr="00A90F8A" w:rsidRDefault="00673475" w:rsidP="00673475">
            <w:pPr>
              <w:pStyle w:val="PPVTableText"/>
              <w:rPr>
                <w:rFonts w:asciiTheme="minorHAnsi" w:hAnsiTheme="minorHAnsi"/>
                <w:szCs w:val="20"/>
              </w:rPr>
            </w:pPr>
            <w:r w:rsidRPr="00A90F8A">
              <w:rPr>
                <w:rFonts w:asciiTheme="minorHAnsi" w:hAnsiTheme="minorHAnsi"/>
                <w:szCs w:val="20"/>
              </w:rPr>
              <w:t>HACP Pty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236</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Phil Ridgeway</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110</w:t>
            </w:r>
          </w:p>
        </w:tc>
        <w:tc>
          <w:tcPr>
            <w:tcW w:w="3261" w:type="dxa"/>
            <w:vAlign w:val="center"/>
          </w:tcPr>
          <w:p w:rsidR="00673475" w:rsidRPr="00A90F8A" w:rsidRDefault="00673475" w:rsidP="00673475">
            <w:pPr>
              <w:pStyle w:val="PPVTableText"/>
              <w:rPr>
                <w:rFonts w:asciiTheme="minorHAnsi" w:hAnsiTheme="minorHAnsi"/>
                <w:szCs w:val="20"/>
              </w:rPr>
            </w:pPr>
            <w:r w:rsidRPr="00A90F8A">
              <w:rPr>
                <w:rFonts w:asciiTheme="minorHAnsi" w:hAnsiTheme="minorHAnsi"/>
                <w:szCs w:val="20"/>
              </w:rPr>
              <w:t xml:space="preserve">Montague Community Alliance </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237</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Diger Nominees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111</w:t>
            </w:r>
          </w:p>
        </w:tc>
        <w:tc>
          <w:tcPr>
            <w:tcW w:w="3261" w:type="dxa"/>
            <w:vAlign w:val="center"/>
          </w:tcPr>
          <w:p w:rsidR="00673475" w:rsidRPr="00A90F8A" w:rsidRDefault="00673475" w:rsidP="00673475">
            <w:pPr>
              <w:pStyle w:val="PPVTableText"/>
              <w:rPr>
                <w:rFonts w:asciiTheme="minorHAnsi" w:hAnsiTheme="minorHAnsi"/>
                <w:szCs w:val="20"/>
              </w:rPr>
            </w:pPr>
            <w:r w:rsidRPr="00A90F8A">
              <w:rPr>
                <w:rFonts w:asciiTheme="minorHAnsi" w:hAnsiTheme="minorHAnsi"/>
                <w:szCs w:val="20"/>
              </w:rPr>
              <w:t>Jenny Leyva de Loryn</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238</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Kalijo Nominees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112</w:t>
            </w:r>
          </w:p>
        </w:tc>
        <w:tc>
          <w:tcPr>
            <w:tcW w:w="3261" w:type="dxa"/>
            <w:vAlign w:val="center"/>
          </w:tcPr>
          <w:p w:rsidR="00673475" w:rsidRPr="00A90F8A" w:rsidRDefault="00673475" w:rsidP="00673475">
            <w:pPr>
              <w:pStyle w:val="PPVTableText"/>
              <w:rPr>
                <w:rFonts w:asciiTheme="minorHAnsi" w:hAnsiTheme="minorHAnsi"/>
                <w:szCs w:val="20"/>
              </w:rPr>
            </w:pPr>
            <w:r w:rsidRPr="00A90F8A">
              <w:rPr>
                <w:rFonts w:asciiTheme="minorHAnsi" w:hAnsiTheme="minorHAnsi"/>
                <w:szCs w:val="20"/>
              </w:rPr>
              <w:t>Craig Bartle</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239</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CHIA Vic</w:t>
            </w:r>
            <w:r w:rsidR="0013526F">
              <w:rPr>
                <w:rFonts w:asciiTheme="minorHAnsi" w:hAnsiTheme="minorHAnsi"/>
                <w:color w:val="000000"/>
                <w:szCs w:val="20"/>
              </w:rPr>
              <w:t>toria</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113</w:t>
            </w:r>
          </w:p>
        </w:tc>
        <w:tc>
          <w:tcPr>
            <w:tcW w:w="3261" w:type="dxa"/>
            <w:vAlign w:val="center"/>
          </w:tcPr>
          <w:p w:rsidR="00673475" w:rsidRPr="00A90F8A" w:rsidRDefault="00475C1E" w:rsidP="00554E10">
            <w:pPr>
              <w:pStyle w:val="PPVTableText"/>
              <w:rPr>
                <w:rFonts w:asciiTheme="minorHAnsi" w:hAnsiTheme="minorHAnsi"/>
                <w:szCs w:val="20"/>
              </w:rPr>
            </w:pPr>
            <w:r w:rsidRPr="00A90F8A">
              <w:rPr>
                <w:rFonts w:asciiTheme="minorHAnsi" w:hAnsiTheme="minorHAnsi"/>
                <w:color w:val="000000"/>
                <w:szCs w:val="20"/>
              </w:rPr>
              <w:t>He family investment P</w:t>
            </w:r>
            <w:r w:rsidR="00673475" w:rsidRPr="00A90F8A">
              <w:rPr>
                <w:rFonts w:asciiTheme="minorHAnsi" w:hAnsiTheme="minorHAnsi"/>
                <w:color w:val="000000"/>
                <w:szCs w:val="20"/>
              </w:rPr>
              <w:t>ty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240</w:t>
            </w:r>
          </w:p>
        </w:tc>
        <w:tc>
          <w:tcPr>
            <w:tcW w:w="3737"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Stockland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114</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Sail and Adventure Ltd</w:t>
            </w:r>
          </w:p>
        </w:tc>
        <w:tc>
          <w:tcPr>
            <w:tcW w:w="108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241</w:t>
            </w:r>
          </w:p>
        </w:tc>
        <w:tc>
          <w:tcPr>
            <w:tcW w:w="3737" w:type="dxa"/>
            <w:vAlign w:val="center"/>
          </w:tcPr>
          <w:p w:rsidR="00673475" w:rsidRPr="00A90F8A" w:rsidRDefault="00CA2C38" w:rsidP="00554E10">
            <w:pPr>
              <w:pStyle w:val="PPVTableText"/>
              <w:rPr>
                <w:rFonts w:asciiTheme="minorHAnsi" w:hAnsiTheme="minorHAnsi"/>
                <w:szCs w:val="20"/>
              </w:rPr>
            </w:pPr>
            <w:r w:rsidRPr="00A90F8A">
              <w:rPr>
                <w:rFonts w:asciiTheme="minorHAnsi" w:hAnsiTheme="minorHAnsi"/>
                <w:szCs w:val="20"/>
              </w:rPr>
              <w:t>Chris Wark</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115</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Thistlethwaite St Pty Ltd</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242</w:t>
            </w:r>
          </w:p>
        </w:tc>
        <w:tc>
          <w:tcPr>
            <w:tcW w:w="3737" w:type="dxa"/>
            <w:vAlign w:val="center"/>
          </w:tcPr>
          <w:p w:rsidR="00CA2C38" w:rsidRPr="00A90F8A" w:rsidRDefault="00CA2C38" w:rsidP="00CA2C38">
            <w:pPr>
              <w:pStyle w:val="PPVTableText"/>
              <w:rPr>
                <w:rFonts w:asciiTheme="minorHAnsi" w:hAnsiTheme="minorHAnsi"/>
                <w:szCs w:val="20"/>
              </w:rPr>
            </w:pPr>
            <w:r w:rsidRPr="00A90F8A">
              <w:rPr>
                <w:rFonts w:asciiTheme="minorHAnsi" w:hAnsiTheme="minorHAnsi"/>
                <w:color w:val="000000"/>
                <w:szCs w:val="20"/>
              </w:rPr>
              <w:t xml:space="preserve">Core Complex Pty Ltd </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116</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Irwin Structures Pty Ltd</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243</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Affordable Housing Industry Advisory Group</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117</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Badi Aftasi</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244</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Kembla No. 16 P/L</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118</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Iain Stewart</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245</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Green Building Council of Australia</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119</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Reiko Nagao</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246</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Department of Health and Human Services</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120</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Perpetual Normanby</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247</w:t>
            </w:r>
          </w:p>
        </w:tc>
        <w:tc>
          <w:tcPr>
            <w:tcW w:w="3737" w:type="dxa"/>
            <w:vAlign w:val="center"/>
          </w:tcPr>
          <w:p w:rsidR="00CA2C38" w:rsidRPr="00A90F8A" w:rsidRDefault="00D65431" w:rsidP="00554E10">
            <w:pPr>
              <w:pStyle w:val="PPVTableText"/>
              <w:rPr>
                <w:rFonts w:asciiTheme="minorHAnsi" w:hAnsiTheme="minorHAnsi"/>
                <w:szCs w:val="20"/>
              </w:rPr>
            </w:pPr>
            <w:r>
              <w:rPr>
                <w:rFonts w:asciiTheme="minorHAnsi" w:hAnsiTheme="minorHAnsi"/>
                <w:color w:val="000000"/>
                <w:szCs w:val="20"/>
              </w:rPr>
              <w:t>Star</w:t>
            </w:r>
            <w:r w:rsidR="00CA2C38" w:rsidRPr="00A90F8A">
              <w:rPr>
                <w:rFonts w:asciiTheme="minorHAnsi" w:hAnsiTheme="minorHAnsi"/>
                <w:color w:val="000000"/>
                <w:szCs w:val="20"/>
              </w:rPr>
              <w:t xml:space="preserve"> Health</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121</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National Storage Property Trust</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248</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Nick Pastalatzis</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122</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Ken and Zan Anderson</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249</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Surveyors Place</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123</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Carri Nominees Pty Ltd</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250</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Salvo Group</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124</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S Clifton</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251</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Confidential</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125</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Fishermans Bend Network</w:t>
            </w:r>
          </w:p>
        </w:tc>
        <w:tc>
          <w:tcPr>
            <w:tcW w:w="108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252</w:t>
            </w:r>
          </w:p>
        </w:tc>
        <w:tc>
          <w:tcPr>
            <w:tcW w:w="3737"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Industry Business Hub PS 607275B</w:t>
            </w:r>
          </w:p>
        </w:tc>
      </w:tr>
      <w:tr w:rsidR="00CA2C38" w:rsidRPr="00A90F8A" w:rsidTr="00162307">
        <w:trPr>
          <w:cantSplit/>
        </w:trPr>
        <w:tc>
          <w:tcPr>
            <w:tcW w:w="110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szCs w:val="20"/>
              </w:rPr>
              <w:t>126</w:t>
            </w:r>
          </w:p>
        </w:tc>
        <w:tc>
          <w:tcPr>
            <w:tcW w:w="3261" w:type="dxa"/>
            <w:vAlign w:val="center"/>
          </w:tcPr>
          <w:p w:rsidR="00CA2C38" w:rsidRPr="00A90F8A" w:rsidRDefault="00CA2C38" w:rsidP="00554E10">
            <w:pPr>
              <w:pStyle w:val="PPVTableText"/>
              <w:rPr>
                <w:rFonts w:asciiTheme="minorHAnsi" w:hAnsiTheme="minorHAnsi"/>
                <w:szCs w:val="20"/>
              </w:rPr>
            </w:pPr>
            <w:r w:rsidRPr="00A90F8A">
              <w:rPr>
                <w:rFonts w:asciiTheme="minorHAnsi" w:hAnsiTheme="minorHAnsi"/>
                <w:color w:val="000000"/>
                <w:szCs w:val="20"/>
              </w:rPr>
              <w:t>Jennifer Frances Coutts</w:t>
            </w:r>
          </w:p>
        </w:tc>
        <w:tc>
          <w:tcPr>
            <w:tcW w:w="1081" w:type="dxa"/>
            <w:vAlign w:val="center"/>
          </w:tcPr>
          <w:p w:rsidR="00CA2C38" w:rsidRPr="00B1080D" w:rsidRDefault="00CA2C38" w:rsidP="00554E10">
            <w:pPr>
              <w:pStyle w:val="PPVTableText"/>
              <w:rPr>
                <w:rFonts w:asciiTheme="minorHAnsi" w:hAnsiTheme="minorHAnsi"/>
                <w:szCs w:val="20"/>
              </w:rPr>
            </w:pPr>
            <w:r w:rsidRPr="00B1080D">
              <w:rPr>
                <w:rFonts w:asciiTheme="minorHAnsi" w:hAnsiTheme="minorHAnsi"/>
                <w:szCs w:val="20"/>
              </w:rPr>
              <w:t>253</w:t>
            </w:r>
          </w:p>
        </w:tc>
        <w:tc>
          <w:tcPr>
            <w:tcW w:w="3737" w:type="dxa"/>
            <w:vAlign w:val="center"/>
          </w:tcPr>
          <w:p w:rsidR="00CA2C38" w:rsidRPr="00B1080D" w:rsidRDefault="00CA2C38" w:rsidP="00554E10">
            <w:pPr>
              <w:pStyle w:val="PPVTableText"/>
              <w:rPr>
                <w:rFonts w:asciiTheme="minorHAnsi" w:hAnsiTheme="minorHAnsi"/>
                <w:szCs w:val="20"/>
              </w:rPr>
            </w:pPr>
            <w:r w:rsidRPr="00B1080D">
              <w:rPr>
                <w:rFonts w:asciiTheme="minorHAnsi" w:hAnsiTheme="minorHAnsi"/>
                <w:color w:val="000000"/>
                <w:szCs w:val="20"/>
              </w:rPr>
              <w:t>Lorimer Properties Pty Ltd</w:t>
            </w:r>
          </w:p>
        </w:tc>
      </w:tr>
      <w:tr w:rsidR="00673475" w:rsidRPr="00A90F8A" w:rsidTr="00162307">
        <w:trPr>
          <w:cantSplit/>
        </w:trPr>
        <w:tc>
          <w:tcPr>
            <w:tcW w:w="110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127</w:t>
            </w:r>
          </w:p>
        </w:tc>
        <w:tc>
          <w:tcPr>
            <w:tcW w:w="3261" w:type="dxa"/>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color w:val="000000"/>
                <w:szCs w:val="20"/>
              </w:rPr>
              <w:t>Bronwyn Margaret Williams</w:t>
            </w:r>
          </w:p>
        </w:tc>
        <w:tc>
          <w:tcPr>
            <w:tcW w:w="1081" w:type="dxa"/>
            <w:vAlign w:val="center"/>
          </w:tcPr>
          <w:p w:rsidR="00673475" w:rsidRPr="00B1080D" w:rsidRDefault="00BB75BC" w:rsidP="00554E10">
            <w:pPr>
              <w:pStyle w:val="PPVTableText"/>
              <w:rPr>
                <w:rFonts w:asciiTheme="minorHAnsi" w:hAnsiTheme="minorHAnsi"/>
                <w:szCs w:val="20"/>
              </w:rPr>
            </w:pPr>
            <w:r w:rsidRPr="00B1080D">
              <w:rPr>
                <w:rFonts w:asciiTheme="minorHAnsi" w:hAnsiTheme="minorHAnsi"/>
                <w:szCs w:val="20"/>
              </w:rPr>
              <w:t>254</w:t>
            </w:r>
          </w:p>
        </w:tc>
        <w:tc>
          <w:tcPr>
            <w:tcW w:w="3737" w:type="dxa"/>
            <w:vAlign w:val="center"/>
          </w:tcPr>
          <w:p w:rsidR="00673475" w:rsidRPr="00B1080D" w:rsidRDefault="00BB75BC" w:rsidP="00554E10">
            <w:pPr>
              <w:pStyle w:val="PPVTableText"/>
              <w:rPr>
                <w:rFonts w:asciiTheme="minorHAnsi" w:hAnsiTheme="minorHAnsi"/>
                <w:szCs w:val="20"/>
              </w:rPr>
            </w:pPr>
            <w:r w:rsidRPr="00B1080D">
              <w:rPr>
                <w:rFonts w:asciiTheme="minorHAnsi" w:hAnsiTheme="minorHAnsi"/>
                <w:szCs w:val="20"/>
              </w:rPr>
              <w:t>Inchcape Australia Pty Ltd</w:t>
            </w:r>
          </w:p>
        </w:tc>
      </w:tr>
      <w:tr w:rsidR="00673475" w:rsidRPr="00A90F8A" w:rsidTr="00162307">
        <w:trPr>
          <w:cantSplit/>
        </w:trPr>
        <w:tc>
          <w:tcPr>
            <w:tcW w:w="1101" w:type="dxa"/>
            <w:tcBorders>
              <w:bottom w:val="single" w:sz="4" w:space="0" w:color="auto"/>
            </w:tcBorders>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128</w:t>
            </w:r>
          </w:p>
        </w:tc>
        <w:tc>
          <w:tcPr>
            <w:tcW w:w="3261" w:type="dxa"/>
            <w:tcBorders>
              <w:bottom w:val="single" w:sz="4" w:space="0" w:color="auto"/>
            </w:tcBorders>
            <w:vAlign w:val="center"/>
          </w:tcPr>
          <w:p w:rsidR="00673475" w:rsidRPr="00A90F8A" w:rsidRDefault="00673475" w:rsidP="00554E10">
            <w:pPr>
              <w:pStyle w:val="PPVTableText"/>
              <w:rPr>
                <w:rFonts w:asciiTheme="minorHAnsi" w:hAnsiTheme="minorHAnsi"/>
                <w:szCs w:val="20"/>
              </w:rPr>
            </w:pPr>
            <w:r w:rsidRPr="00A90F8A">
              <w:rPr>
                <w:rFonts w:asciiTheme="minorHAnsi" w:hAnsiTheme="minorHAnsi"/>
                <w:szCs w:val="20"/>
              </w:rPr>
              <w:t>Specific Property Pty Ltd</w:t>
            </w:r>
          </w:p>
        </w:tc>
        <w:tc>
          <w:tcPr>
            <w:tcW w:w="1081" w:type="dxa"/>
            <w:tcBorders>
              <w:bottom w:val="single" w:sz="4" w:space="0" w:color="auto"/>
            </w:tcBorders>
            <w:vAlign w:val="center"/>
          </w:tcPr>
          <w:p w:rsidR="00673475" w:rsidRPr="00A90F8A" w:rsidRDefault="00162307" w:rsidP="00554E10">
            <w:pPr>
              <w:pStyle w:val="PPVTableText"/>
              <w:rPr>
                <w:rFonts w:asciiTheme="minorHAnsi" w:hAnsiTheme="minorHAnsi"/>
                <w:szCs w:val="20"/>
              </w:rPr>
            </w:pPr>
            <w:r>
              <w:rPr>
                <w:rFonts w:asciiTheme="minorHAnsi" w:hAnsiTheme="minorHAnsi"/>
                <w:szCs w:val="20"/>
              </w:rPr>
              <w:t>255</w:t>
            </w:r>
          </w:p>
        </w:tc>
        <w:tc>
          <w:tcPr>
            <w:tcW w:w="3737" w:type="dxa"/>
            <w:tcBorders>
              <w:bottom w:val="single" w:sz="4" w:space="0" w:color="auto"/>
            </w:tcBorders>
            <w:vAlign w:val="center"/>
          </w:tcPr>
          <w:p w:rsidR="00673475" w:rsidRPr="00A90F8A" w:rsidRDefault="00162307" w:rsidP="00554E10">
            <w:pPr>
              <w:pStyle w:val="PPVTableText"/>
              <w:rPr>
                <w:rFonts w:asciiTheme="minorHAnsi" w:hAnsiTheme="minorHAnsi"/>
                <w:szCs w:val="20"/>
              </w:rPr>
            </w:pPr>
            <w:r w:rsidRPr="00162307">
              <w:rPr>
                <w:rFonts w:asciiTheme="minorHAnsi" w:hAnsiTheme="minorHAnsi"/>
                <w:szCs w:val="20"/>
              </w:rPr>
              <w:t>Eldorado Group; Betieport Pty Ltd &amp; Ingleport Pty Ltd</w:t>
            </w:r>
          </w:p>
        </w:tc>
      </w:tr>
    </w:tbl>
    <w:p w:rsidR="00BB766C" w:rsidRPr="00A90F8A" w:rsidRDefault="00BB766C" w:rsidP="000C5DD2">
      <w:pPr>
        <w:pStyle w:val="PPVBody"/>
        <w:rPr>
          <w:rFonts w:asciiTheme="minorHAnsi" w:hAnsiTheme="minorHAnsi"/>
        </w:rPr>
      </w:pPr>
    </w:p>
    <w:p w:rsidR="00D775D4" w:rsidRPr="00A90F8A" w:rsidRDefault="00D775D4">
      <w:pPr>
        <w:spacing w:before="0"/>
        <w:jc w:val="left"/>
        <w:rPr>
          <w:rFonts w:asciiTheme="minorHAnsi" w:hAnsiTheme="minorHAnsi"/>
        </w:rPr>
      </w:pPr>
      <w:r w:rsidRPr="00A90F8A">
        <w:rPr>
          <w:rFonts w:asciiTheme="minorHAnsi" w:hAnsiTheme="minorHAnsi"/>
          <w:b/>
        </w:rPr>
        <w:br w:type="page"/>
      </w:r>
    </w:p>
    <w:p w:rsidR="004335DE" w:rsidRDefault="004335DE" w:rsidP="008B68A1">
      <w:pPr>
        <w:pStyle w:val="PPVAppendixHeading1"/>
        <w:rPr>
          <w:rFonts w:asciiTheme="minorHAnsi" w:hAnsiTheme="minorHAnsi"/>
        </w:rPr>
      </w:pPr>
      <w:bookmarkStart w:id="1250" w:name="_Toc519710347"/>
      <w:bookmarkStart w:id="1251" w:name="_Toc519766907"/>
      <w:r w:rsidRPr="00A90F8A">
        <w:rPr>
          <w:rFonts w:asciiTheme="minorHAnsi" w:hAnsiTheme="minorHAnsi"/>
        </w:rPr>
        <w:lastRenderedPageBreak/>
        <w:t xml:space="preserve">Appendix </w:t>
      </w:r>
      <w:r w:rsidR="00C166F2" w:rsidRPr="00A90F8A">
        <w:rPr>
          <w:rFonts w:asciiTheme="minorHAnsi" w:hAnsiTheme="minorHAnsi"/>
        </w:rPr>
        <w:t>C:</w:t>
      </w:r>
      <w:r w:rsidRPr="00A90F8A">
        <w:rPr>
          <w:rFonts w:asciiTheme="minorHAnsi" w:hAnsiTheme="minorHAnsi"/>
        </w:rPr>
        <w:tab/>
        <w:t xml:space="preserve">Parties to the </w:t>
      </w:r>
      <w:r w:rsidR="00B93FAD">
        <w:rPr>
          <w:rFonts w:asciiTheme="minorHAnsi" w:hAnsiTheme="minorHAnsi"/>
        </w:rPr>
        <w:t xml:space="preserve">Review </w:t>
      </w:r>
      <w:r w:rsidRPr="00A90F8A">
        <w:rPr>
          <w:rFonts w:asciiTheme="minorHAnsi" w:hAnsiTheme="minorHAnsi"/>
        </w:rPr>
        <w:t>Panel Hearing</w:t>
      </w:r>
      <w:bookmarkEnd w:id="1250"/>
      <w:bookmarkEnd w:id="1251"/>
    </w:p>
    <w:tbl>
      <w:tblPr>
        <w:tblW w:w="9180" w:type="dxa"/>
        <w:tblBorders>
          <w:top w:val="single" w:sz="12" w:space="0" w:color="auto"/>
          <w:bottom w:val="single" w:sz="12" w:space="0" w:color="auto"/>
          <w:insideH w:val="dotted" w:sz="4" w:space="0" w:color="7F7F7F"/>
        </w:tblBorders>
        <w:tblLook w:val="04A0" w:firstRow="1" w:lastRow="0" w:firstColumn="1" w:lastColumn="0" w:noHBand="0" w:noVBand="1"/>
      </w:tblPr>
      <w:tblGrid>
        <w:gridCol w:w="3794"/>
        <w:gridCol w:w="5386"/>
      </w:tblGrid>
      <w:tr w:rsidR="00693FC1" w:rsidRPr="004B1EB0" w:rsidTr="00693FC1">
        <w:tc>
          <w:tcPr>
            <w:tcW w:w="3794" w:type="dxa"/>
            <w:tcBorders>
              <w:top w:val="nil"/>
              <w:bottom w:val="nil"/>
            </w:tcBorders>
            <w:shd w:val="clear" w:color="auto" w:fill="215868" w:themeFill="accent5" w:themeFillShade="80"/>
          </w:tcPr>
          <w:p w:rsidR="00693FC1" w:rsidRPr="004B1EB0" w:rsidRDefault="00693FC1" w:rsidP="00693FC1">
            <w:pPr>
              <w:pStyle w:val="PPVTableHeader"/>
              <w:rPr>
                <w:sz w:val="22"/>
                <w:szCs w:val="22"/>
              </w:rPr>
            </w:pPr>
            <w:r w:rsidRPr="004B1EB0">
              <w:rPr>
                <w:sz w:val="22"/>
                <w:szCs w:val="22"/>
              </w:rPr>
              <w:t>Submitter</w:t>
            </w:r>
          </w:p>
        </w:tc>
        <w:tc>
          <w:tcPr>
            <w:tcW w:w="5386" w:type="dxa"/>
            <w:tcBorders>
              <w:top w:val="nil"/>
              <w:bottom w:val="nil"/>
            </w:tcBorders>
            <w:shd w:val="clear" w:color="auto" w:fill="215868" w:themeFill="accent5" w:themeFillShade="80"/>
          </w:tcPr>
          <w:p w:rsidR="00693FC1" w:rsidRPr="004B1EB0" w:rsidRDefault="00693FC1" w:rsidP="00693FC1">
            <w:pPr>
              <w:pStyle w:val="PPVTableHeader"/>
              <w:rPr>
                <w:sz w:val="22"/>
                <w:szCs w:val="22"/>
              </w:rPr>
            </w:pPr>
            <w:r w:rsidRPr="004B1EB0">
              <w:rPr>
                <w:sz w:val="22"/>
                <w:szCs w:val="22"/>
              </w:rPr>
              <w:t>Represented by</w:t>
            </w:r>
          </w:p>
        </w:tc>
      </w:tr>
      <w:tr w:rsidR="00693FC1" w:rsidRPr="00660BED" w:rsidTr="00693FC1">
        <w:tc>
          <w:tcPr>
            <w:tcW w:w="3794" w:type="dxa"/>
            <w:tcBorders>
              <w:top w:val="nil"/>
            </w:tcBorders>
          </w:tcPr>
          <w:p w:rsidR="00693FC1" w:rsidRPr="00693FC1" w:rsidRDefault="00693FC1" w:rsidP="00693FC1">
            <w:pPr>
              <w:pStyle w:val="PPVTableText"/>
              <w:rPr>
                <w:szCs w:val="20"/>
              </w:rPr>
            </w:pPr>
            <w:r w:rsidRPr="00693FC1">
              <w:rPr>
                <w:szCs w:val="20"/>
              </w:rPr>
              <w:t>Minister for Planning</w:t>
            </w:r>
          </w:p>
        </w:tc>
        <w:tc>
          <w:tcPr>
            <w:tcW w:w="5386" w:type="dxa"/>
            <w:tcBorders>
              <w:top w:val="nil"/>
            </w:tcBorders>
          </w:tcPr>
          <w:p w:rsidR="00EE461B" w:rsidRDefault="00693FC1" w:rsidP="00693FC1">
            <w:pPr>
              <w:pStyle w:val="PPVTableText"/>
              <w:rPr>
                <w:szCs w:val="20"/>
              </w:rPr>
            </w:pPr>
            <w:r w:rsidRPr="00693FC1">
              <w:rPr>
                <w:szCs w:val="20"/>
              </w:rPr>
              <w:t>Susan Brennan</w:t>
            </w:r>
            <w:r w:rsidR="00B93FAD">
              <w:rPr>
                <w:szCs w:val="20"/>
              </w:rPr>
              <w:t xml:space="preserve"> SC</w:t>
            </w:r>
            <w:r w:rsidRPr="00693FC1">
              <w:rPr>
                <w:szCs w:val="20"/>
              </w:rPr>
              <w:t>, Rupert Watters and Marita Foley of Counsel, instructed by Harwood Andrews</w:t>
            </w:r>
            <w:r w:rsidR="005E578D">
              <w:rPr>
                <w:szCs w:val="20"/>
              </w:rPr>
              <w:t>, who called evidence from:</w:t>
            </w:r>
          </w:p>
          <w:p w:rsidR="00693FC1" w:rsidRPr="009274FB" w:rsidRDefault="00693FC1" w:rsidP="009274FB">
            <w:pPr>
              <w:pStyle w:val="PPVTableTextBullet"/>
            </w:pPr>
            <w:r w:rsidRPr="009274FB">
              <w:t>Leanne Hodyl of Hodyl + Co on urban design</w:t>
            </w:r>
          </w:p>
          <w:p w:rsidR="00693FC1" w:rsidRPr="009274FB" w:rsidRDefault="00693FC1" w:rsidP="009274FB">
            <w:pPr>
              <w:pStyle w:val="PPVTableTextBullet"/>
            </w:pPr>
            <w:r w:rsidRPr="009274FB">
              <w:t>John Glossop of Glossop Town Planning on planning</w:t>
            </w:r>
          </w:p>
          <w:p w:rsidR="00EE461B" w:rsidRPr="009274FB" w:rsidRDefault="00693FC1" w:rsidP="009274FB">
            <w:pPr>
              <w:pStyle w:val="PPVTableTextBullet"/>
            </w:pPr>
            <w:r w:rsidRPr="009274FB">
              <w:t>Luke Mackintosh of Ernst &amp; Young on development viability</w:t>
            </w:r>
          </w:p>
          <w:p w:rsidR="00693FC1" w:rsidRPr="009274FB" w:rsidRDefault="00693FC1" w:rsidP="009274FB">
            <w:pPr>
              <w:pStyle w:val="PPVTableTextBullet"/>
            </w:pPr>
            <w:r w:rsidRPr="009274FB">
              <w:t>Julian Szafr</w:t>
            </w:r>
            <w:r w:rsidR="00D70C8D">
              <w:t>a</w:t>
            </w:r>
            <w:r w:rsidRPr="009274FB">
              <w:t>niec of SGS Economics &amp; Planning on economic context</w:t>
            </w:r>
          </w:p>
          <w:p w:rsidR="00693FC1" w:rsidRPr="009274FB" w:rsidRDefault="00693FC1" w:rsidP="009274FB">
            <w:pPr>
              <w:pStyle w:val="PPVTableTextBullet"/>
            </w:pPr>
            <w:r w:rsidRPr="009274FB">
              <w:t>Joanna Thompson of Thompson Berrill Landscape Design on open space planning</w:t>
            </w:r>
          </w:p>
          <w:p w:rsidR="00693FC1" w:rsidRPr="009274FB" w:rsidRDefault="00693FC1" w:rsidP="009274FB">
            <w:pPr>
              <w:pStyle w:val="PPVTableTextBullet"/>
            </w:pPr>
            <w:r w:rsidRPr="009274FB">
              <w:t>Will Fooks of GTA Consultants on strategic transport planning</w:t>
            </w:r>
          </w:p>
          <w:p w:rsidR="00693FC1" w:rsidRPr="009274FB" w:rsidRDefault="00693FC1" w:rsidP="009274FB">
            <w:pPr>
              <w:pStyle w:val="PPVTableTextBullet"/>
            </w:pPr>
            <w:r w:rsidRPr="009274FB">
              <w:t>Professor Donald Bates of Lab Architect Studio on urban design</w:t>
            </w:r>
          </w:p>
          <w:p w:rsidR="00693FC1" w:rsidRPr="00693FC1" w:rsidRDefault="00693FC1" w:rsidP="009274FB">
            <w:pPr>
              <w:pStyle w:val="PPVTableTextBullet"/>
            </w:pPr>
            <w:r w:rsidRPr="009274FB">
              <w:t>John Kiriakidis of GTA Consultants on strategic transport</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City of Port Phillip</w:t>
            </w:r>
          </w:p>
        </w:tc>
        <w:tc>
          <w:tcPr>
            <w:tcW w:w="5386" w:type="dxa"/>
          </w:tcPr>
          <w:p w:rsidR="00693FC1" w:rsidRPr="00693FC1" w:rsidRDefault="00693FC1" w:rsidP="00693FC1">
            <w:pPr>
              <w:pStyle w:val="PPVTableText"/>
              <w:rPr>
                <w:szCs w:val="20"/>
              </w:rPr>
            </w:pPr>
            <w:r w:rsidRPr="00693FC1">
              <w:rPr>
                <w:szCs w:val="20"/>
              </w:rPr>
              <w:t>Terry Montebello and Briana Eastaugh of Maddocks, with Aiden O’Neill of Council</w:t>
            </w:r>
            <w:r w:rsidR="005E578D">
              <w:rPr>
                <w:szCs w:val="20"/>
              </w:rPr>
              <w:t>, who called evidence from:</w:t>
            </w:r>
          </w:p>
          <w:p w:rsidR="00EE461B" w:rsidRPr="009274FB" w:rsidRDefault="00693FC1" w:rsidP="009274FB">
            <w:pPr>
              <w:pStyle w:val="PPVTableTextBullet"/>
            </w:pPr>
            <w:r w:rsidRPr="009274FB">
              <w:t>Paul Shipp of Urban Enterprise on infrastructure</w:t>
            </w:r>
          </w:p>
          <w:p w:rsidR="00693FC1" w:rsidRPr="009274FB" w:rsidRDefault="00693FC1" w:rsidP="009274FB">
            <w:pPr>
              <w:pStyle w:val="PPVTableTextBullet"/>
            </w:pPr>
            <w:r w:rsidRPr="009274FB">
              <w:t>Tom Patterson of Ramboll on flood mitigation</w:t>
            </w:r>
          </w:p>
          <w:p w:rsidR="00693FC1" w:rsidRPr="009274FB" w:rsidRDefault="00693FC1" w:rsidP="009274FB">
            <w:pPr>
              <w:pStyle w:val="PPVTableTextBullet"/>
            </w:pPr>
            <w:r w:rsidRPr="009274FB">
              <w:t>Marcus Spiller of SGS on affordable housing</w:t>
            </w:r>
          </w:p>
          <w:p w:rsidR="00693FC1" w:rsidRPr="00693FC1" w:rsidRDefault="00693FC1" w:rsidP="009274FB">
            <w:pPr>
              <w:pStyle w:val="PPVTableTextBullet"/>
            </w:pPr>
            <w:r w:rsidRPr="009274FB">
              <w:t>Simon McPherson of Global South on urban design</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City of Melbourne</w:t>
            </w:r>
          </w:p>
        </w:tc>
        <w:tc>
          <w:tcPr>
            <w:tcW w:w="5386" w:type="dxa"/>
          </w:tcPr>
          <w:p w:rsidR="00693FC1" w:rsidRPr="00693FC1" w:rsidRDefault="00693FC1" w:rsidP="00693FC1">
            <w:pPr>
              <w:pStyle w:val="PPVTableText"/>
              <w:rPr>
                <w:szCs w:val="20"/>
              </w:rPr>
            </w:pPr>
            <w:r w:rsidRPr="00693FC1">
              <w:rPr>
                <w:szCs w:val="20"/>
              </w:rPr>
              <w:t>Juliet Forsyth and Eliza Bergin of Counsel</w:t>
            </w:r>
            <w:r w:rsidR="005E578D">
              <w:rPr>
                <w:szCs w:val="20"/>
              </w:rPr>
              <w:t>, who called evidence from:</w:t>
            </w:r>
          </w:p>
          <w:p w:rsidR="00693FC1" w:rsidRPr="009274FB" w:rsidRDefault="00693FC1" w:rsidP="009274FB">
            <w:pPr>
              <w:pStyle w:val="PPVTableTextBullet"/>
            </w:pPr>
            <w:r w:rsidRPr="009274FB">
              <w:t>Rob Milner of 10 Consulting Group on planning</w:t>
            </w:r>
          </w:p>
          <w:p w:rsidR="00693FC1" w:rsidRPr="009274FB" w:rsidRDefault="00693FC1" w:rsidP="009274FB">
            <w:pPr>
              <w:pStyle w:val="PPVTableTextBullet"/>
            </w:pPr>
            <w:r w:rsidRPr="009274FB">
              <w:t>Koos de Keijzer of DKO Architecture Pty Ltd on urban design</w:t>
            </w:r>
          </w:p>
          <w:p w:rsidR="00693FC1" w:rsidRPr="00693FC1" w:rsidRDefault="00693FC1" w:rsidP="009274FB">
            <w:pPr>
              <w:pStyle w:val="PPVTableTextBullet"/>
            </w:pPr>
            <w:r w:rsidRPr="009274FB">
              <w:t>Euon Williamson of Creative Enterprise Environment on ESD</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202N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Alex Gelber of HWL Ebsworth Lawyers</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Ace Body Corporate Management</w:t>
            </w:r>
          </w:p>
        </w:tc>
        <w:tc>
          <w:tcPr>
            <w:tcW w:w="5386" w:type="dxa"/>
          </w:tcPr>
          <w:p w:rsidR="00693FC1" w:rsidRPr="00693FC1" w:rsidRDefault="00693FC1" w:rsidP="00693FC1">
            <w:pPr>
              <w:pStyle w:val="PPVTableText"/>
              <w:rPr>
                <w:szCs w:val="20"/>
              </w:rPr>
            </w:pPr>
            <w:r w:rsidRPr="00693FC1">
              <w:rPr>
                <w:szCs w:val="20"/>
              </w:rPr>
              <w:t>Julie McLean and Ben Mahon</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Affordable Housing Industry Group</w:t>
            </w:r>
          </w:p>
        </w:tc>
        <w:tc>
          <w:tcPr>
            <w:tcW w:w="5386" w:type="dxa"/>
          </w:tcPr>
          <w:p w:rsidR="00693FC1" w:rsidRPr="00693FC1" w:rsidRDefault="00693FC1" w:rsidP="00693FC1">
            <w:pPr>
              <w:pStyle w:val="PPVTableText"/>
              <w:rPr>
                <w:szCs w:val="20"/>
              </w:rPr>
            </w:pPr>
            <w:r w:rsidRPr="00693FC1">
              <w:rPr>
                <w:szCs w:val="20"/>
              </w:rPr>
              <w:t>Nicola Foxworthy and Kate Breen</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ANZ</w:t>
            </w:r>
          </w:p>
          <w:p w:rsidR="00693FC1" w:rsidRPr="00693FC1" w:rsidRDefault="00693FC1" w:rsidP="00693FC1">
            <w:pPr>
              <w:pStyle w:val="PPVTableText"/>
              <w:rPr>
                <w:szCs w:val="20"/>
              </w:rPr>
            </w:pPr>
            <w:r w:rsidRPr="00693FC1">
              <w:rPr>
                <w:szCs w:val="20"/>
              </w:rPr>
              <w:t>Diamond Salmon Pty Ltd and Prime Port Melbourne Pty Ltd</w:t>
            </w:r>
          </w:p>
          <w:p w:rsidR="00693FC1" w:rsidRPr="00693FC1" w:rsidRDefault="00693FC1" w:rsidP="00693FC1">
            <w:pPr>
              <w:pStyle w:val="PPVTableText"/>
              <w:rPr>
                <w:szCs w:val="20"/>
              </w:rPr>
            </w:pPr>
            <w:r w:rsidRPr="00693FC1">
              <w:rPr>
                <w:szCs w:val="20"/>
              </w:rPr>
              <w:t>One Smart Pty Ltd</w:t>
            </w:r>
          </w:p>
          <w:p w:rsidR="00693FC1" w:rsidRPr="00693FC1" w:rsidRDefault="00693FC1" w:rsidP="00693FC1">
            <w:pPr>
              <w:pStyle w:val="PPVTableText"/>
              <w:rPr>
                <w:szCs w:val="20"/>
              </w:rPr>
            </w:pPr>
            <w:r w:rsidRPr="00693FC1">
              <w:rPr>
                <w:szCs w:val="20"/>
              </w:rPr>
              <w:t>Mitmazal Pty Ltd</w:t>
            </w:r>
          </w:p>
          <w:p w:rsidR="00693FC1" w:rsidRPr="00693FC1" w:rsidRDefault="00693FC1" w:rsidP="00693FC1">
            <w:pPr>
              <w:pStyle w:val="PPVTableText"/>
              <w:rPr>
                <w:szCs w:val="20"/>
              </w:rPr>
            </w:pPr>
            <w:r w:rsidRPr="00693FC1">
              <w:rPr>
                <w:szCs w:val="20"/>
              </w:rPr>
              <w:t>Moniton Pty Ltd</w:t>
            </w:r>
          </w:p>
          <w:p w:rsidR="00693FC1" w:rsidRPr="00693FC1" w:rsidRDefault="00693FC1" w:rsidP="00693FC1">
            <w:pPr>
              <w:pStyle w:val="PPVTableText"/>
              <w:rPr>
                <w:szCs w:val="20"/>
              </w:rPr>
            </w:pPr>
            <w:r w:rsidRPr="00693FC1">
              <w:rPr>
                <w:szCs w:val="20"/>
              </w:rPr>
              <w:t>Thistlethwaite St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 xml:space="preserve">Nicola Collingwood of Counsel, instructed by Rigby Cooke, </w:t>
            </w:r>
            <w:r w:rsidR="005E578D">
              <w:rPr>
                <w:szCs w:val="20"/>
              </w:rPr>
              <w:t>who called evidence from:</w:t>
            </w:r>
          </w:p>
          <w:p w:rsidR="00693FC1" w:rsidRPr="00693FC1" w:rsidRDefault="00693FC1" w:rsidP="009274FB">
            <w:pPr>
              <w:pStyle w:val="PPVTableTextBullet"/>
            </w:pPr>
            <w:r w:rsidRPr="00693FC1">
              <w:t>David Barnes of Hansen Partnership on planning</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APA Group</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Natalie Bannister of Hall and Wilcox</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Aquaino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Chris Canavan QC, instructed by HWL Ebsworth Lawyers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Armsby Architects</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 xml:space="preserve">John Armsby </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Ausun Property CBD Pty Ltd; Gladyslake Pty Ltd; D W Keir Pty Ltd</w:t>
            </w:r>
          </w:p>
          <w:p w:rsidR="00693FC1" w:rsidRPr="00693FC1" w:rsidRDefault="00693FC1" w:rsidP="00693FC1">
            <w:pPr>
              <w:pStyle w:val="PPVTableText"/>
              <w:rPr>
                <w:szCs w:val="20"/>
              </w:rPr>
            </w:pPr>
            <w:r w:rsidRPr="00693FC1">
              <w:rPr>
                <w:szCs w:val="20"/>
              </w:rPr>
              <w:t>Core Complex Pty Ltd</w:t>
            </w:r>
          </w:p>
          <w:p w:rsidR="00693FC1" w:rsidRPr="00693FC1" w:rsidRDefault="00693FC1" w:rsidP="00693FC1">
            <w:pPr>
              <w:pStyle w:val="PPVTableText"/>
              <w:rPr>
                <w:szCs w:val="20"/>
              </w:rPr>
            </w:pPr>
            <w:r w:rsidRPr="00693FC1">
              <w:rPr>
                <w:szCs w:val="20"/>
              </w:rPr>
              <w:t>E133 Property Developments</w:t>
            </w:r>
          </w:p>
          <w:p w:rsidR="00693FC1" w:rsidRPr="00693FC1" w:rsidRDefault="00693FC1" w:rsidP="00693FC1">
            <w:pPr>
              <w:pStyle w:val="PPVTableText"/>
              <w:rPr>
                <w:szCs w:val="20"/>
              </w:rPr>
            </w:pPr>
            <w:r w:rsidRPr="00693FC1">
              <w:rPr>
                <w:szCs w:val="20"/>
              </w:rPr>
              <w:lastRenderedPageBreak/>
              <w:t>EPC Pacific Pty Ltd</w:t>
            </w:r>
          </w:p>
          <w:p w:rsidR="00693FC1" w:rsidRPr="00693FC1" w:rsidRDefault="00693FC1" w:rsidP="00693FC1">
            <w:pPr>
              <w:pStyle w:val="PPVTableText"/>
              <w:rPr>
                <w:szCs w:val="20"/>
              </w:rPr>
            </w:pPr>
            <w:r w:rsidRPr="00693FC1">
              <w:rPr>
                <w:szCs w:val="20"/>
              </w:rPr>
              <w:t>Gurner 2</w:t>
            </w:r>
            <w:r w:rsidR="00A80B82">
              <w:rPr>
                <w:szCs w:val="20"/>
              </w:rPr>
              <w:t xml:space="preserve"> – </w:t>
            </w:r>
            <w:r w:rsidRPr="00693FC1">
              <w:rPr>
                <w:szCs w:val="20"/>
              </w:rPr>
              <w:t>28 Montague Street</w:t>
            </w:r>
          </w:p>
          <w:p w:rsidR="00693FC1" w:rsidRPr="00693FC1" w:rsidRDefault="00693FC1" w:rsidP="00693FC1">
            <w:pPr>
              <w:pStyle w:val="PPVTableText"/>
              <w:rPr>
                <w:szCs w:val="20"/>
              </w:rPr>
            </w:pPr>
            <w:r w:rsidRPr="00693FC1">
              <w:rPr>
                <w:szCs w:val="20"/>
              </w:rPr>
              <w:t>Lateral Estate Pty Ltd</w:t>
            </w:r>
          </w:p>
          <w:p w:rsidR="00693FC1" w:rsidRPr="00693FC1" w:rsidRDefault="00693FC1" w:rsidP="00693FC1">
            <w:pPr>
              <w:pStyle w:val="PPVTableText"/>
              <w:rPr>
                <w:szCs w:val="20"/>
              </w:rPr>
            </w:pPr>
            <w:r w:rsidRPr="00693FC1">
              <w:rPr>
                <w:szCs w:val="20"/>
              </w:rPr>
              <w:t>Lorimer Place Owners Corporation</w:t>
            </w:r>
          </w:p>
          <w:p w:rsidR="00693FC1" w:rsidRPr="00693FC1" w:rsidRDefault="00693FC1" w:rsidP="00693FC1">
            <w:pPr>
              <w:pStyle w:val="PPVTableText"/>
              <w:rPr>
                <w:szCs w:val="20"/>
              </w:rPr>
            </w:pPr>
            <w:r w:rsidRPr="00693FC1">
              <w:rPr>
                <w:szCs w:val="20"/>
              </w:rPr>
              <w:t>Lutkas Pty Ltd</w:t>
            </w:r>
          </w:p>
          <w:p w:rsidR="00693FC1" w:rsidRPr="00693FC1" w:rsidRDefault="00693FC1" w:rsidP="00693FC1">
            <w:pPr>
              <w:pStyle w:val="PPVTableText"/>
              <w:rPr>
                <w:szCs w:val="20"/>
              </w:rPr>
            </w:pPr>
            <w:r w:rsidRPr="00693FC1">
              <w:rPr>
                <w:szCs w:val="20"/>
              </w:rPr>
              <w:t>The Jane Property Group</w:t>
            </w:r>
          </w:p>
          <w:p w:rsidR="00693FC1" w:rsidRPr="00693FC1" w:rsidRDefault="00693FC1" w:rsidP="00693FC1">
            <w:pPr>
              <w:pStyle w:val="PPVTableText"/>
              <w:rPr>
                <w:szCs w:val="20"/>
              </w:rPr>
            </w:pPr>
            <w:r w:rsidRPr="00693FC1">
              <w:rPr>
                <w:szCs w:val="20"/>
              </w:rPr>
              <w:t>Thousand Degree Pty Ltd</w:t>
            </w:r>
          </w:p>
          <w:p w:rsidR="00693FC1" w:rsidRPr="00693FC1" w:rsidRDefault="00693FC1" w:rsidP="00693FC1">
            <w:pPr>
              <w:pStyle w:val="PPVTableText"/>
              <w:rPr>
                <w:szCs w:val="20"/>
              </w:rPr>
            </w:pPr>
            <w:r w:rsidRPr="00693FC1">
              <w:rPr>
                <w:szCs w:val="20"/>
              </w:rPr>
              <w:t>VCHQ2 Pty Ltd</w:t>
            </w:r>
          </w:p>
          <w:p w:rsidR="00693FC1" w:rsidRPr="00693FC1" w:rsidRDefault="00693FC1" w:rsidP="00693FC1">
            <w:pPr>
              <w:pStyle w:val="PPVTableText"/>
              <w:rPr>
                <w:szCs w:val="20"/>
              </w:rPr>
            </w:pPr>
            <w:r w:rsidRPr="00693FC1">
              <w:rPr>
                <w:szCs w:val="20"/>
              </w:rPr>
              <w:t>W Sidwell Investments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lastRenderedPageBreak/>
              <w:t xml:space="preserve">Chris Wren QC, instructed by Planning and Property Partners, </w:t>
            </w:r>
            <w:r w:rsidR="005E578D">
              <w:rPr>
                <w:szCs w:val="20"/>
              </w:rPr>
              <w:t>who called evidence from:</w:t>
            </w:r>
          </w:p>
          <w:p w:rsidR="00693FC1" w:rsidRPr="00693FC1" w:rsidRDefault="00693FC1" w:rsidP="009274FB">
            <w:pPr>
              <w:pStyle w:val="PPVTableTextBullet"/>
            </w:pPr>
            <w:r w:rsidRPr="00693FC1">
              <w:t>Mark Sheppard of DLA on urban design</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Australian Institute of Architects</w:t>
            </w:r>
          </w:p>
        </w:tc>
        <w:tc>
          <w:tcPr>
            <w:tcW w:w="5386" w:type="dxa"/>
          </w:tcPr>
          <w:p w:rsidR="00693FC1" w:rsidRPr="00693FC1" w:rsidRDefault="00693FC1" w:rsidP="00693FC1">
            <w:pPr>
              <w:pStyle w:val="PPVTableText"/>
              <w:rPr>
                <w:szCs w:val="20"/>
              </w:rPr>
            </w:pPr>
            <w:r w:rsidRPr="00693FC1">
              <w:rPr>
                <w:szCs w:val="20"/>
              </w:rPr>
              <w:t>Ruth White</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Barro Group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 xml:space="preserve">Jeremy Gobbo QC, instructed by Ponte Lawyers </w:t>
            </w:r>
            <w:r w:rsidR="005E578D">
              <w:rPr>
                <w:szCs w:val="20"/>
              </w:rPr>
              <w:t>who called evidence from:</w:t>
            </w:r>
          </w:p>
          <w:p w:rsidR="00693FC1" w:rsidRPr="00693FC1" w:rsidRDefault="00693FC1" w:rsidP="009274FB">
            <w:pPr>
              <w:pStyle w:val="PPVTableTextBullet"/>
            </w:pPr>
            <w:r w:rsidRPr="00693FC1">
              <w:t>Marco Negri of Contour on planning</w:t>
            </w:r>
          </w:p>
        </w:tc>
      </w:tr>
      <w:tr w:rsidR="00693FC1" w:rsidRPr="00660BED" w:rsidTr="00693FC1">
        <w:tc>
          <w:tcPr>
            <w:tcW w:w="3794" w:type="dxa"/>
            <w:tcBorders>
              <w:bottom w:val="dotted" w:sz="4" w:space="0" w:color="7F7F7F"/>
            </w:tcBorders>
          </w:tcPr>
          <w:p w:rsidR="00693FC1" w:rsidRPr="00693FC1" w:rsidRDefault="00693FC1" w:rsidP="00693FC1">
            <w:pPr>
              <w:pStyle w:val="PPVTableText"/>
              <w:rPr>
                <w:szCs w:val="20"/>
              </w:rPr>
            </w:pPr>
            <w:r w:rsidRPr="00693FC1">
              <w:rPr>
                <w:szCs w:val="20"/>
              </w:rPr>
              <w:t>Bellamia Nominees Pty Ltd</w:t>
            </w:r>
          </w:p>
        </w:tc>
        <w:tc>
          <w:tcPr>
            <w:tcW w:w="5386" w:type="dxa"/>
            <w:tcBorders>
              <w:bottom w:val="dotted" w:sz="4" w:space="0" w:color="7F7F7F"/>
            </w:tcBorders>
          </w:tcPr>
          <w:p w:rsidR="00693FC1" w:rsidRPr="00693FC1" w:rsidRDefault="00693FC1" w:rsidP="00693FC1">
            <w:pPr>
              <w:pStyle w:val="PPVTableText"/>
              <w:rPr>
                <w:szCs w:val="20"/>
              </w:rPr>
            </w:pPr>
            <w:r w:rsidRPr="00693FC1">
              <w:rPr>
                <w:szCs w:val="20"/>
              </w:rPr>
              <w:t>Andrea Pagliaro of Urbis</w:t>
            </w:r>
          </w:p>
        </w:tc>
      </w:tr>
      <w:tr w:rsidR="00693FC1" w:rsidRPr="00660BED" w:rsidTr="00693FC1">
        <w:tc>
          <w:tcPr>
            <w:tcW w:w="3794" w:type="dxa"/>
            <w:tcBorders>
              <w:top w:val="dotted" w:sz="4" w:space="0" w:color="7F7F7F"/>
            </w:tcBorders>
          </w:tcPr>
          <w:p w:rsidR="00693FC1" w:rsidRPr="00693FC1" w:rsidRDefault="00693FC1" w:rsidP="00693FC1">
            <w:pPr>
              <w:pStyle w:val="PPVTableText"/>
              <w:rPr>
                <w:szCs w:val="20"/>
              </w:rPr>
            </w:pPr>
            <w:r w:rsidRPr="00693FC1">
              <w:rPr>
                <w:szCs w:val="20"/>
              </w:rPr>
              <w:t>Belsize Nominees Pty Ltd</w:t>
            </w:r>
          </w:p>
          <w:p w:rsidR="00693FC1" w:rsidRPr="00693FC1" w:rsidRDefault="00693FC1" w:rsidP="00693FC1">
            <w:pPr>
              <w:pStyle w:val="PPVTableText"/>
              <w:rPr>
                <w:szCs w:val="20"/>
              </w:rPr>
            </w:pPr>
            <w:r w:rsidRPr="00693FC1">
              <w:rPr>
                <w:szCs w:val="20"/>
              </w:rPr>
              <w:t>Costa Fox Developments</w:t>
            </w:r>
          </w:p>
          <w:p w:rsidR="00693FC1" w:rsidRPr="00693FC1" w:rsidRDefault="00693FC1" w:rsidP="00693FC1">
            <w:pPr>
              <w:pStyle w:val="PPVTableText"/>
              <w:rPr>
                <w:szCs w:val="20"/>
              </w:rPr>
            </w:pPr>
            <w:r w:rsidRPr="00693FC1">
              <w:rPr>
                <w:szCs w:val="20"/>
              </w:rPr>
              <w:t>Springbank Properties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Chris Canavan</w:t>
            </w:r>
            <w:r w:rsidR="00B93FAD">
              <w:rPr>
                <w:szCs w:val="20"/>
              </w:rPr>
              <w:t xml:space="preserve"> QC</w:t>
            </w:r>
            <w:r w:rsidRPr="00693FC1">
              <w:rPr>
                <w:szCs w:val="20"/>
              </w:rPr>
              <w:t xml:space="preserve">, Nick Tweedie </w:t>
            </w:r>
            <w:r w:rsidR="00B93FAD">
              <w:rPr>
                <w:szCs w:val="20"/>
              </w:rPr>
              <w:t xml:space="preserve">SC </w:t>
            </w:r>
            <w:r w:rsidRPr="00693FC1">
              <w:rPr>
                <w:szCs w:val="20"/>
              </w:rPr>
              <w:t>and Jane Sharp of Counsel, instructed by Norton Rose Fulbright (Lorimer)</w:t>
            </w:r>
            <w:r w:rsidR="005E578D">
              <w:rPr>
                <w:szCs w:val="20"/>
              </w:rPr>
              <w:t>, who called evidence from:</w:t>
            </w:r>
          </w:p>
          <w:p w:rsidR="00693FC1" w:rsidRPr="009274FB" w:rsidRDefault="00693FC1" w:rsidP="009274FB">
            <w:pPr>
              <w:pStyle w:val="PPVTableTextBullet"/>
            </w:pPr>
            <w:r w:rsidRPr="009274FB">
              <w:t>Mark Sheppard of DLA on urban design</w:t>
            </w:r>
          </w:p>
          <w:p w:rsidR="00693FC1" w:rsidRPr="009274FB" w:rsidRDefault="00B93FAD" w:rsidP="009274FB">
            <w:pPr>
              <w:pStyle w:val="PPVTableTextBullet"/>
            </w:pPr>
            <w:r>
              <w:t>Stuart McGurn of U</w:t>
            </w:r>
            <w:r w:rsidR="00693FC1" w:rsidRPr="009274FB">
              <w:t>rbis on town planning (for Belsize Nominees)</w:t>
            </w:r>
          </w:p>
          <w:p w:rsidR="00693FC1" w:rsidRPr="009274FB" w:rsidRDefault="00693FC1" w:rsidP="009274FB">
            <w:pPr>
              <w:pStyle w:val="PPVTableTextBullet"/>
            </w:pPr>
            <w:r w:rsidRPr="009274FB">
              <w:t>Andrew Biacsi of Contour on planning</w:t>
            </w:r>
          </w:p>
          <w:p w:rsidR="00693FC1" w:rsidRPr="009274FB" w:rsidRDefault="00693FC1" w:rsidP="009274FB">
            <w:pPr>
              <w:pStyle w:val="PPVTableTextBullet"/>
            </w:pPr>
            <w:r w:rsidRPr="009274FB">
              <w:t>Charmaine Dunstan of Traffix Group on transport</w:t>
            </w:r>
          </w:p>
          <w:p w:rsidR="00693FC1" w:rsidRPr="00693FC1" w:rsidRDefault="00693FC1" w:rsidP="009274FB">
            <w:pPr>
              <w:pStyle w:val="PPVTableTextBullet"/>
            </w:pPr>
            <w:r w:rsidRPr="009274FB">
              <w:t>Ian Shimmin of Urbis on demographics and economics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Carri Nominees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431492">
              <w:rPr>
                <w:szCs w:val="20"/>
              </w:rPr>
              <w:t>Urbis</w:t>
            </w:r>
          </w:p>
        </w:tc>
      </w:tr>
      <w:tr w:rsidR="00693FC1" w:rsidRPr="00660BED" w:rsidTr="00693FC1">
        <w:tc>
          <w:tcPr>
            <w:tcW w:w="3794" w:type="dxa"/>
          </w:tcPr>
          <w:p w:rsidR="00693FC1" w:rsidRPr="00693FC1" w:rsidRDefault="00693FC1" w:rsidP="00693FC1">
            <w:pPr>
              <w:pStyle w:val="PPVTableText"/>
              <w:tabs>
                <w:tab w:val="left" w:pos="858"/>
              </w:tabs>
              <w:rPr>
                <w:szCs w:val="20"/>
              </w:rPr>
            </w:pPr>
            <w:r w:rsidRPr="00693FC1">
              <w:rPr>
                <w:szCs w:val="20"/>
              </w:rPr>
              <w:t>CBQ Corp Pty Ltd</w:t>
            </w:r>
          </w:p>
        </w:tc>
        <w:tc>
          <w:tcPr>
            <w:tcW w:w="5386" w:type="dxa"/>
          </w:tcPr>
          <w:p w:rsidR="00693FC1" w:rsidRPr="00693FC1" w:rsidRDefault="00693FC1" w:rsidP="00693FC1">
            <w:pPr>
              <w:pStyle w:val="PPVTableText"/>
              <w:rPr>
                <w:szCs w:val="20"/>
              </w:rPr>
            </w:pPr>
            <w:r w:rsidRPr="00693FC1">
              <w:rPr>
                <w:szCs w:val="20"/>
              </w:rPr>
              <w:t>Liam Riordan</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Citipower Pty Ltd</w:t>
            </w:r>
          </w:p>
          <w:p w:rsidR="00693FC1" w:rsidRPr="00693FC1" w:rsidRDefault="00693FC1" w:rsidP="00693FC1">
            <w:pPr>
              <w:pStyle w:val="PPVTableText"/>
              <w:rPr>
                <w:szCs w:val="20"/>
              </w:rPr>
            </w:pPr>
            <w:r w:rsidRPr="00693FC1">
              <w:rPr>
                <w:szCs w:val="20"/>
              </w:rPr>
              <w:t>Goodman Limited</w:t>
            </w:r>
          </w:p>
        </w:tc>
        <w:tc>
          <w:tcPr>
            <w:tcW w:w="5386" w:type="dxa"/>
            <w:tcBorders>
              <w:top w:val="dotted" w:sz="4" w:space="0" w:color="7F7F7F"/>
              <w:bottom w:val="dotted" w:sz="4" w:space="0" w:color="7F7F7F"/>
            </w:tcBorders>
          </w:tcPr>
          <w:p w:rsidR="00693FC1" w:rsidRPr="00693FC1" w:rsidRDefault="00B93FAD" w:rsidP="00693FC1">
            <w:pPr>
              <w:pStyle w:val="PPVTableText"/>
              <w:rPr>
                <w:szCs w:val="20"/>
              </w:rPr>
            </w:pPr>
            <w:r>
              <w:rPr>
                <w:szCs w:val="20"/>
              </w:rPr>
              <w:t>Nick</w:t>
            </w:r>
            <w:r w:rsidR="00693FC1" w:rsidRPr="00693FC1">
              <w:rPr>
                <w:szCs w:val="20"/>
              </w:rPr>
              <w:t xml:space="preserve"> Tweedie SC and Jane Sharp of Counsel, inst</w:t>
            </w:r>
            <w:r w:rsidR="005E578D">
              <w:rPr>
                <w:szCs w:val="20"/>
              </w:rPr>
              <w:t>ructed by Norton Rose Fulbright, who called evidence from:</w:t>
            </w:r>
          </w:p>
          <w:p w:rsidR="00693FC1" w:rsidRPr="009274FB" w:rsidRDefault="00693FC1" w:rsidP="009274FB">
            <w:pPr>
              <w:pStyle w:val="PPVTableTextBullet"/>
            </w:pPr>
            <w:r w:rsidRPr="009274FB">
              <w:t>Catherine Heggen of Message Consultants on urban design and on town planning</w:t>
            </w:r>
          </w:p>
          <w:p w:rsidR="00693FC1" w:rsidRPr="009274FB" w:rsidRDefault="00693FC1" w:rsidP="009274FB">
            <w:pPr>
              <w:pStyle w:val="PPVTableTextBullet"/>
            </w:pPr>
            <w:r w:rsidRPr="009274FB">
              <w:t>Andrew Biacsi of Contour on planning</w:t>
            </w:r>
          </w:p>
          <w:p w:rsidR="00693FC1" w:rsidRPr="009274FB" w:rsidRDefault="00693FC1" w:rsidP="009274FB">
            <w:pPr>
              <w:pStyle w:val="PPVTableTextBullet"/>
            </w:pPr>
            <w:r w:rsidRPr="009274FB">
              <w:t>Charmaine Dunstan of Traffix Group on transport</w:t>
            </w:r>
          </w:p>
          <w:p w:rsidR="00693FC1" w:rsidRPr="00693FC1" w:rsidRDefault="00693FC1" w:rsidP="009274FB">
            <w:pPr>
              <w:pStyle w:val="PPVTableTextBullet"/>
            </w:pPr>
            <w:r w:rsidRPr="009274FB">
              <w:t>Ian Shimmin of Urbis on demographics and economics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Claric 178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Anthony Msonda-Johnson of Roberts Day</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Claric Ninety Nine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Anthony Msonda-Johnson of Roberts Day</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Community Alliance of Port Phillip</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Rhonda Small</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Delta Group</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 xml:space="preserve">Stuart Morris </w:t>
            </w:r>
            <w:r w:rsidR="00B93FAD">
              <w:rPr>
                <w:szCs w:val="20"/>
              </w:rPr>
              <w:t xml:space="preserve">QC </w:t>
            </w:r>
            <w:r w:rsidRPr="00693FC1">
              <w:rPr>
                <w:szCs w:val="20"/>
              </w:rPr>
              <w:t>and Nicola Collingwood of Counsel, instructed by Mills Oakley</w:t>
            </w:r>
            <w:r w:rsidR="005E578D">
              <w:rPr>
                <w:szCs w:val="20"/>
              </w:rPr>
              <w:t>, who called evidence from:</w:t>
            </w:r>
          </w:p>
          <w:p w:rsidR="00693FC1" w:rsidRPr="009274FB" w:rsidRDefault="00693FC1" w:rsidP="009274FB">
            <w:pPr>
              <w:pStyle w:val="PPVTableTextBullet"/>
            </w:pPr>
            <w:r w:rsidRPr="009274FB">
              <w:t>David Song of SongBowden on planning</w:t>
            </w:r>
          </w:p>
          <w:p w:rsidR="00693FC1" w:rsidRPr="00693FC1" w:rsidRDefault="00693FC1" w:rsidP="009274FB">
            <w:pPr>
              <w:pStyle w:val="PPVTableTextBullet"/>
            </w:pPr>
            <w:r w:rsidRPr="009274FB">
              <w:t>Jason Walsh of Traffix Group on transport</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Dexus Property Group</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Andrea Pagliaro of Urbis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Elmarn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Tom Kalder</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EPA Victoria</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Ruth Davies and Paul Torre</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Fishermans Bend Network</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Jennifer Stone</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lastRenderedPageBreak/>
              <w:t>Friends of Westgate Park</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Lyn Allison</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Hansen Construction Materials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Jason Kane of Counsel, instructed by Cornwall Stodart</w:t>
            </w:r>
            <w:r w:rsidR="005E578D">
              <w:rPr>
                <w:szCs w:val="20"/>
              </w:rPr>
              <w:t>, who called evidence from:</w:t>
            </w:r>
          </w:p>
          <w:p w:rsidR="00693FC1" w:rsidRPr="009274FB" w:rsidRDefault="00693FC1" w:rsidP="009274FB">
            <w:pPr>
              <w:pStyle w:val="PPVTableTextBullet"/>
            </w:pPr>
            <w:r w:rsidRPr="009274FB">
              <w:t>David Barnes of Hansen Partnership on strategic planning</w:t>
            </w:r>
          </w:p>
          <w:p w:rsidR="00693FC1" w:rsidRPr="00693FC1" w:rsidRDefault="00693FC1" w:rsidP="009274FB">
            <w:pPr>
              <w:pStyle w:val="PPVTableTextBullet"/>
            </w:pPr>
            <w:r w:rsidRPr="009274FB">
              <w:t>Henry Turnbull of Traffix Group on traffic</w:t>
            </w:r>
          </w:p>
        </w:tc>
      </w:tr>
      <w:tr w:rsidR="00B93FAD" w:rsidRPr="00660BED" w:rsidTr="00693FC1">
        <w:tc>
          <w:tcPr>
            <w:tcW w:w="3794" w:type="dxa"/>
            <w:tcBorders>
              <w:top w:val="dotted" w:sz="4" w:space="0" w:color="7F7F7F"/>
              <w:bottom w:val="dotted" w:sz="4" w:space="0" w:color="7F7F7F"/>
            </w:tcBorders>
          </w:tcPr>
          <w:p w:rsidR="00B93FAD" w:rsidRPr="00693FC1" w:rsidRDefault="00B93FAD" w:rsidP="00693FC1">
            <w:pPr>
              <w:pStyle w:val="PPVTableText"/>
              <w:rPr>
                <w:szCs w:val="20"/>
              </w:rPr>
            </w:pPr>
            <w:r>
              <w:rPr>
                <w:szCs w:val="20"/>
              </w:rPr>
              <w:t>Peter and Irene Hirst</w:t>
            </w:r>
          </w:p>
        </w:tc>
        <w:tc>
          <w:tcPr>
            <w:tcW w:w="5386" w:type="dxa"/>
            <w:tcBorders>
              <w:top w:val="dotted" w:sz="4" w:space="0" w:color="7F7F7F"/>
              <w:bottom w:val="dotted" w:sz="4" w:space="0" w:color="7F7F7F"/>
            </w:tcBorders>
          </w:tcPr>
          <w:p w:rsidR="00B93FAD" w:rsidRPr="00693FC1" w:rsidRDefault="00B93FAD" w:rsidP="00693FC1">
            <w:pPr>
              <w:pStyle w:val="PPVTableText"/>
              <w:rPr>
                <w:szCs w:val="20"/>
              </w:rPr>
            </w:pP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Inchcape Australia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Chris Canavan QC and Jane Sharp of Counsel, instructed by Norton Rose Fulbright</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Industry Business Hub</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Ian Pitt QC of Best Hooper Lawyers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J &amp; D Bowen Pty Ltd and Bowen and Pomeroy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Carly Robertson of Counsel, instructed by Rigby Cooke Lawyers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Jopsal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Antonio Calabro of SAC Building Workshop</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Kador Group Holdings Pty Ltd, Wadhawan Holdings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Nicola Collingwood, instructed by Mills Oakley</w:t>
            </w:r>
            <w:r w:rsidR="005E578D">
              <w:rPr>
                <w:szCs w:val="20"/>
              </w:rPr>
              <w:t>, who called evidence from:</w:t>
            </w:r>
          </w:p>
          <w:p w:rsidR="00693FC1" w:rsidRPr="009274FB" w:rsidRDefault="00693FC1" w:rsidP="009274FB">
            <w:pPr>
              <w:pStyle w:val="PPVTableTextBullet"/>
            </w:pPr>
            <w:r w:rsidRPr="009274FB">
              <w:t>David Song of SongBowden on planning</w:t>
            </w:r>
          </w:p>
          <w:p w:rsidR="00693FC1" w:rsidRPr="00693FC1" w:rsidRDefault="00693FC1" w:rsidP="009274FB">
            <w:pPr>
              <w:pStyle w:val="PPVTableTextBullet"/>
            </w:pPr>
            <w:r w:rsidRPr="009274FB">
              <w:t>Jason Walsh of Traffix Group on transport</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Kembla No 16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Craig Murphy</w:t>
            </w:r>
          </w:p>
        </w:tc>
      </w:tr>
      <w:tr w:rsidR="00693FC1" w:rsidRPr="00660BED" w:rsidTr="00693FC1">
        <w:tc>
          <w:tcPr>
            <w:tcW w:w="3794" w:type="dxa"/>
            <w:tcBorders>
              <w:top w:val="dotted" w:sz="4" w:space="0" w:color="7F7F7F"/>
            </w:tcBorders>
          </w:tcPr>
          <w:p w:rsidR="00693FC1" w:rsidRPr="00693FC1" w:rsidRDefault="00693FC1" w:rsidP="00693FC1">
            <w:pPr>
              <w:pStyle w:val="PPVTableText"/>
              <w:rPr>
                <w:szCs w:val="20"/>
              </w:rPr>
            </w:pPr>
            <w:r w:rsidRPr="00693FC1">
              <w:rPr>
                <w:szCs w:val="20"/>
              </w:rPr>
              <w:t>Lie Properties Pty</w:t>
            </w:r>
          </w:p>
          <w:p w:rsidR="00693FC1" w:rsidRPr="00693FC1" w:rsidRDefault="00693FC1" w:rsidP="00693FC1">
            <w:pPr>
              <w:pStyle w:val="PPVTableText"/>
              <w:rPr>
                <w:szCs w:val="20"/>
              </w:rPr>
            </w:pPr>
            <w:r w:rsidRPr="00693FC1">
              <w:rPr>
                <w:szCs w:val="20"/>
              </w:rPr>
              <w:t>Perpetual Normandy Pty Ltd</w:t>
            </w:r>
          </w:p>
          <w:p w:rsidR="00693FC1" w:rsidRPr="00693FC1" w:rsidRDefault="00693FC1" w:rsidP="00693FC1">
            <w:pPr>
              <w:pStyle w:val="PPVTableText"/>
              <w:rPr>
                <w:szCs w:val="20"/>
              </w:rPr>
            </w:pPr>
            <w:r w:rsidRPr="00693FC1">
              <w:rPr>
                <w:szCs w:val="20"/>
              </w:rPr>
              <w:t>Normanby Road Developments</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Chris Canavan</w:t>
            </w:r>
            <w:r w:rsidR="00B93FAD">
              <w:rPr>
                <w:szCs w:val="20"/>
              </w:rPr>
              <w:t xml:space="preserve"> QC</w:t>
            </w:r>
            <w:r w:rsidRPr="00693FC1">
              <w:rPr>
                <w:szCs w:val="20"/>
              </w:rPr>
              <w:t>, Nick Tweedie</w:t>
            </w:r>
            <w:r w:rsidR="00B93FAD">
              <w:rPr>
                <w:szCs w:val="20"/>
              </w:rPr>
              <w:t xml:space="preserve"> SC </w:t>
            </w:r>
            <w:r w:rsidRPr="00693FC1">
              <w:rPr>
                <w:szCs w:val="20"/>
              </w:rPr>
              <w:t>and Jane Sharp of Counsel, instructed by Norton Rose Fulbright (Lorimer)</w:t>
            </w:r>
            <w:r w:rsidR="005E578D">
              <w:rPr>
                <w:szCs w:val="20"/>
              </w:rPr>
              <w:t>, who called evidence from:</w:t>
            </w:r>
          </w:p>
          <w:p w:rsidR="00693FC1" w:rsidRPr="009274FB" w:rsidRDefault="00693FC1" w:rsidP="009274FB">
            <w:pPr>
              <w:pStyle w:val="PPVTableTextBullet"/>
            </w:pPr>
            <w:r w:rsidRPr="009274FB">
              <w:t>Mark Sheppard of DLA on urban design</w:t>
            </w:r>
          </w:p>
          <w:p w:rsidR="00693FC1" w:rsidRPr="009274FB" w:rsidRDefault="00693FC1" w:rsidP="009274FB">
            <w:pPr>
              <w:pStyle w:val="PPVTableTextBullet"/>
            </w:pPr>
            <w:r w:rsidRPr="009274FB">
              <w:t>Andrew Biacsi of Contour on planning</w:t>
            </w:r>
          </w:p>
          <w:p w:rsidR="00693FC1" w:rsidRPr="009274FB" w:rsidRDefault="00693FC1" w:rsidP="009274FB">
            <w:pPr>
              <w:pStyle w:val="PPVTableTextBullet"/>
            </w:pPr>
            <w:r w:rsidRPr="009274FB">
              <w:t>Charmaine Dunstan of Traffix Group on transport</w:t>
            </w:r>
          </w:p>
          <w:p w:rsidR="00693FC1" w:rsidRPr="00693FC1" w:rsidRDefault="00693FC1" w:rsidP="009274FB">
            <w:pPr>
              <w:pStyle w:val="PPVTableTextBullet"/>
            </w:pPr>
            <w:r w:rsidRPr="009274FB">
              <w:t>Ian Shimmin of Urbis on demographics and economics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Little Lane Child Care</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Will Pearce of Human Habitats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Lorimer Properties Pty Ltd and Lorimer Properties Unit Trust</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Michael Dunn of Metropol Planning Solutions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Marlton Investments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Chris De Silva of Mesh</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Melbourne Water</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Robert Considine</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Metropolitan Waste and Resource Recovery Group</w:t>
            </w:r>
          </w:p>
        </w:tc>
        <w:tc>
          <w:tcPr>
            <w:tcW w:w="5386" w:type="dxa"/>
          </w:tcPr>
          <w:p w:rsidR="00693FC1" w:rsidRPr="00693FC1" w:rsidRDefault="00693FC1" w:rsidP="00693FC1">
            <w:pPr>
              <w:pStyle w:val="PPVTableText"/>
              <w:rPr>
                <w:szCs w:val="20"/>
              </w:rPr>
            </w:pPr>
            <w:r w:rsidRPr="00693FC1">
              <w:rPr>
                <w:szCs w:val="20"/>
              </w:rPr>
              <w:t>Michelle Lee and Nick Harris</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National Storage Property Trust</w:t>
            </w:r>
          </w:p>
        </w:tc>
        <w:tc>
          <w:tcPr>
            <w:tcW w:w="5386" w:type="dxa"/>
          </w:tcPr>
          <w:p w:rsidR="00693FC1" w:rsidRPr="00693FC1" w:rsidRDefault="00693FC1" w:rsidP="00693FC1">
            <w:pPr>
              <w:pStyle w:val="PPVTableText"/>
              <w:rPr>
                <w:szCs w:val="20"/>
              </w:rPr>
            </w:pPr>
            <w:r w:rsidRPr="00693FC1">
              <w:rPr>
                <w:szCs w:val="20"/>
              </w:rPr>
              <w:t>Pat Rodgers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PCLC Investment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Andrea Pagliaro</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Port of Melbourne Operations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David Vorchheimer of HWL Ebsworth Lawyers</w:t>
            </w:r>
          </w:p>
        </w:tc>
      </w:tr>
      <w:tr w:rsidR="00693FC1" w:rsidRPr="00660BED" w:rsidTr="00693FC1">
        <w:tc>
          <w:tcPr>
            <w:tcW w:w="3794" w:type="dxa"/>
          </w:tcPr>
          <w:p w:rsidR="00693FC1" w:rsidRPr="00693FC1" w:rsidRDefault="00693FC1" w:rsidP="00693FC1">
            <w:pPr>
              <w:pStyle w:val="PPVTableText"/>
              <w:tabs>
                <w:tab w:val="left" w:pos="858"/>
              </w:tabs>
              <w:rPr>
                <w:szCs w:val="20"/>
              </w:rPr>
            </w:pPr>
            <w:r w:rsidRPr="00693FC1">
              <w:rPr>
                <w:szCs w:val="20"/>
              </w:rPr>
              <w:t xml:space="preserve">Proactive Ageing Pty Ltd </w:t>
            </w:r>
          </w:p>
        </w:tc>
        <w:tc>
          <w:tcPr>
            <w:tcW w:w="5386" w:type="dxa"/>
          </w:tcPr>
          <w:p w:rsidR="00693FC1" w:rsidRPr="00693FC1" w:rsidRDefault="00693FC1" w:rsidP="00693FC1">
            <w:pPr>
              <w:pStyle w:val="PPVTableText"/>
              <w:rPr>
                <w:szCs w:val="20"/>
              </w:rPr>
            </w:pPr>
            <w:r w:rsidRPr="00693FC1">
              <w:rPr>
                <w:szCs w:val="20"/>
              </w:rPr>
              <w:t>Steve Zanon</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Sail and Adventure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Peter van Duyn</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Salta Properties</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Will Pearce of Human Habitats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Salvo Property Group</w:t>
            </w:r>
          </w:p>
          <w:p w:rsidR="00693FC1" w:rsidRPr="00693FC1" w:rsidRDefault="00693FC1" w:rsidP="00693FC1">
            <w:pPr>
              <w:pStyle w:val="PPVTableText"/>
              <w:rPr>
                <w:szCs w:val="20"/>
              </w:rPr>
            </w:pPr>
            <w:r w:rsidRPr="00693FC1">
              <w:rPr>
                <w:szCs w:val="20"/>
              </w:rPr>
              <w:t>Third Street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Chris Canavan</w:t>
            </w:r>
            <w:r w:rsidR="00B93FAD">
              <w:rPr>
                <w:szCs w:val="20"/>
              </w:rPr>
              <w:t xml:space="preserve"> QC</w:t>
            </w:r>
            <w:r w:rsidRPr="00693FC1">
              <w:rPr>
                <w:szCs w:val="20"/>
              </w:rPr>
              <w:t>, Nick Tweedie</w:t>
            </w:r>
            <w:r w:rsidR="00B93FAD">
              <w:rPr>
                <w:szCs w:val="20"/>
              </w:rPr>
              <w:t xml:space="preserve"> SC</w:t>
            </w:r>
            <w:r w:rsidRPr="00693FC1">
              <w:rPr>
                <w:szCs w:val="20"/>
              </w:rPr>
              <w:t xml:space="preserve"> and Jane Sharp of Counsel, instructed by Norton Rose Fulbright (Lorimer)</w:t>
            </w:r>
            <w:r w:rsidR="005E578D">
              <w:rPr>
                <w:szCs w:val="20"/>
              </w:rPr>
              <w:t>, who called evidence from:</w:t>
            </w:r>
          </w:p>
          <w:p w:rsidR="00693FC1" w:rsidRPr="009274FB" w:rsidRDefault="00693FC1" w:rsidP="009274FB">
            <w:pPr>
              <w:pStyle w:val="PPVTableTextBullet"/>
            </w:pPr>
            <w:r w:rsidRPr="009274FB">
              <w:t>Mark Sheppard of DLA on urban design</w:t>
            </w:r>
          </w:p>
          <w:p w:rsidR="00693FC1" w:rsidRPr="009274FB" w:rsidRDefault="00693FC1" w:rsidP="009274FB">
            <w:pPr>
              <w:pStyle w:val="PPVTableTextBullet"/>
            </w:pPr>
            <w:r w:rsidRPr="009274FB">
              <w:t>Stuart McGurn of Urbis on Planning</w:t>
            </w:r>
          </w:p>
          <w:p w:rsidR="00693FC1" w:rsidRPr="009274FB" w:rsidRDefault="00693FC1" w:rsidP="009274FB">
            <w:pPr>
              <w:pStyle w:val="PPVTableTextBullet"/>
            </w:pPr>
            <w:r w:rsidRPr="009274FB">
              <w:lastRenderedPageBreak/>
              <w:t>Andrew Biacsi of Contour on planning</w:t>
            </w:r>
          </w:p>
          <w:p w:rsidR="00693FC1" w:rsidRPr="009274FB" w:rsidRDefault="00693FC1" w:rsidP="009274FB">
            <w:pPr>
              <w:pStyle w:val="PPVTableTextBullet"/>
            </w:pPr>
            <w:r w:rsidRPr="009274FB">
              <w:t>Charmaine Dunstan of Traffix Group on transport</w:t>
            </w:r>
          </w:p>
          <w:p w:rsidR="00693FC1" w:rsidRPr="00693FC1" w:rsidRDefault="00693FC1" w:rsidP="009274FB">
            <w:pPr>
              <w:pStyle w:val="PPVTableTextBullet"/>
            </w:pPr>
            <w:r w:rsidRPr="009274FB">
              <w:t>Ian Shimmin of Urbis on demographics and economics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lastRenderedPageBreak/>
              <w:t>Samma Group Pty Ltd and Spec Property Development</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Stuart Morris QC, instructed by Minter Ellison</w:t>
            </w:r>
            <w:r w:rsidR="005E578D">
              <w:rPr>
                <w:szCs w:val="20"/>
              </w:rPr>
              <w:t>, who called evidence from:</w:t>
            </w:r>
          </w:p>
          <w:p w:rsidR="00693FC1" w:rsidRPr="009274FB" w:rsidRDefault="00693FC1" w:rsidP="009274FB">
            <w:pPr>
              <w:pStyle w:val="PPVTableTextBullet"/>
            </w:pPr>
            <w:r w:rsidRPr="009274FB">
              <w:t>Craig Czarny of Hansen Partnership on urban design</w:t>
            </w:r>
          </w:p>
          <w:p w:rsidR="00693FC1" w:rsidRPr="009274FB" w:rsidRDefault="00693FC1" w:rsidP="009274FB">
            <w:pPr>
              <w:pStyle w:val="PPVTableTextBullet"/>
            </w:pPr>
            <w:r w:rsidRPr="009274FB">
              <w:t>Julia Bell of DLA on urban design</w:t>
            </w:r>
          </w:p>
          <w:p w:rsidR="00693FC1" w:rsidRPr="00693FC1" w:rsidRDefault="00693FC1" w:rsidP="009274FB">
            <w:pPr>
              <w:pStyle w:val="PPVTableTextBullet"/>
            </w:pPr>
            <w:r w:rsidRPr="009274FB">
              <w:t>Charmaine Dunstan of Traffix Group on traffic</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Sel Reklaw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Chris Canavan QC, Nicholas Tweedie SC and Jane Sharp of Counsel, instructed by Russel Kennedy Lawyers</w:t>
            </w:r>
            <w:r w:rsidR="005E578D">
              <w:rPr>
                <w:szCs w:val="20"/>
              </w:rPr>
              <w:t>, who called evidence from:</w:t>
            </w:r>
          </w:p>
          <w:p w:rsidR="00693FC1" w:rsidRPr="009274FB" w:rsidRDefault="00693FC1" w:rsidP="009274FB">
            <w:pPr>
              <w:pStyle w:val="PPVTableTextBullet"/>
            </w:pPr>
            <w:r w:rsidRPr="009274FB">
              <w:t>Stuart McGurn of Urbis on planning</w:t>
            </w:r>
          </w:p>
          <w:p w:rsidR="00693FC1" w:rsidRPr="00693FC1" w:rsidRDefault="00693FC1" w:rsidP="009274FB">
            <w:pPr>
              <w:pStyle w:val="PPVTableTextBullet"/>
            </w:pPr>
            <w:r w:rsidRPr="009274FB">
              <w:t>Michael Eaddy of Mel Consultants on wind modelling</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SM253 Pty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 xml:space="preserve">Adrian Finanzio SC </w:t>
            </w:r>
            <w:r w:rsidR="00B93FAD">
              <w:rPr>
                <w:szCs w:val="20"/>
              </w:rPr>
              <w:t xml:space="preserve">and Andrew Walker </w:t>
            </w:r>
            <w:r w:rsidRPr="00693FC1">
              <w:rPr>
                <w:szCs w:val="20"/>
              </w:rPr>
              <w:t>of Counsel, instructed by Herbert Smith Freehills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Soundfirm</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Carly Robertson of Counsel, instructed by Ryan Commercial Lawyers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Southport Urban Responsible Renewal (SPURR)</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Rowan Groves</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St Kilda Cycling Club</w:t>
            </w:r>
          </w:p>
        </w:tc>
        <w:tc>
          <w:tcPr>
            <w:tcW w:w="5386" w:type="dxa"/>
          </w:tcPr>
          <w:p w:rsidR="00693FC1" w:rsidRPr="00693FC1" w:rsidRDefault="00693FC1" w:rsidP="00693FC1">
            <w:pPr>
              <w:pStyle w:val="PPVTableText"/>
              <w:rPr>
                <w:szCs w:val="20"/>
              </w:rPr>
            </w:pPr>
            <w:r w:rsidRPr="00693FC1">
              <w:rPr>
                <w:szCs w:val="20"/>
              </w:rPr>
              <w:t>Melinda Jacobson and Paul Jane</w:t>
            </w:r>
          </w:p>
        </w:tc>
      </w:tr>
      <w:tr w:rsidR="00B93FAD" w:rsidRPr="00660BED" w:rsidTr="00693FC1">
        <w:tc>
          <w:tcPr>
            <w:tcW w:w="3794" w:type="dxa"/>
          </w:tcPr>
          <w:p w:rsidR="00B93FAD" w:rsidRPr="00693FC1" w:rsidRDefault="00B93FAD" w:rsidP="00693FC1">
            <w:pPr>
              <w:pStyle w:val="PPVTableText"/>
              <w:rPr>
                <w:szCs w:val="20"/>
              </w:rPr>
            </w:pPr>
            <w:r w:rsidRPr="00693FC1">
              <w:rPr>
                <w:szCs w:val="20"/>
              </w:rPr>
              <w:t>Keith Sutherland</w:t>
            </w:r>
          </w:p>
        </w:tc>
        <w:tc>
          <w:tcPr>
            <w:tcW w:w="5386" w:type="dxa"/>
          </w:tcPr>
          <w:p w:rsidR="00B93FAD" w:rsidRPr="00693FC1" w:rsidRDefault="00B93FAD" w:rsidP="00693FC1">
            <w:pPr>
              <w:pStyle w:val="PPVTableText"/>
              <w:rPr>
                <w:szCs w:val="20"/>
              </w:rPr>
            </w:pP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Surveyors Place</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Craig Murphy</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Teller Group</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Jamie Govenlock of Urbis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The Father Bob Maguire Foundation</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Memuzin River</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Toyota Motor Corporation Australia Ltd</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Paul Chiappi of Counsel, instructed by Clayton Utz</w:t>
            </w:r>
            <w:r w:rsidR="005E578D">
              <w:rPr>
                <w:szCs w:val="20"/>
              </w:rPr>
              <w:t>, who called evidence from:</w:t>
            </w:r>
          </w:p>
          <w:p w:rsidR="00693FC1" w:rsidRPr="009274FB" w:rsidRDefault="00693FC1" w:rsidP="009274FB">
            <w:pPr>
              <w:pStyle w:val="PPVTableTextBullet"/>
            </w:pPr>
            <w:r w:rsidRPr="009274FB">
              <w:t>Brendan Rogers of Urbis on town planning</w:t>
            </w:r>
          </w:p>
          <w:p w:rsidR="00693FC1" w:rsidRPr="00693FC1" w:rsidRDefault="00693FC1" w:rsidP="009274FB">
            <w:pPr>
              <w:pStyle w:val="PPVTableTextBullet"/>
            </w:pPr>
            <w:r w:rsidRPr="009274FB">
              <w:t>Charmaine Dunstan of Traffix on traffic</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Transport for Victoria</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Gary Button and Dimitri Lolas</w:t>
            </w: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Urban Development Institute of Australia (Victoria)</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Danni Addison</w:t>
            </w:r>
          </w:p>
        </w:tc>
      </w:tr>
      <w:tr w:rsidR="00693FC1" w:rsidRPr="00660BED" w:rsidTr="00693FC1">
        <w:tc>
          <w:tcPr>
            <w:tcW w:w="3794" w:type="dxa"/>
          </w:tcPr>
          <w:p w:rsidR="00693FC1" w:rsidRPr="00693FC1" w:rsidRDefault="00693FC1" w:rsidP="00693FC1">
            <w:pPr>
              <w:pStyle w:val="PPVTableText"/>
              <w:rPr>
                <w:szCs w:val="20"/>
              </w:rPr>
            </w:pPr>
            <w:r w:rsidRPr="00693FC1">
              <w:rPr>
                <w:szCs w:val="20"/>
              </w:rPr>
              <w:t>Victoria Transport Association</w:t>
            </w:r>
          </w:p>
        </w:tc>
        <w:tc>
          <w:tcPr>
            <w:tcW w:w="5386" w:type="dxa"/>
          </w:tcPr>
          <w:p w:rsidR="00693FC1" w:rsidRPr="00693FC1" w:rsidRDefault="00693FC1" w:rsidP="00693FC1">
            <w:pPr>
              <w:pStyle w:val="PPVTableText"/>
              <w:rPr>
                <w:szCs w:val="20"/>
              </w:rPr>
            </w:pPr>
            <w:r w:rsidRPr="00693FC1">
              <w:rPr>
                <w:szCs w:val="20"/>
              </w:rPr>
              <w:t>Peter Anderson</w:t>
            </w:r>
          </w:p>
        </w:tc>
      </w:tr>
      <w:tr w:rsidR="00B93FAD" w:rsidRPr="00660BED" w:rsidTr="00693FC1">
        <w:tc>
          <w:tcPr>
            <w:tcW w:w="3794" w:type="dxa"/>
          </w:tcPr>
          <w:p w:rsidR="00B93FAD" w:rsidRPr="00693FC1" w:rsidRDefault="00B93FAD" w:rsidP="00693FC1">
            <w:pPr>
              <w:pStyle w:val="PPVTableText"/>
              <w:rPr>
                <w:szCs w:val="20"/>
              </w:rPr>
            </w:pPr>
            <w:r w:rsidRPr="00693FC1">
              <w:rPr>
                <w:szCs w:val="20"/>
              </w:rPr>
              <w:t>Meike Wagenhoff</w:t>
            </w:r>
          </w:p>
        </w:tc>
        <w:tc>
          <w:tcPr>
            <w:tcW w:w="5386" w:type="dxa"/>
          </w:tcPr>
          <w:p w:rsidR="00B93FAD" w:rsidRPr="00693FC1" w:rsidRDefault="00B93FAD" w:rsidP="00693FC1">
            <w:pPr>
              <w:pStyle w:val="PPVTableText"/>
              <w:rPr>
                <w:szCs w:val="20"/>
              </w:rPr>
            </w:pPr>
          </w:p>
        </w:tc>
      </w:tr>
      <w:tr w:rsidR="00B93FAD" w:rsidRPr="00660BED" w:rsidTr="00693FC1">
        <w:tc>
          <w:tcPr>
            <w:tcW w:w="3794" w:type="dxa"/>
          </w:tcPr>
          <w:p w:rsidR="00B93FAD" w:rsidRPr="00693FC1" w:rsidRDefault="00B93FAD" w:rsidP="00693FC1">
            <w:pPr>
              <w:pStyle w:val="PPVTableText"/>
              <w:rPr>
                <w:szCs w:val="20"/>
              </w:rPr>
            </w:pPr>
            <w:r w:rsidRPr="00693FC1">
              <w:rPr>
                <w:szCs w:val="20"/>
              </w:rPr>
              <w:t>Trevor White</w:t>
            </w:r>
          </w:p>
        </w:tc>
        <w:tc>
          <w:tcPr>
            <w:tcW w:w="5386" w:type="dxa"/>
          </w:tcPr>
          <w:p w:rsidR="00B93FAD" w:rsidRPr="00693FC1" w:rsidRDefault="00B93FAD" w:rsidP="00693FC1">
            <w:pPr>
              <w:pStyle w:val="PPVTableText"/>
              <w:rPr>
                <w:szCs w:val="20"/>
              </w:rPr>
            </w:pPr>
          </w:p>
        </w:tc>
      </w:tr>
      <w:tr w:rsidR="00693FC1" w:rsidRPr="00660BED" w:rsidTr="00693FC1">
        <w:tc>
          <w:tcPr>
            <w:tcW w:w="3794"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Yarra’s Edge Class Action Committee (YCAC)</w:t>
            </w:r>
          </w:p>
        </w:tc>
        <w:tc>
          <w:tcPr>
            <w:tcW w:w="5386" w:type="dxa"/>
            <w:tcBorders>
              <w:top w:val="dotted" w:sz="4" w:space="0" w:color="7F7F7F"/>
              <w:bottom w:val="dotted" w:sz="4" w:space="0" w:color="7F7F7F"/>
            </w:tcBorders>
          </w:tcPr>
          <w:p w:rsidR="00693FC1" w:rsidRPr="00693FC1" w:rsidRDefault="00693FC1" w:rsidP="00693FC1">
            <w:pPr>
              <w:pStyle w:val="PPVTableText"/>
              <w:rPr>
                <w:szCs w:val="20"/>
              </w:rPr>
            </w:pPr>
            <w:r w:rsidRPr="00693FC1">
              <w:rPr>
                <w:szCs w:val="20"/>
              </w:rPr>
              <w:t>Catherine Dawson</w:t>
            </w:r>
          </w:p>
        </w:tc>
      </w:tr>
    </w:tbl>
    <w:p w:rsidR="00D775D4" w:rsidRPr="00A90F8A" w:rsidRDefault="00D775D4">
      <w:pPr>
        <w:spacing w:before="0"/>
        <w:jc w:val="left"/>
        <w:rPr>
          <w:rFonts w:asciiTheme="minorHAnsi" w:hAnsiTheme="minorHAnsi"/>
        </w:rPr>
      </w:pPr>
      <w:r w:rsidRPr="00A90F8A">
        <w:rPr>
          <w:rFonts w:asciiTheme="minorHAnsi" w:hAnsiTheme="minorHAnsi"/>
          <w:b/>
        </w:rPr>
        <w:br w:type="page"/>
      </w:r>
    </w:p>
    <w:p w:rsidR="00FD5665" w:rsidRDefault="00FD5665" w:rsidP="008B68A1">
      <w:pPr>
        <w:pStyle w:val="PPVAppendixHeading1"/>
        <w:rPr>
          <w:rFonts w:asciiTheme="minorHAnsi" w:hAnsiTheme="minorHAnsi"/>
        </w:rPr>
      </w:pPr>
      <w:bookmarkStart w:id="1252" w:name="_Toc519710348"/>
      <w:bookmarkStart w:id="1253" w:name="_Toc519766908"/>
      <w:r w:rsidRPr="00A90F8A">
        <w:rPr>
          <w:rFonts w:asciiTheme="minorHAnsi" w:hAnsiTheme="minorHAnsi"/>
        </w:rPr>
        <w:lastRenderedPageBreak/>
        <w:t xml:space="preserve">Appendix </w:t>
      </w:r>
      <w:r w:rsidR="00C166F2" w:rsidRPr="00A90F8A">
        <w:rPr>
          <w:rFonts w:asciiTheme="minorHAnsi" w:hAnsiTheme="minorHAnsi"/>
        </w:rPr>
        <w:t>D:</w:t>
      </w:r>
      <w:r w:rsidRPr="00A90F8A">
        <w:rPr>
          <w:rFonts w:asciiTheme="minorHAnsi" w:hAnsiTheme="minorHAnsi"/>
        </w:rPr>
        <w:tab/>
        <w:t>Document list</w:t>
      </w:r>
      <w:bookmarkEnd w:id="1252"/>
      <w:bookmarkEnd w:id="1253"/>
    </w:p>
    <w:p w:rsidR="00D335EA" w:rsidRDefault="00D335EA" w:rsidP="00D335EA">
      <w:pPr>
        <w:pStyle w:val="Version"/>
        <w:tabs>
          <w:tab w:val="left" w:pos="4110"/>
        </w:tabs>
        <w:spacing w:before="0" w:after="120"/>
        <w:rPr>
          <w:rFonts w:asciiTheme="minorHAnsi" w:hAnsiTheme="minorHAnsi" w:cstheme="minorHAnsi"/>
          <w:b/>
          <w:i w:val="0"/>
          <w:sz w:val="20"/>
          <w:szCs w:val="20"/>
        </w:rPr>
      </w:pPr>
      <w:r w:rsidRPr="00472A07">
        <w:rPr>
          <w:rFonts w:asciiTheme="minorHAnsi" w:hAnsiTheme="minorHAnsi" w:cstheme="minorHAnsi"/>
          <w:b/>
          <w:i w:val="0"/>
          <w:sz w:val="20"/>
          <w:szCs w:val="20"/>
        </w:rPr>
        <w:t xml:space="preserve">Fishermans Bend Planning Review Panel </w:t>
      </w:r>
      <w:r w:rsidR="00492A43">
        <w:rPr>
          <w:rFonts w:asciiTheme="minorHAnsi" w:hAnsiTheme="minorHAnsi" w:cstheme="minorHAnsi"/>
          <w:b/>
          <w:i w:val="0"/>
          <w:sz w:val="20"/>
          <w:szCs w:val="20"/>
        </w:rPr>
        <w:t>–</w:t>
      </w:r>
      <w:r w:rsidRPr="00472A07">
        <w:rPr>
          <w:rFonts w:asciiTheme="minorHAnsi" w:hAnsiTheme="minorHAnsi" w:cstheme="minorHAnsi"/>
          <w:b/>
          <w:i w:val="0"/>
          <w:sz w:val="20"/>
          <w:szCs w:val="20"/>
        </w:rPr>
        <w:t xml:space="preserve"> Version 13, 28 May 2018 </w:t>
      </w:r>
    </w:p>
    <w:tbl>
      <w:tblPr>
        <w:tblStyle w:val="TableGrid"/>
        <w:tblW w:w="0" w:type="auto"/>
        <w:tblBorders>
          <w:top w:val="dotted" w:sz="4" w:space="0" w:color="auto"/>
          <w:left w:val="none" w:sz="0" w:space="0" w:color="auto"/>
          <w:bottom w:val="dotted" w:sz="4" w:space="0" w:color="auto"/>
          <w:right w:val="none" w:sz="0" w:space="0" w:color="auto"/>
          <w:insideH w:val="dotted" w:sz="4" w:space="0" w:color="auto"/>
          <w:insideV w:val="none" w:sz="0" w:space="0" w:color="auto"/>
        </w:tblBorders>
        <w:tblLayout w:type="fixed"/>
        <w:tblLook w:val="04A0" w:firstRow="1" w:lastRow="0" w:firstColumn="1" w:lastColumn="0" w:noHBand="0" w:noVBand="1"/>
      </w:tblPr>
      <w:tblGrid>
        <w:gridCol w:w="720"/>
        <w:gridCol w:w="1231"/>
        <w:gridCol w:w="4253"/>
        <w:gridCol w:w="3067"/>
      </w:tblGrid>
      <w:tr w:rsidR="00840FF5" w:rsidRPr="003059E9" w:rsidTr="00002386">
        <w:trPr>
          <w:cantSplit/>
          <w:tblHeader/>
        </w:trPr>
        <w:tc>
          <w:tcPr>
            <w:tcW w:w="720" w:type="dxa"/>
            <w:shd w:val="clear" w:color="auto" w:fill="215868" w:themeFill="accent5" w:themeFillShade="80"/>
          </w:tcPr>
          <w:p w:rsidR="00840FF5" w:rsidRPr="003059E9" w:rsidRDefault="00840FF5" w:rsidP="00840FF5">
            <w:pPr>
              <w:pStyle w:val="PPVTableHeader"/>
            </w:pPr>
          </w:p>
        </w:tc>
        <w:tc>
          <w:tcPr>
            <w:tcW w:w="1231" w:type="dxa"/>
            <w:shd w:val="clear" w:color="auto" w:fill="215868" w:themeFill="accent5" w:themeFillShade="80"/>
          </w:tcPr>
          <w:p w:rsidR="00840FF5" w:rsidRPr="003059E9" w:rsidRDefault="00840FF5" w:rsidP="00840FF5">
            <w:pPr>
              <w:pStyle w:val="PPVTableHeader"/>
            </w:pPr>
            <w:r w:rsidRPr="003059E9">
              <w:t>Date</w:t>
            </w:r>
          </w:p>
        </w:tc>
        <w:tc>
          <w:tcPr>
            <w:tcW w:w="4253" w:type="dxa"/>
            <w:shd w:val="clear" w:color="auto" w:fill="215868" w:themeFill="accent5" w:themeFillShade="80"/>
          </w:tcPr>
          <w:p w:rsidR="00840FF5" w:rsidRPr="003059E9" w:rsidRDefault="00840FF5" w:rsidP="00840FF5">
            <w:pPr>
              <w:pStyle w:val="PPVTableHeader"/>
            </w:pPr>
            <w:r w:rsidRPr="003059E9">
              <w:t>Description</w:t>
            </w:r>
          </w:p>
        </w:tc>
        <w:tc>
          <w:tcPr>
            <w:tcW w:w="3067" w:type="dxa"/>
            <w:shd w:val="clear" w:color="auto" w:fill="215868" w:themeFill="accent5" w:themeFillShade="80"/>
          </w:tcPr>
          <w:p w:rsidR="00840FF5" w:rsidRPr="003059E9" w:rsidRDefault="00840FF5" w:rsidP="00840FF5">
            <w:pPr>
              <w:pStyle w:val="PPVTableHeader"/>
            </w:pPr>
            <w:r w:rsidRPr="003059E9">
              <w:t>Presented by</w:t>
            </w:r>
          </w:p>
        </w:tc>
      </w:tr>
      <w:tr w:rsidR="00840FF5" w:rsidRPr="003059E9" w:rsidTr="00002386">
        <w:trPr>
          <w:cantSplit/>
        </w:trPr>
        <w:tc>
          <w:tcPr>
            <w:tcW w:w="720" w:type="dxa"/>
          </w:tcPr>
          <w:p w:rsidR="00840FF5" w:rsidRPr="003059E9" w:rsidRDefault="00840FF5" w:rsidP="00840FF5">
            <w:pPr>
              <w:pStyle w:val="PPVTableText"/>
            </w:pPr>
            <w:r w:rsidRPr="003059E9">
              <w:t>1</w:t>
            </w:r>
          </w:p>
        </w:tc>
        <w:tc>
          <w:tcPr>
            <w:tcW w:w="1231" w:type="dxa"/>
          </w:tcPr>
          <w:p w:rsidR="00840FF5" w:rsidRPr="003059E9" w:rsidRDefault="00840FF5" w:rsidP="00840FF5">
            <w:pPr>
              <w:pStyle w:val="PPVTableText"/>
            </w:pPr>
            <w:r w:rsidRPr="003059E9">
              <w:t>28/10/17</w:t>
            </w:r>
          </w:p>
        </w:tc>
        <w:tc>
          <w:tcPr>
            <w:tcW w:w="4253" w:type="dxa"/>
          </w:tcPr>
          <w:p w:rsidR="00840FF5" w:rsidRPr="003059E9" w:rsidRDefault="00840FF5" w:rsidP="00840FF5">
            <w:pPr>
              <w:pStyle w:val="PPVTableText"/>
            </w:pPr>
            <w:r w:rsidRPr="003059E9">
              <w:t xml:space="preserve">Example notice – Consultation and briefing sessions, </w:t>
            </w:r>
            <w:r w:rsidR="00EE531A">
              <w:t>T</w:t>
            </w:r>
            <w:r w:rsidRPr="003059E9">
              <w:t>he Age Newspaper</w:t>
            </w:r>
          </w:p>
        </w:tc>
        <w:tc>
          <w:tcPr>
            <w:tcW w:w="3067" w:type="dxa"/>
          </w:tcPr>
          <w:p w:rsidR="00840FF5" w:rsidRPr="003059E9" w:rsidRDefault="00840FF5" w:rsidP="00840FF5">
            <w:pPr>
              <w:pStyle w:val="PPVTableText"/>
            </w:pPr>
            <w:r w:rsidRPr="003059E9">
              <w:t xml:space="preserve">(from </w:t>
            </w:r>
            <w:r w:rsidR="00EE531A">
              <w:t>T</w:t>
            </w:r>
            <w:r w:rsidRPr="003059E9">
              <w:t>he Age)</w:t>
            </w:r>
          </w:p>
        </w:tc>
      </w:tr>
      <w:tr w:rsidR="00840FF5" w:rsidRPr="003059E9" w:rsidTr="00002386">
        <w:trPr>
          <w:cantSplit/>
        </w:trPr>
        <w:tc>
          <w:tcPr>
            <w:tcW w:w="720" w:type="dxa"/>
          </w:tcPr>
          <w:p w:rsidR="00840FF5" w:rsidRPr="003059E9" w:rsidRDefault="00840FF5" w:rsidP="00840FF5">
            <w:pPr>
              <w:pStyle w:val="PPVTableText"/>
            </w:pPr>
            <w:r w:rsidRPr="003059E9">
              <w:t>2</w:t>
            </w:r>
          </w:p>
        </w:tc>
        <w:tc>
          <w:tcPr>
            <w:tcW w:w="1231" w:type="dxa"/>
          </w:tcPr>
          <w:p w:rsidR="00840FF5" w:rsidRPr="003059E9" w:rsidRDefault="00840FF5" w:rsidP="00840FF5">
            <w:pPr>
              <w:pStyle w:val="PPVTableText"/>
            </w:pPr>
            <w:r w:rsidRPr="003059E9">
              <w:t>10/11/17</w:t>
            </w:r>
          </w:p>
        </w:tc>
        <w:tc>
          <w:tcPr>
            <w:tcW w:w="4253" w:type="dxa"/>
          </w:tcPr>
          <w:p w:rsidR="00840FF5" w:rsidRPr="003059E9" w:rsidRDefault="00840FF5" w:rsidP="00840FF5">
            <w:pPr>
              <w:pStyle w:val="PPVTableText"/>
            </w:pPr>
            <w:r w:rsidRPr="003059E9">
              <w:t>Agenda – Public Briefing</w:t>
            </w:r>
          </w:p>
        </w:tc>
        <w:tc>
          <w:tcPr>
            <w:tcW w:w="3067" w:type="dxa"/>
          </w:tcPr>
          <w:p w:rsidR="00840FF5" w:rsidRPr="003059E9" w:rsidRDefault="00840FF5" w:rsidP="00840FF5">
            <w:pPr>
              <w:pStyle w:val="PPVTableText"/>
            </w:pPr>
            <w:r w:rsidRPr="003059E9">
              <w:t>Ms Mitchell, Chair, Planning Review Panel (Chair)</w:t>
            </w:r>
          </w:p>
        </w:tc>
      </w:tr>
      <w:tr w:rsidR="00840FF5" w:rsidRPr="003059E9" w:rsidTr="00002386">
        <w:trPr>
          <w:cantSplit/>
        </w:trPr>
        <w:tc>
          <w:tcPr>
            <w:tcW w:w="720" w:type="dxa"/>
          </w:tcPr>
          <w:p w:rsidR="00840FF5" w:rsidRPr="003059E9" w:rsidRDefault="00840FF5" w:rsidP="00840FF5">
            <w:pPr>
              <w:pStyle w:val="PPVTableText"/>
            </w:pPr>
            <w:r w:rsidRPr="003059E9">
              <w:t>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Chair Notes – Public Briefing</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Presentation – Fishermans Bend </w:t>
            </w:r>
            <w:r w:rsidR="0079402A">
              <w:t>d</w:t>
            </w:r>
            <w:r w:rsidRPr="003059E9">
              <w:t>raft Framework Plan</w:t>
            </w:r>
          </w:p>
        </w:tc>
        <w:tc>
          <w:tcPr>
            <w:tcW w:w="3067" w:type="dxa"/>
          </w:tcPr>
          <w:p w:rsidR="00840FF5" w:rsidRPr="003059E9" w:rsidRDefault="00840FF5" w:rsidP="00840FF5">
            <w:pPr>
              <w:pStyle w:val="PPVTableText"/>
            </w:pPr>
            <w:r w:rsidRPr="003059E9">
              <w:t>Mr Ward, Fishermans Bend Taskforce (Taskforce)</w:t>
            </w:r>
          </w:p>
        </w:tc>
      </w:tr>
      <w:tr w:rsidR="00840FF5" w:rsidRPr="003059E9" w:rsidTr="00002386">
        <w:trPr>
          <w:cantSplit/>
        </w:trPr>
        <w:tc>
          <w:tcPr>
            <w:tcW w:w="720" w:type="dxa"/>
          </w:tcPr>
          <w:p w:rsidR="00840FF5" w:rsidRPr="003059E9" w:rsidRDefault="00840FF5" w:rsidP="00840FF5">
            <w:pPr>
              <w:pStyle w:val="PPVTableText"/>
            </w:pPr>
            <w:r w:rsidRPr="003059E9">
              <w:t>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Draft Planning Controls, Planning Scheme Amendment GC81</w:t>
            </w:r>
          </w:p>
        </w:tc>
        <w:tc>
          <w:tcPr>
            <w:tcW w:w="3067" w:type="dxa"/>
          </w:tcPr>
          <w:p w:rsidR="00840FF5" w:rsidRPr="003059E9" w:rsidRDefault="00840FF5" w:rsidP="00840FF5">
            <w:pPr>
              <w:pStyle w:val="PPVTableText"/>
            </w:pPr>
            <w:r w:rsidRPr="003059E9">
              <w:t>Ms Tapper, DELWP</w:t>
            </w:r>
          </w:p>
        </w:tc>
      </w:tr>
      <w:tr w:rsidR="00840FF5" w:rsidRPr="003059E9" w:rsidTr="00002386">
        <w:trPr>
          <w:cantSplit/>
        </w:trPr>
        <w:tc>
          <w:tcPr>
            <w:tcW w:w="720" w:type="dxa"/>
          </w:tcPr>
          <w:p w:rsidR="00840FF5" w:rsidRPr="003059E9" w:rsidRDefault="00840FF5" w:rsidP="00840FF5">
            <w:pPr>
              <w:pStyle w:val="PPVTableText"/>
            </w:pPr>
            <w:r w:rsidRPr="003059E9">
              <w:t>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Presentation – Fishermans Bend Urban Design Strategy, September 2017 </w:t>
            </w:r>
          </w:p>
        </w:tc>
        <w:tc>
          <w:tcPr>
            <w:tcW w:w="3067" w:type="dxa"/>
          </w:tcPr>
          <w:p w:rsidR="00840FF5" w:rsidRPr="003059E9" w:rsidRDefault="00840FF5" w:rsidP="00840FF5">
            <w:pPr>
              <w:pStyle w:val="PPVTableText"/>
            </w:pPr>
            <w:r w:rsidRPr="003059E9">
              <w:t>Ms Hodyl, Fishermans Bend Taskforce</w:t>
            </w:r>
          </w:p>
        </w:tc>
      </w:tr>
      <w:tr w:rsidR="00840FF5" w:rsidRPr="003059E9" w:rsidTr="00002386">
        <w:trPr>
          <w:cantSplit/>
        </w:trPr>
        <w:tc>
          <w:tcPr>
            <w:tcW w:w="720" w:type="dxa"/>
          </w:tcPr>
          <w:p w:rsidR="00840FF5" w:rsidRPr="003059E9" w:rsidRDefault="00840FF5" w:rsidP="00840FF5">
            <w:pPr>
              <w:pStyle w:val="PPVTableText"/>
            </w:pPr>
            <w:r w:rsidRPr="003059E9">
              <w:t>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Integrated Transport Plan</w:t>
            </w:r>
          </w:p>
        </w:tc>
        <w:tc>
          <w:tcPr>
            <w:tcW w:w="3067" w:type="dxa"/>
          </w:tcPr>
          <w:p w:rsidR="00840FF5" w:rsidRPr="003059E9" w:rsidRDefault="00840FF5" w:rsidP="00840FF5">
            <w:pPr>
              <w:pStyle w:val="PPVTableText"/>
            </w:pPr>
            <w:r w:rsidRPr="003059E9">
              <w:t>Mr Giles, Fishermans Bend Taskforce</w:t>
            </w:r>
          </w:p>
        </w:tc>
      </w:tr>
      <w:tr w:rsidR="00840FF5" w:rsidRPr="003059E9" w:rsidTr="00002386">
        <w:trPr>
          <w:cantSplit/>
        </w:trPr>
        <w:tc>
          <w:tcPr>
            <w:tcW w:w="720" w:type="dxa"/>
          </w:tcPr>
          <w:p w:rsidR="00840FF5" w:rsidRPr="003059E9" w:rsidRDefault="00840FF5" w:rsidP="00840FF5">
            <w:pPr>
              <w:pStyle w:val="PPVTableText"/>
            </w:pPr>
            <w:r w:rsidRPr="003059E9">
              <w:t>8</w:t>
            </w:r>
          </w:p>
        </w:tc>
        <w:tc>
          <w:tcPr>
            <w:tcW w:w="1231" w:type="dxa"/>
          </w:tcPr>
          <w:p w:rsidR="00840FF5" w:rsidRPr="003059E9" w:rsidRDefault="00840FF5" w:rsidP="00840FF5">
            <w:pPr>
              <w:pStyle w:val="PPVTableText"/>
            </w:pPr>
            <w:r w:rsidRPr="003059E9">
              <w:t>24/10/17</w:t>
            </w:r>
          </w:p>
        </w:tc>
        <w:tc>
          <w:tcPr>
            <w:tcW w:w="4253" w:type="dxa"/>
          </w:tcPr>
          <w:p w:rsidR="00840FF5" w:rsidRPr="003059E9" w:rsidRDefault="00840FF5" w:rsidP="00840FF5">
            <w:pPr>
              <w:pStyle w:val="PPVTableText"/>
            </w:pPr>
            <w:r w:rsidRPr="003059E9">
              <w:t>Agenda – Public Briefing</w:t>
            </w:r>
          </w:p>
        </w:tc>
        <w:tc>
          <w:tcPr>
            <w:tcW w:w="3067" w:type="dxa"/>
          </w:tcPr>
          <w:p w:rsidR="00840FF5" w:rsidRPr="003059E9" w:rsidRDefault="00840FF5" w:rsidP="00840FF5">
            <w:pPr>
              <w:pStyle w:val="PPVTableText"/>
            </w:pPr>
            <w:r w:rsidRPr="003059E9">
              <w:t>Mr Townsend, Deputy Chair, Planning Review Panel</w:t>
            </w:r>
          </w:p>
        </w:tc>
      </w:tr>
      <w:tr w:rsidR="00840FF5" w:rsidRPr="003059E9" w:rsidTr="00002386">
        <w:trPr>
          <w:cantSplit/>
        </w:trPr>
        <w:tc>
          <w:tcPr>
            <w:tcW w:w="720" w:type="dxa"/>
          </w:tcPr>
          <w:p w:rsidR="00840FF5" w:rsidRPr="003059E9" w:rsidRDefault="00840FF5" w:rsidP="00840FF5">
            <w:pPr>
              <w:pStyle w:val="PPVTableText"/>
            </w:pPr>
            <w:r w:rsidRPr="003059E9">
              <w:t>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Chair Notes – Public Briefing</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Presentation </w:t>
            </w:r>
            <w:r w:rsidR="00492A43">
              <w:t>–</w:t>
            </w:r>
            <w:r w:rsidRPr="003059E9">
              <w:t xml:space="preserve"> Public Open Space Strategy</w:t>
            </w:r>
          </w:p>
        </w:tc>
        <w:tc>
          <w:tcPr>
            <w:tcW w:w="3067" w:type="dxa"/>
          </w:tcPr>
          <w:p w:rsidR="00840FF5" w:rsidRPr="003059E9" w:rsidRDefault="00840FF5" w:rsidP="00840FF5">
            <w:pPr>
              <w:pStyle w:val="PPVTableText"/>
            </w:pPr>
            <w:r w:rsidRPr="003059E9">
              <w:t>Mr Ward, Taskforce</w:t>
            </w:r>
          </w:p>
        </w:tc>
      </w:tr>
      <w:tr w:rsidR="00840FF5" w:rsidRPr="003059E9" w:rsidTr="00002386">
        <w:trPr>
          <w:cantSplit/>
        </w:trPr>
        <w:tc>
          <w:tcPr>
            <w:tcW w:w="720" w:type="dxa"/>
          </w:tcPr>
          <w:p w:rsidR="00840FF5" w:rsidRPr="003059E9" w:rsidRDefault="00840FF5" w:rsidP="00840FF5">
            <w:pPr>
              <w:pStyle w:val="PPVTableText"/>
            </w:pPr>
            <w:r w:rsidRPr="003059E9">
              <w:t>11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Draft Community Infrastructure Plan, November 2017</w:t>
            </w:r>
          </w:p>
        </w:tc>
        <w:tc>
          <w:tcPr>
            <w:tcW w:w="3067" w:type="dxa"/>
          </w:tcPr>
          <w:p w:rsidR="00840FF5" w:rsidRPr="003059E9" w:rsidRDefault="00840FF5" w:rsidP="00840FF5">
            <w:pPr>
              <w:pStyle w:val="PPVTableText"/>
            </w:pPr>
            <w:r w:rsidRPr="003059E9">
              <w:t>Ms Hajjari, Taskforce</w:t>
            </w:r>
          </w:p>
        </w:tc>
      </w:tr>
      <w:tr w:rsidR="00840FF5" w:rsidRPr="003059E9" w:rsidTr="00002386">
        <w:trPr>
          <w:cantSplit/>
        </w:trPr>
        <w:tc>
          <w:tcPr>
            <w:tcW w:w="720" w:type="dxa"/>
          </w:tcPr>
          <w:p w:rsidR="00840FF5" w:rsidRPr="003059E9" w:rsidRDefault="00840FF5" w:rsidP="00840FF5">
            <w:pPr>
              <w:pStyle w:val="PPVTableText"/>
            </w:pPr>
            <w:r w:rsidRPr="003059E9">
              <w:t>12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Background Reports, 13 November 2017</w:t>
            </w:r>
          </w:p>
        </w:tc>
        <w:tc>
          <w:tcPr>
            <w:tcW w:w="3067" w:type="dxa"/>
          </w:tcPr>
          <w:p w:rsidR="00840FF5" w:rsidRPr="003059E9" w:rsidRDefault="00840FF5" w:rsidP="00840FF5">
            <w:pPr>
              <w:pStyle w:val="PPVTableText"/>
            </w:pPr>
            <w:r w:rsidRPr="003059E9">
              <w:t xml:space="preserve">Ms Banks, Taskforce </w:t>
            </w:r>
          </w:p>
        </w:tc>
      </w:tr>
      <w:tr w:rsidR="00840FF5" w:rsidRPr="003059E9" w:rsidTr="00002386">
        <w:trPr>
          <w:cantSplit/>
        </w:trPr>
        <w:tc>
          <w:tcPr>
            <w:tcW w:w="720" w:type="dxa"/>
          </w:tcPr>
          <w:p w:rsidR="00840FF5" w:rsidRPr="003059E9" w:rsidRDefault="00840FF5" w:rsidP="00840FF5">
            <w:pPr>
              <w:pStyle w:val="PPVTableText"/>
            </w:pPr>
            <w:r w:rsidRPr="003059E9">
              <w:t>13</w:t>
            </w:r>
          </w:p>
        </w:tc>
        <w:tc>
          <w:tcPr>
            <w:tcW w:w="1231" w:type="dxa"/>
          </w:tcPr>
          <w:p w:rsidR="00840FF5" w:rsidRPr="003059E9" w:rsidRDefault="00840FF5" w:rsidP="00840FF5">
            <w:pPr>
              <w:pStyle w:val="PPVTableText"/>
            </w:pPr>
            <w:r w:rsidRPr="003059E9">
              <w:t>28/11/17</w:t>
            </w:r>
          </w:p>
        </w:tc>
        <w:tc>
          <w:tcPr>
            <w:tcW w:w="4253" w:type="dxa"/>
          </w:tcPr>
          <w:p w:rsidR="00840FF5" w:rsidRPr="003059E9" w:rsidRDefault="00840FF5" w:rsidP="00840FF5">
            <w:pPr>
              <w:pStyle w:val="PPVTableText"/>
            </w:pPr>
            <w:r w:rsidRPr="003059E9">
              <w:t>Agenda – Site Visit</w:t>
            </w:r>
          </w:p>
        </w:tc>
        <w:tc>
          <w:tcPr>
            <w:tcW w:w="3067" w:type="dxa"/>
          </w:tcPr>
          <w:p w:rsidR="00840FF5" w:rsidRPr="003059E9" w:rsidRDefault="00840FF5" w:rsidP="00840FF5">
            <w:pPr>
              <w:pStyle w:val="PPVTableText"/>
            </w:pPr>
            <w:r w:rsidRPr="003059E9">
              <w:t>Ms Goodall, Taskforce</w:t>
            </w:r>
          </w:p>
        </w:tc>
      </w:tr>
      <w:tr w:rsidR="00840FF5" w:rsidRPr="003059E9" w:rsidTr="00002386">
        <w:trPr>
          <w:cantSplit/>
        </w:trPr>
        <w:tc>
          <w:tcPr>
            <w:tcW w:w="720" w:type="dxa"/>
          </w:tcPr>
          <w:p w:rsidR="00840FF5" w:rsidRPr="003059E9" w:rsidRDefault="00840FF5" w:rsidP="00840FF5">
            <w:pPr>
              <w:pStyle w:val="PPVTableText"/>
            </w:pPr>
            <w:r w:rsidRPr="003059E9">
              <w:t>14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Site Visit Map</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Planning Permits Activity and Planning Permit Application Map</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16</w:t>
            </w:r>
          </w:p>
        </w:tc>
        <w:tc>
          <w:tcPr>
            <w:tcW w:w="1231" w:type="dxa"/>
          </w:tcPr>
          <w:p w:rsidR="00840FF5" w:rsidRPr="003059E9" w:rsidRDefault="00840FF5" w:rsidP="00840FF5">
            <w:pPr>
              <w:pStyle w:val="PPVTableText"/>
            </w:pPr>
            <w:r w:rsidRPr="003059E9">
              <w:t>14/11/17</w:t>
            </w:r>
          </w:p>
        </w:tc>
        <w:tc>
          <w:tcPr>
            <w:tcW w:w="4253" w:type="dxa"/>
          </w:tcPr>
          <w:p w:rsidR="00840FF5" w:rsidRPr="003059E9" w:rsidRDefault="00840FF5" w:rsidP="00840FF5">
            <w:pPr>
              <w:pStyle w:val="PPVTableText"/>
            </w:pPr>
            <w:r w:rsidRPr="003059E9">
              <w:t>Notification Letter – sent to submitters</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17</w:t>
            </w:r>
          </w:p>
        </w:tc>
        <w:tc>
          <w:tcPr>
            <w:tcW w:w="1231" w:type="dxa"/>
          </w:tcPr>
          <w:p w:rsidR="00840FF5" w:rsidRPr="003059E9" w:rsidRDefault="00840FF5" w:rsidP="00840FF5">
            <w:pPr>
              <w:pStyle w:val="PPVTableText"/>
            </w:pPr>
            <w:r w:rsidRPr="003059E9">
              <w:t>18/12/17</w:t>
            </w:r>
          </w:p>
        </w:tc>
        <w:tc>
          <w:tcPr>
            <w:tcW w:w="4253" w:type="dxa"/>
          </w:tcPr>
          <w:p w:rsidR="00840FF5" w:rsidRPr="003059E9" w:rsidRDefault="00840FF5" w:rsidP="00840FF5">
            <w:pPr>
              <w:pStyle w:val="PPVTableText"/>
            </w:pPr>
            <w:r w:rsidRPr="003059E9">
              <w:t>Letter – Letter to Chair referring Ministerial Advisory Committee (MAC) Report</w:t>
            </w:r>
          </w:p>
        </w:tc>
        <w:tc>
          <w:tcPr>
            <w:tcW w:w="3067" w:type="dxa"/>
          </w:tcPr>
          <w:p w:rsidR="00840FF5" w:rsidRPr="003059E9" w:rsidRDefault="00840FF5" w:rsidP="00840FF5">
            <w:pPr>
              <w:pStyle w:val="PPVTableText"/>
            </w:pPr>
            <w:r w:rsidRPr="003059E9">
              <w:t>Minister for Planning</w:t>
            </w:r>
          </w:p>
        </w:tc>
      </w:tr>
      <w:tr w:rsidR="00840FF5" w:rsidRPr="003059E9" w:rsidTr="00002386">
        <w:trPr>
          <w:cantSplit/>
        </w:trPr>
        <w:tc>
          <w:tcPr>
            <w:tcW w:w="720" w:type="dxa"/>
          </w:tcPr>
          <w:p w:rsidR="00840FF5" w:rsidRPr="003059E9" w:rsidRDefault="00840FF5" w:rsidP="00840FF5">
            <w:pPr>
              <w:pStyle w:val="PPVTableText"/>
            </w:pPr>
            <w:r w:rsidRPr="003059E9">
              <w:t>18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6C32DA" w:rsidP="00840FF5">
            <w:pPr>
              <w:pStyle w:val="PPVTableText"/>
            </w:pPr>
            <w:r>
              <w:t xml:space="preserve">Report – Fishermans Bend </w:t>
            </w:r>
            <w:r w:rsidR="00840FF5" w:rsidRPr="003059E9">
              <w:t xml:space="preserve">MAC </w:t>
            </w:r>
            <w:r>
              <w:t>r</w:t>
            </w:r>
            <w:r w:rsidR="00840FF5" w:rsidRPr="003059E9">
              <w:t>eport to the Minister for Planning on Draft Fishermans Bend Framework</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19</w:t>
            </w:r>
          </w:p>
        </w:tc>
        <w:tc>
          <w:tcPr>
            <w:tcW w:w="1231" w:type="dxa"/>
          </w:tcPr>
          <w:p w:rsidR="00840FF5" w:rsidRPr="003059E9" w:rsidRDefault="00840FF5" w:rsidP="00840FF5">
            <w:pPr>
              <w:pStyle w:val="PPVTableText"/>
            </w:pPr>
            <w:r w:rsidRPr="003059E9">
              <w:t>19/12/17</w:t>
            </w:r>
          </w:p>
        </w:tc>
        <w:tc>
          <w:tcPr>
            <w:tcW w:w="4253" w:type="dxa"/>
          </w:tcPr>
          <w:p w:rsidR="00840FF5" w:rsidRDefault="00840FF5" w:rsidP="00840FF5">
            <w:pPr>
              <w:pStyle w:val="PPVTableText"/>
            </w:pPr>
            <w:r w:rsidRPr="003059E9">
              <w:t>Submission</w:t>
            </w:r>
          </w:p>
          <w:p w:rsidR="00840FF5" w:rsidRDefault="00840FF5" w:rsidP="00840FF5">
            <w:pPr>
              <w:pStyle w:val="PPVTableText"/>
            </w:pPr>
            <w:r w:rsidRPr="003059E9">
              <w:t>Tabling Letter, Ms Choi</w:t>
            </w:r>
          </w:p>
          <w:p w:rsidR="00840FF5" w:rsidRDefault="00B1080D" w:rsidP="00840FF5">
            <w:pPr>
              <w:pStyle w:val="PPVTableText"/>
            </w:pPr>
            <w:r>
              <w:t>Directions sought, Mr Morris</w:t>
            </w:r>
          </w:p>
          <w:p w:rsidR="00840FF5" w:rsidRPr="003059E9" w:rsidRDefault="00840FF5" w:rsidP="00840FF5">
            <w:pPr>
              <w:pStyle w:val="PPVTableText"/>
            </w:pPr>
            <w:r w:rsidRPr="003059E9">
              <w:t>Affidavit of Ms Brezzi</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20</w:t>
            </w:r>
          </w:p>
        </w:tc>
        <w:tc>
          <w:tcPr>
            <w:tcW w:w="1231" w:type="dxa"/>
          </w:tcPr>
          <w:p w:rsidR="00840FF5" w:rsidRPr="003059E9" w:rsidRDefault="00840FF5" w:rsidP="00840FF5">
            <w:pPr>
              <w:pStyle w:val="PPVTableText"/>
            </w:pPr>
            <w:r w:rsidRPr="003059E9">
              <w:t>20/12/17</w:t>
            </w:r>
          </w:p>
        </w:tc>
        <w:tc>
          <w:tcPr>
            <w:tcW w:w="4253" w:type="dxa"/>
          </w:tcPr>
          <w:p w:rsidR="00840FF5" w:rsidRPr="003059E9" w:rsidRDefault="00840FF5" w:rsidP="00840FF5">
            <w:pPr>
              <w:pStyle w:val="PPVTableText"/>
            </w:pPr>
            <w:r w:rsidRPr="003059E9">
              <w:t>Preliminary key issues</w:t>
            </w:r>
          </w:p>
        </w:tc>
        <w:tc>
          <w:tcPr>
            <w:tcW w:w="3067" w:type="dxa"/>
          </w:tcPr>
          <w:p w:rsidR="00840FF5" w:rsidRPr="003059E9" w:rsidRDefault="00840FF5" w:rsidP="00840FF5">
            <w:pPr>
              <w:pStyle w:val="PPVTableText"/>
            </w:pPr>
            <w:r w:rsidRPr="003059E9">
              <w:t>Mr Townsend, Deputy Chair</w:t>
            </w:r>
          </w:p>
        </w:tc>
      </w:tr>
      <w:tr w:rsidR="00840FF5" w:rsidRPr="003059E9" w:rsidTr="00002386">
        <w:trPr>
          <w:cantSplit/>
        </w:trPr>
        <w:tc>
          <w:tcPr>
            <w:tcW w:w="720" w:type="dxa"/>
          </w:tcPr>
          <w:p w:rsidR="00840FF5" w:rsidRPr="003059E9" w:rsidRDefault="00840FF5" w:rsidP="00840FF5">
            <w:pPr>
              <w:pStyle w:val="PPVTableText"/>
            </w:pPr>
            <w:r w:rsidRPr="003059E9">
              <w:t>21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GC50 </w:t>
            </w:r>
            <w:r w:rsidR="00492A43">
              <w:t>–</w:t>
            </w:r>
            <w:r w:rsidRPr="003059E9">
              <w:t xml:space="preserve"> Reasons for Intervention</w:t>
            </w:r>
          </w:p>
        </w:tc>
        <w:tc>
          <w:tcPr>
            <w:tcW w:w="3067" w:type="dxa"/>
          </w:tcPr>
          <w:p w:rsidR="00840FF5" w:rsidRPr="003059E9" w:rsidRDefault="00B1080D" w:rsidP="00840FF5">
            <w:pPr>
              <w:pStyle w:val="PPVTableText"/>
            </w:pPr>
            <w:r>
              <w:t>Mr Morris</w:t>
            </w:r>
            <w:r w:rsidR="00840FF5" w:rsidRPr="003059E9">
              <w:t xml:space="preserve"> of Counsel</w:t>
            </w:r>
          </w:p>
        </w:tc>
      </w:tr>
      <w:tr w:rsidR="00840FF5" w:rsidRPr="003059E9" w:rsidTr="00002386">
        <w:trPr>
          <w:cantSplit/>
        </w:trPr>
        <w:tc>
          <w:tcPr>
            <w:tcW w:w="720" w:type="dxa"/>
          </w:tcPr>
          <w:p w:rsidR="00840FF5" w:rsidRPr="003059E9" w:rsidRDefault="00840FF5" w:rsidP="00840FF5">
            <w:pPr>
              <w:pStyle w:val="PPVTableText"/>
            </w:pPr>
            <w:r w:rsidRPr="003059E9">
              <w:t>22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Administrative Law Act 1987 </w:t>
            </w:r>
          </w:p>
        </w:tc>
        <w:tc>
          <w:tcPr>
            <w:tcW w:w="3067" w:type="dxa"/>
          </w:tcPr>
          <w:p w:rsidR="00840FF5" w:rsidRPr="003059E9" w:rsidRDefault="00B1080D" w:rsidP="00840FF5">
            <w:pPr>
              <w:pStyle w:val="PPVTableText"/>
            </w:pPr>
            <w:r>
              <w:t>Mr Canavan</w:t>
            </w:r>
            <w:r w:rsidR="00840FF5" w:rsidRPr="003059E9">
              <w:t xml:space="preserve"> of Counsel</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23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 Minister for Planning</w:t>
            </w:r>
          </w:p>
        </w:tc>
        <w:tc>
          <w:tcPr>
            <w:tcW w:w="3067" w:type="dxa"/>
          </w:tcPr>
          <w:p w:rsidR="00840FF5" w:rsidRPr="003059E9" w:rsidRDefault="00840FF5" w:rsidP="00840FF5">
            <w:pPr>
              <w:pStyle w:val="PPVTableText"/>
            </w:pPr>
            <w:r w:rsidRPr="003059E9">
              <w:t>Mr Tobin, Harwood Andrews</w:t>
            </w:r>
          </w:p>
        </w:tc>
      </w:tr>
      <w:tr w:rsidR="00840FF5" w:rsidRPr="003059E9" w:rsidTr="00002386">
        <w:trPr>
          <w:cantSplit/>
        </w:trPr>
        <w:tc>
          <w:tcPr>
            <w:tcW w:w="720" w:type="dxa"/>
          </w:tcPr>
          <w:p w:rsidR="00840FF5" w:rsidRPr="003059E9" w:rsidRDefault="00840FF5" w:rsidP="00840FF5">
            <w:pPr>
              <w:pStyle w:val="PPVTableText"/>
            </w:pPr>
            <w:r w:rsidRPr="003059E9">
              <w:t>24</w:t>
            </w:r>
          </w:p>
        </w:tc>
        <w:tc>
          <w:tcPr>
            <w:tcW w:w="1231" w:type="dxa"/>
          </w:tcPr>
          <w:p w:rsidR="00840FF5" w:rsidRPr="003059E9" w:rsidRDefault="00840FF5" w:rsidP="00840FF5">
            <w:pPr>
              <w:pStyle w:val="PPVTableText"/>
            </w:pPr>
            <w:r w:rsidRPr="003059E9">
              <w:t>28/12/17</w:t>
            </w:r>
          </w:p>
        </w:tc>
        <w:tc>
          <w:tcPr>
            <w:tcW w:w="4253" w:type="dxa"/>
          </w:tcPr>
          <w:p w:rsidR="00840FF5" w:rsidRPr="003059E9" w:rsidRDefault="00840FF5" w:rsidP="00840FF5">
            <w:pPr>
              <w:pStyle w:val="PPVTableText"/>
            </w:pPr>
            <w:r w:rsidRPr="003059E9">
              <w:t>Directions Letter – Review Panel</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25</w:t>
            </w:r>
          </w:p>
        </w:tc>
        <w:tc>
          <w:tcPr>
            <w:tcW w:w="1231" w:type="dxa"/>
          </w:tcPr>
          <w:p w:rsidR="00840FF5" w:rsidRPr="003059E9" w:rsidRDefault="00840FF5" w:rsidP="00840FF5">
            <w:pPr>
              <w:pStyle w:val="PPVTableText"/>
            </w:pPr>
            <w:r w:rsidRPr="003059E9">
              <w:t>18/01/18</w:t>
            </w:r>
          </w:p>
        </w:tc>
        <w:tc>
          <w:tcPr>
            <w:tcW w:w="4253" w:type="dxa"/>
          </w:tcPr>
          <w:p w:rsidR="00840FF5" w:rsidRPr="003059E9" w:rsidRDefault="00840FF5" w:rsidP="00840FF5">
            <w:pPr>
              <w:pStyle w:val="PPVTableText"/>
            </w:pPr>
            <w:r w:rsidRPr="003059E9">
              <w:t>Directions (Version 2) – Review Panel</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26</w:t>
            </w:r>
          </w:p>
        </w:tc>
        <w:tc>
          <w:tcPr>
            <w:tcW w:w="1231" w:type="dxa"/>
          </w:tcPr>
          <w:p w:rsidR="00840FF5" w:rsidRPr="003059E9" w:rsidRDefault="00840FF5" w:rsidP="00840FF5">
            <w:pPr>
              <w:pStyle w:val="PPVTableText"/>
            </w:pPr>
            <w:r w:rsidRPr="003059E9">
              <w:t>19/01/18</w:t>
            </w:r>
          </w:p>
        </w:tc>
        <w:tc>
          <w:tcPr>
            <w:tcW w:w="4253" w:type="dxa"/>
          </w:tcPr>
          <w:p w:rsidR="00840FF5" w:rsidRPr="003059E9" w:rsidRDefault="00840FF5" w:rsidP="00840FF5">
            <w:pPr>
              <w:pStyle w:val="PPVTableText"/>
            </w:pPr>
            <w:r w:rsidRPr="003059E9">
              <w:t>Correspondence – Adjournment request</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27</w:t>
            </w:r>
          </w:p>
        </w:tc>
        <w:tc>
          <w:tcPr>
            <w:tcW w:w="1231" w:type="dxa"/>
          </w:tcPr>
          <w:p w:rsidR="00840FF5" w:rsidRPr="003059E9" w:rsidRDefault="00840FF5" w:rsidP="00840FF5">
            <w:pPr>
              <w:pStyle w:val="PPVTableText"/>
            </w:pPr>
            <w:r w:rsidRPr="003059E9">
              <w:t>22/01/18</w:t>
            </w:r>
          </w:p>
        </w:tc>
        <w:tc>
          <w:tcPr>
            <w:tcW w:w="4253" w:type="dxa"/>
          </w:tcPr>
          <w:p w:rsidR="00840FF5" w:rsidRPr="003059E9" w:rsidRDefault="00840FF5" w:rsidP="00840FF5">
            <w:pPr>
              <w:pStyle w:val="PPVTableText"/>
            </w:pPr>
            <w:r w:rsidRPr="003059E9">
              <w:t>Correspondence – Proposed second Directions Hearing date</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28</w:t>
            </w:r>
          </w:p>
        </w:tc>
        <w:tc>
          <w:tcPr>
            <w:tcW w:w="1231" w:type="dxa"/>
          </w:tcPr>
          <w:p w:rsidR="00840FF5" w:rsidRPr="003059E9" w:rsidRDefault="00840FF5" w:rsidP="00840FF5">
            <w:pPr>
              <w:pStyle w:val="PPVTableText"/>
            </w:pPr>
            <w:r w:rsidRPr="003059E9">
              <w:t>23/01/18</w:t>
            </w:r>
          </w:p>
        </w:tc>
        <w:tc>
          <w:tcPr>
            <w:tcW w:w="4253" w:type="dxa"/>
          </w:tcPr>
          <w:p w:rsidR="00840FF5" w:rsidRPr="003059E9" w:rsidRDefault="00840FF5" w:rsidP="00840FF5">
            <w:pPr>
              <w:pStyle w:val="PPVTableText"/>
            </w:pPr>
            <w:r w:rsidRPr="003059E9">
              <w:t>Correspondence – Response to Adjournment request</w:t>
            </w:r>
          </w:p>
        </w:tc>
        <w:tc>
          <w:tcPr>
            <w:tcW w:w="3067" w:type="dxa"/>
          </w:tcPr>
          <w:p w:rsidR="00840FF5" w:rsidRPr="003059E9" w:rsidRDefault="00840FF5" w:rsidP="00840FF5">
            <w:pPr>
              <w:pStyle w:val="PPVTableText"/>
            </w:pPr>
            <w:r w:rsidRPr="003059E9">
              <w:t>Mr Townsend, Deputy Chair</w:t>
            </w:r>
          </w:p>
        </w:tc>
      </w:tr>
      <w:tr w:rsidR="00840FF5" w:rsidRPr="003059E9" w:rsidTr="00002386">
        <w:trPr>
          <w:cantSplit/>
        </w:trPr>
        <w:tc>
          <w:tcPr>
            <w:tcW w:w="720" w:type="dxa"/>
          </w:tcPr>
          <w:p w:rsidR="00840FF5" w:rsidRPr="003059E9" w:rsidRDefault="00840FF5" w:rsidP="00840FF5">
            <w:pPr>
              <w:pStyle w:val="PPVTableText"/>
            </w:pPr>
            <w:r w:rsidRPr="003059E9">
              <w:t>29</w:t>
            </w:r>
          </w:p>
        </w:tc>
        <w:tc>
          <w:tcPr>
            <w:tcW w:w="1231" w:type="dxa"/>
          </w:tcPr>
          <w:p w:rsidR="00840FF5" w:rsidRPr="003059E9" w:rsidRDefault="00840FF5" w:rsidP="00840FF5">
            <w:pPr>
              <w:pStyle w:val="PPVTableText"/>
            </w:pPr>
            <w:r w:rsidRPr="003059E9">
              <w:t>25/01/18</w:t>
            </w:r>
          </w:p>
        </w:tc>
        <w:tc>
          <w:tcPr>
            <w:tcW w:w="4253" w:type="dxa"/>
          </w:tcPr>
          <w:p w:rsidR="00840FF5" w:rsidRPr="003059E9" w:rsidRDefault="00840FF5" w:rsidP="00840FF5">
            <w:pPr>
              <w:pStyle w:val="PPVTableText"/>
            </w:pPr>
            <w:r w:rsidRPr="003059E9">
              <w:t xml:space="preserve">Correspondence – Further Adjournment request and proposed </w:t>
            </w:r>
            <w:r w:rsidR="00827876">
              <w:t>S</w:t>
            </w:r>
            <w:r w:rsidRPr="003059E9">
              <w:t xml:space="preserve">tage 1 </w:t>
            </w:r>
            <w:r w:rsidR="00827876">
              <w:t>H</w:t>
            </w:r>
            <w:r w:rsidRPr="003059E9">
              <w:t>earing outline</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30</w:t>
            </w:r>
          </w:p>
        </w:tc>
        <w:tc>
          <w:tcPr>
            <w:tcW w:w="1231" w:type="dxa"/>
          </w:tcPr>
          <w:p w:rsidR="00840FF5" w:rsidRPr="003059E9" w:rsidRDefault="00840FF5" w:rsidP="00840FF5">
            <w:pPr>
              <w:pStyle w:val="PPVTableText"/>
            </w:pPr>
            <w:r w:rsidRPr="003059E9">
              <w:t>29/01/18</w:t>
            </w:r>
          </w:p>
        </w:tc>
        <w:tc>
          <w:tcPr>
            <w:tcW w:w="4253" w:type="dxa"/>
          </w:tcPr>
          <w:p w:rsidR="00840FF5" w:rsidRPr="003059E9" w:rsidRDefault="00840FF5" w:rsidP="00840FF5">
            <w:pPr>
              <w:pStyle w:val="PPVTableText"/>
            </w:pPr>
            <w:r w:rsidRPr="003059E9">
              <w:t>Correspondence – Response to further adjournment request</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31</w:t>
            </w:r>
          </w:p>
        </w:tc>
        <w:tc>
          <w:tcPr>
            <w:tcW w:w="1231" w:type="dxa"/>
          </w:tcPr>
          <w:p w:rsidR="00840FF5" w:rsidRPr="003059E9" w:rsidRDefault="00840FF5" w:rsidP="00840FF5">
            <w:pPr>
              <w:pStyle w:val="PPVTableText"/>
            </w:pPr>
            <w:r w:rsidRPr="003059E9">
              <w:t>31/01/18</w:t>
            </w:r>
          </w:p>
        </w:tc>
        <w:tc>
          <w:tcPr>
            <w:tcW w:w="4253" w:type="dxa"/>
          </w:tcPr>
          <w:p w:rsidR="00840FF5" w:rsidRPr="003059E9" w:rsidRDefault="00840FF5" w:rsidP="00840FF5">
            <w:pPr>
              <w:pStyle w:val="PPVTableText"/>
            </w:pPr>
            <w:r w:rsidRPr="003059E9">
              <w:t>Correspondence – Second Directions Hearing</w:t>
            </w:r>
          </w:p>
        </w:tc>
        <w:tc>
          <w:tcPr>
            <w:tcW w:w="3067" w:type="dxa"/>
          </w:tcPr>
          <w:p w:rsidR="00840FF5" w:rsidRPr="003059E9" w:rsidRDefault="00840FF5" w:rsidP="00840FF5">
            <w:pPr>
              <w:pStyle w:val="PPVTableText"/>
            </w:pPr>
            <w:r w:rsidRPr="003059E9">
              <w:t>Mr Moylan, Planning and Property Partners</w:t>
            </w:r>
          </w:p>
        </w:tc>
      </w:tr>
      <w:tr w:rsidR="00840FF5" w:rsidRPr="003059E9" w:rsidTr="00002386">
        <w:trPr>
          <w:cantSplit/>
        </w:trPr>
        <w:tc>
          <w:tcPr>
            <w:tcW w:w="720" w:type="dxa"/>
          </w:tcPr>
          <w:p w:rsidR="00840FF5" w:rsidRPr="003059E9" w:rsidRDefault="00840FF5" w:rsidP="00840FF5">
            <w:pPr>
              <w:pStyle w:val="PPVTableText"/>
            </w:pPr>
            <w:r w:rsidRPr="003059E9">
              <w:t>32</w:t>
            </w:r>
          </w:p>
        </w:tc>
        <w:tc>
          <w:tcPr>
            <w:tcW w:w="1231" w:type="dxa"/>
          </w:tcPr>
          <w:p w:rsidR="00840FF5" w:rsidRPr="003059E9" w:rsidRDefault="00840FF5" w:rsidP="00840FF5">
            <w:pPr>
              <w:pStyle w:val="PPVTableText"/>
            </w:pPr>
            <w:r w:rsidRPr="003059E9">
              <w:t>31/01/18</w:t>
            </w:r>
          </w:p>
        </w:tc>
        <w:tc>
          <w:tcPr>
            <w:tcW w:w="4253" w:type="dxa"/>
          </w:tcPr>
          <w:p w:rsidR="00840FF5" w:rsidRPr="003059E9" w:rsidRDefault="00840FF5" w:rsidP="00840FF5">
            <w:pPr>
              <w:pStyle w:val="PPVTableText"/>
            </w:pPr>
            <w:r w:rsidRPr="003059E9">
              <w:t>Correspondence – Second Directions Hearing</w:t>
            </w:r>
          </w:p>
        </w:tc>
        <w:tc>
          <w:tcPr>
            <w:tcW w:w="3067" w:type="dxa"/>
          </w:tcPr>
          <w:p w:rsidR="00840FF5" w:rsidRPr="003059E9" w:rsidRDefault="00840FF5" w:rsidP="00840FF5">
            <w:pPr>
              <w:pStyle w:val="PPVTableText"/>
            </w:pPr>
            <w:r w:rsidRPr="003059E9">
              <w:t>Ms Robinson, Rigby Cooke Lawyers</w:t>
            </w:r>
          </w:p>
        </w:tc>
      </w:tr>
      <w:tr w:rsidR="00840FF5" w:rsidRPr="003059E9" w:rsidTr="00002386">
        <w:trPr>
          <w:cantSplit/>
        </w:trPr>
        <w:tc>
          <w:tcPr>
            <w:tcW w:w="720" w:type="dxa"/>
          </w:tcPr>
          <w:p w:rsidR="00840FF5" w:rsidRPr="003059E9" w:rsidRDefault="00840FF5" w:rsidP="00840FF5">
            <w:pPr>
              <w:pStyle w:val="PPVTableText"/>
            </w:pPr>
            <w:r w:rsidRPr="003059E9">
              <w:t>33</w:t>
            </w:r>
          </w:p>
        </w:tc>
        <w:tc>
          <w:tcPr>
            <w:tcW w:w="1231" w:type="dxa"/>
          </w:tcPr>
          <w:p w:rsidR="00840FF5" w:rsidRPr="003059E9" w:rsidRDefault="00840FF5" w:rsidP="00840FF5">
            <w:pPr>
              <w:pStyle w:val="PPVTableText"/>
            </w:pPr>
            <w:r w:rsidRPr="003059E9">
              <w:t>02/02/18</w:t>
            </w:r>
          </w:p>
        </w:tc>
        <w:tc>
          <w:tcPr>
            <w:tcW w:w="4253" w:type="dxa"/>
          </w:tcPr>
          <w:p w:rsidR="00840FF5" w:rsidRPr="003059E9" w:rsidRDefault="00840FF5" w:rsidP="00840FF5">
            <w:pPr>
              <w:pStyle w:val="PPVTableText"/>
            </w:pPr>
            <w:r w:rsidRPr="003059E9">
              <w:t>Affidavit of Ms Morris</w:t>
            </w:r>
          </w:p>
        </w:tc>
        <w:tc>
          <w:tcPr>
            <w:tcW w:w="3067" w:type="dxa"/>
          </w:tcPr>
          <w:p w:rsidR="00840FF5" w:rsidRPr="003059E9" w:rsidRDefault="00B1080D" w:rsidP="00840FF5">
            <w:pPr>
              <w:pStyle w:val="PPVTableText"/>
            </w:pPr>
            <w:r>
              <w:t xml:space="preserve">Ms Brennan </w:t>
            </w:r>
            <w:r w:rsidR="00840FF5" w:rsidRPr="003059E9">
              <w:t>of Counsel for Minister for Planning</w:t>
            </w:r>
          </w:p>
        </w:tc>
      </w:tr>
      <w:tr w:rsidR="00840FF5" w:rsidRPr="003059E9" w:rsidTr="00002386">
        <w:trPr>
          <w:cantSplit/>
        </w:trPr>
        <w:tc>
          <w:tcPr>
            <w:tcW w:w="720" w:type="dxa"/>
          </w:tcPr>
          <w:p w:rsidR="00840FF5" w:rsidRPr="003059E9" w:rsidRDefault="00840FF5" w:rsidP="00840FF5">
            <w:pPr>
              <w:pStyle w:val="PPVTableText"/>
            </w:pPr>
            <w:r w:rsidRPr="003059E9">
              <w:t>34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 Minister for Planning in support of adjournment request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35</w:t>
            </w:r>
          </w:p>
        </w:tc>
        <w:tc>
          <w:tcPr>
            <w:tcW w:w="1231" w:type="dxa"/>
          </w:tcPr>
          <w:p w:rsidR="00840FF5" w:rsidRPr="003059E9" w:rsidRDefault="00840FF5" w:rsidP="00840FF5">
            <w:pPr>
              <w:pStyle w:val="PPVTableText"/>
            </w:pPr>
            <w:r w:rsidRPr="003059E9">
              <w:t>5/02/18</w:t>
            </w:r>
          </w:p>
        </w:tc>
        <w:tc>
          <w:tcPr>
            <w:tcW w:w="4253" w:type="dxa"/>
          </w:tcPr>
          <w:p w:rsidR="00840FF5" w:rsidRPr="003059E9" w:rsidRDefault="00840FF5" w:rsidP="00840FF5">
            <w:pPr>
              <w:pStyle w:val="PPVTableText"/>
            </w:pPr>
            <w:r w:rsidRPr="003059E9">
              <w:t>Directions and summary timetable</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36</w:t>
            </w:r>
          </w:p>
        </w:tc>
        <w:tc>
          <w:tcPr>
            <w:tcW w:w="1231" w:type="dxa"/>
          </w:tcPr>
          <w:p w:rsidR="00840FF5" w:rsidRPr="003059E9" w:rsidRDefault="00840FF5" w:rsidP="00840FF5">
            <w:pPr>
              <w:pStyle w:val="PPVTableText"/>
            </w:pPr>
            <w:r w:rsidRPr="003059E9">
              <w:t>6/02/18</w:t>
            </w:r>
          </w:p>
        </w:tc>
        <w:tc>
          <w:tcPr>
            <w:tcW w:w="4253" w:type="dxa"/>
          </w:tcPr>
          <w:p w:rsidR="00840FF5" w:rsidRPr="003059E9" w:rsidRDefault="00840FF5" w:rsidP="00840FF5">
            <w:pPr>
              <w:pStyle w:val="PPVTableText"/>
            </w:pPr>
            <w:r w:rsidRPr="003059E9">
              <w:t>Correspondence – Late circulation of Direction 11</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37</w:t>
            </w:r>
          </w:p>
        </w:tc>
        <w:tc>
          <w:tcPr>
            <w:tcW w:w="1231" w:type="dxa"/>
          </w:tcPr>
          <w:p w:rsidR="00840FF5" w:rsidRPr="003059E9" w:rsidRDefault="00840FF5" w:rsidP="00840FF5">
            <w:pPr>
              <w:pStyle w:val="PPVTableText"/>
            </w:pPr>
            <w:r w:rsidRPr="003059E9">
              <w:t>7/02/18</w:t>
            </w:r>
          </w:p>
        </w:tc>
        <w:tc>
          <w:tcPr>
            <w:tcW w:w="4253" w:type="dxa"/>
          </w:tcPr>
          <w:p w:rsidR="00840FF5" w:rsidRPr="003059E9" w:rsidRDefault="00840FF5" w:rsidP="00840FF5">
            <w:pPr>
              <w:pStyle w:val="PPVTableText"/>
            </w:pPr>
            <w:r w:rsidRPr="003059E9">
              <w:t>Correspondence – Response to Direction 11 and attached list of documents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38</w:t>
            </w:r>
          </w:p>
        </w:tc>
        <w:tc>
          <w:tcPr>
            <w:tcW w:w="1231" w:type="dxa"/>
          </w:tcPr>
          <w:p w:rsidR="00840FF5" w:rsidRPr="003059E9" w:rsidRDefault="00840FF5" w:rsidP="00840FF5">
            <w:pPr>
              <w:pStyle w:val="PPVTableText"/>
            </w:pPr>
            <w:r w:rsidRPr="003059E9">
              <w:t>9/02/18</w:t>
            </w:r>
          </w:p>
        </w:tc>
        <w:tc>
          <w:tcPr>
            <w:tcW w:w="4253" w:type="dxa"/>
          </w:tcPr>
          <w:p w:rsidR="00840FF5" w:rsidRDefault="00840FF5" w:rsidP="00840FF5">
            <w:pPr>
              <w:pStyle w:val="PPVTableText"/>
            </w:pPr>
            <w:r w:rsidRPr="003059E9">
              <w:t>Hearing Timetable, Reasons for Decision and revised Distribution List</w:t>
            </w:r>
          </w:p>
          <w:p w:rsidR="00840FF5" w:rsidRPr="003059E9" w:rsidRDefault="00840FF5" w:rsidP="00840FF5">
            <w:pPr>
              <w:pStyle w:val="PPVTableText"/>
            </w:pPr>
            <w:r w:rsidRPr="003059E9">
              <w:t>Additional direction (12/02/18)</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39</w:t>
            </w:r>
          </w:p>
        </w:tc>
        <w:tc>
          <w:tcPr>
            <w:tcW w:w="1231" w:type="dxa"/>
          </w:tcPr>
          <w:p w:rsidR="00840FF5" w:rsidRPr="003059E9" w:rsidRDefault="00840FF5" w:rsidP="00840FF5">
            <w:pPr>
              <w:pStyle w:val="PPVTableText"/>
            </w:pPr>
            <w:r w:rsidRPr="003059E9">
              <w:t>13/02/18</w:t>
            </w:r>
          </w:p>
        </w:tc>
        <w:tc>
          <w:tcPr>
            <w:tcW w:w="4253" w:type="dxa"/>
          </w:tcPr>
          <w:p w:rsidR="00840FF5" w:rsidRPr="003059E9" w:rsidRDefault="00840FF5" w:rsidP="00840FF5">
            <w:pPr>
              <w:pStyle w:val="PPVTableText"/>
            </w:pPr>
            <w:r w:rsidRPr="003059E9">
              <w:t xml:space="preserve">Presentation – </w:t>
            </w:r>
            <w:r w:rsidR="00E070FF">
              <w:t>d</w:t>
            </w:r>
            <w:r w:rsidRPr="003059E9">
              <w:t>raft Framework Plan</w:t>
            </w:r>
          </w:p>
        </w:tc>
        <w:tc>
          <w:tcPr>
            <w:tcW w:w="3067" w:type="dxa"/>
          </w:tcPr>
          <w:p w:rsidR="00840FF5" w:rsidRPr="003059E9" w:rsidRDefault="00840FF5" w:rsidP="00840FF5">
            <w:pPr>
              <w:pStyle w:val="PPVTableText"/>
            </w:pPr>
            <w:r w:rsidRPr="003059E9">
              <w:t>Mr Ward, Taskforce</w:t>
            </w:r>
          </w:p>
        </w:tc>
      </w:tr>
      <w:tr w:rsidR="00840FF5" w:rsidRPr="003059E9" w:rsidTr="00002386">
        <w:trPr>
          <w:cantSplit/>
        </w:trPr>
        <w:tc>
          <w:tcPr>
            <w:tcW w:w="720" w:type="dxa"/>
          </w:tcPr>
          <w:p w:rsidR="00840FF5" w:rsidRPr="003059E9" w:rsidRDefault="00840FF5" w:rsidP="00840FF5">
            <w:pPr>
              <w:pStyle w:val="PPVTableText"/>
            </w:pPr>
            <w:r w:rsidRPr="003059E9">
              <w:t>40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Background Reports</w:t>
            </w:r>
          </w:p>
        </w:tc>
        <w:tc>
          <w:tcPr>
            <w:tcW w:w="3067" w:type="dxa"/>
          </w:tcPr>
          <w:p w:rsidR="00840FF5" w:rsidRPr="003059E9" w:rsidRDefault="00840FF5" w:rsidP="00840FF5">
            <w:pPr>
              <w:pStyle w:val="PPVTableText"/>
            </w:pPr>
            <w:r w:rsidRPr="003059E9">
              <w:t>Ms Banks, Taskforce</w:t>
            </w:r>
          </w:p>
        </w:tc>
      </w:tr>
      <w:tr w:rsidR="00840FF5" w:rsidRPr="003059E9" w:rsidTr="00002386">
        <w:trPr>
          <w:cantSplit/>
        </w:trPr>
        <w:tc>
          <w:tcPr>
            <w:tcW w:w="720" w:type="dxa"/>
          </w:tcPr>
          <w:p w:rsidR="00840FF5" w:rsidRPr="003059E9" w:rsidRDefault="00840FF5" w:rsidP="00840FF5">
            <w:pPr>
              <w:pStyle w:val="PPVTableText"/>
            </w:pPr>
            <w:r w:rsidRPr="003059E9">
              <w:t>41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Urban Design Strategy</w:t>
            </w:r>
          </w:p>
        </w:tc>
        <w:tc>
          <w:tcPr>
            <w:tcW w:w="3067" w:type="dxa"/>
          </w:tcPr>
          <w:p w:rsidR="00840FF5" w:rsidRPr="003059E9" w:rsidRDefault="00840FF5" w:rsidP="00840FF5">
            <w:pPr>
              <w:pStyle w:val="PPVTableText"/>
            </w:pPr>
            <w:r w:rsidRPr="003059E9">
              <w:t>Ms Hodyl, Taskforce</w:t>
            </w:r>
          </w:p>
        </w:tc>
      </w:tr>
      <w:tr w:rsidR="00840FF5" w:rsidRPr="003059E9" w:rsidTr="00002386">
        <w:trPr>
          <w:cantSplit/>
        </w:trPr>
        <w:tc>
          <w:tcPr>
            <w:tcW w:w="720" w:type="dxa"/>
          </w:tcPr>
          <w:p w:rsidR="00840FF5" w:rsidRPr="003059E9" w:rsidRDefault="00840FF5" w:rsidP="00840FF5">
            <w:pPr>
              <w:pStyle w:val="PPVTableText"/>
            </w:pPr>
            <w:r w:rsidRPr="003059E9">
              <w:t>42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Draft Planning Controls</w:t>
            </w:r>
          </w:p>
        </w:tc>
        <w:tc>
          <w:tcPr>
            <w:tcW w:w="3067" w:type="dxa"/>
          </w:tcPr>
          <w:p w:rsidR="00840FF5" w:rsidRPr="003059E9" w:rsidRDefault="00840FF5" w:rsidP="00840FF5">
            <w:pPr>
              <w:pStyle w:val="PPVTableText"/>
            </w:pPr>
            <w:r w:rsidRPr="003059E9">
              <w:t>Mr Hensen, DELWP</w:t>
            </w:r>
          </w:p>
        </w:tc>
      </w:tr>
      <w:tr w:rsidR="00840FF5" w:rsidRPr="003059E9" w:rsidTr="00002386">
        <w:trPr>
          <w:cantSplit/>
        </w:trPr>
        <w:tc>
          <w:tcPr>
            <w:tcW w:w="720" w:type="dxa"/>
          </w:tcPr>
          <w:p w:rsidR="00840FF5" w:rsidRPr="003059E9" w:rsidRDefault="00840FF5" w:rsidP="00840FF5">
            <w:pPr>
              <w:pStyle w:val="PPVTableText"/>
            </w:pPr>
            <w:r w:rsidRPr="003059E9">
              <w:t>43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Integrated Transport Plan</w:t>
            </w:r>
          </w:p>
        </w:tc>
        <w:tc>
          <w:tcPr>
            <w:tcW w:w="3067" w:type="dxa"/>
          </w:tcPr>
          <w:p w:rsidR="00840FF5" w:rsidRPr="003059E9" w:rsidRDefault="00840FF5" w:rsidP="00840FF5">
            <w:pPr>
              <w:pStyle w:val="PPVTableText"/>
            </w:pPr>
            <w:r w:rsidRPr="003059E9">
              <w:t>Mr Lolas, DEDJTR</w:t>
            </w:r>
          </w:p>
        </w:tc>
      </w:tr>
      <w:tr w:rsidR="00840FF5" w:rsidRPr="003059E9" w:rsidTr="00002386">
        <w:trPr>
          <w:cantSplit/>
        </w:trPr>
        <w:tc>
          <w:tcPr>
            <w:tcW w:w="720" w:type="dxa"/>
          </w:tcPr>
          <w:p w:rsidR="00840FF5" w:rsidRPr="003059E9" w:rsidRDefault="00840FF5" w:rsidP="00840FF5">
            <w:pPr>
              <w:pStyle w:val="PPVTableText"/>
            </w:pPr>
            <w:r w:rsidRPr="003059E9">
              <w:t>44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Draft Community Infrastructure Plan</w:t>
            </w:r>
          </w:p>
        </w:tc>
        <w:tc>
          <w:tcPr>
            <w:tcW w:w="3067" w:type="dxa"/>
          </w:tcPr>
          <w:p w:rsidR="00840FF5" w:rsidRPr="003059E9" w:rsidRDefault="00840FF5" w:rsidP="00840FF5">
            <w:pPr>
              <w:pStyle w:val="PPVTableText"/>
            </w:pPr>
            <w:r w:rsidRPr="003059E9">
              <w:t>Ms Hajjari, Fishermans Bend Taskforce</w:t>
            </w:r>
          </w:p>
        </w:tc>
      </w:tr>
      <w:tr w:rsidR="00840FF5" w:rsidRPr="003059E9" w:rsidTr="00002386">
        <w:trPr>
          <w:cantSplit/>
        </w:trPr>
        <w:tc>
          <w:tcPr>
            <w:tcW w:w="720" w:type="dxa"/>
          </w:tcPr>
          <w:p w:rsidR="00840FF5" w:rsidRPr="003059E9" w:rsidRDefault="00840FF5" w:rsidP="00840FF5">
            <w:pPr>
              <w:pStyle w:val="PPVTableText"/>
            </w:pPr>
            <w:r w:rsidRPr="003059E9">
              <w:t>45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Presentation – Public Open Space Strategy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46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Agenda – Public Briefing</w:t>
            </w:r>
          </w:p>
        </w:tc>
        <w:tc>
          <w:tcPr>
            <w:tcW w:w="3067" w:type="dxa"/>
          </w:tcPr>
          <w:p w:rsidR="00840FF5" w:rsidRPr="003059E9" w:rsidRDefault="00840FF5" w:rsidP="00840FF5">
            <w:pPr>
              <w:pStyle w:val="PPVTableText"/>
            </w:pPr>
            <w:r w:rsidRPr="003059E9">
              <w:t xml:space="preserve">Ms Mitchell, Chair </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47</w:t>
            </w:r>
          </w:p>
        </w:tc>
        <w:tc>
          <w:tcPr>
            <w:tcW w:w="1231" w:type="dxa"/>
          </w:tcPr>
          <w:p w:rsidR="00840FF5" w:rsidRPr="003059E9" w:rsidRDefault="00840FF5" w:rsidP="00840FF5">
            <w:pPr>
              <w:pStyle w:val="PPVTableText"/>
            </w:pPr>
            <w:r w:rsidRPr="003059E9">
              <w:t>13/02/18</w:t>
            </w:r>
          </w:p>
        </w:tc>
        <w:tc>
          <w:tcPr>
            <w:tcW w:w="4253" w:type="dxa"/>
          </w:tcPr>
          <w:p w:rsidR="00840FF5" w:rsidRDefault="00840FF5" w:rsidP="00840FF5">
            <w:pPr>
              <w:pStyle w:val="PPVTableText"/>
            </w:pPr>
            <w:r w:rsidRPr="003059E9">
              <w:t xml:space="preserve">Correspondence </w:t>
            </w:r>
            <w:r w:rsidR="00492A43">
              <w:t>–</w:t>
            </w:r>
            <w:r w:rsidRPr="003059E9">
              <w:t xml:space="preserve"> Site Tour</w:t>
            </w:r>
          </w:p>
          <w:p w:rsidR="00840FF5" w:rsidRDefault="00840FF5" w:rsidP="00840FF5">
            <w:pPr>
              <w:pStyle w:val="PPVTableText"/>
            </w:pPr>
            <w:r w:rsidRPr="003059E9">
              <w:t>Site Tour cover letter</w:t>
            </w:r>
          </w:p>
          <w:p w:rsidR="00840FF5" w:rsidRDefault="00840FF5" w:rsidP="00840FF5">
            <w:pPr>
              <w:pStyle w:val="PPVTableText"/>
            </w:pPr>
            <w:r w:rsidRPr="003059E9">
              <w:t>Site Tour Agenda</w:t>
            </w:r>
          </w:p>
          <w:p w:rsidR="00840FF5" w:rsidRDefault="00840FF5" w:rsidP="00840FF5">
            <w:pPr>
              <w:pStyle w:val="PPVTableText"/>
            </w:pPr>
            <w:r w:rsidRPr="003059E9">
              <w:t>Site Tour pick up and drop off location map</w:t>
            </w:r>
          </w:p>
          <w:p w:rsidR="00840FF5" w:rsidRDefault="00840FF5" w:rsidP="00840FF5">
            <w:pPr>
              <w:pStyle w:val="PPVTableText"/>
            </w:pPr>
            <w:r w:rsidRPr="003059E9">
              <w:t>Site Tour route map: Part 1 and Part 2</w:t>
            </w:r>
          </w:p>
          <w:p w:rsidR="00840FF5" w:rsidRPr="003059E9" w:rsidRDefault="00840FF5" w:rsidP="00840FF5">
            <w:pPr>
              <w:pStyle w:val="PPVTableText"/>
            </w:pPr>
            <w:r w:rsidRPr="003059E9">
              <w:t>Site Tour list of sites nominated by submitters</w:t>
            </w:r>
          </w:p>
        </w:tc>
        <w:tc>
          <w:tcPr>
            <w:tcW w:w="3067" w:type="dxa"/>
          </w:tcPr>
          <w:p w:rsidR="00840FF5" w:rsidRPr="003059E9" w:rsidRDefault="00840FF5" w:rsidP="00840FF5">
            <w:pPr>
              <w:pStyle w:val="PPVTableText"/>
            </w:pPr>
            <w:r w:rsidRPr="003059E9">
              <w:t xml:space="preserve">Ms Morris, Harwood Andrews </w:t>
            </w:r>
          </w:p>
        </w:tc>
      </w:tr>
      <w:tr w:rsidR="00840FF5" w:rsidRPr="003059E9" w:rsidTr="00002386">
        <w:trPr>
          <w:cantSplit/>
        </w:trPr>
        <w:tc>
          <w:tcPr>
            <w:tcW w:w="720" w:type="dxa"/>
          </w:tcPr>
          <w:p w:rsidR="00840FF5" w:rsidRPr="003059E9" w:rsidRDefault="00840FF5" w:rsidP="00840FF5">
            <w:pPr>
              <w:pStyle w:val="PPVTableText"/>
            </w:pPr>
            <w:r w:rsidRPr="003059E9">
              <w:t>48</w:t>
            </w:r>
          </w:p>
        </w:tc>
        <w:tc>
          <w:tcPr>
            <w:tcW w:w="1231" w:type="dxa"/>
          </w:tcPr>
          <w:p w:rsidR="00840FF5" w:rsidRPr="003059E9" w:rsidRDefault="00840FF5" w:rsidP="00840FF5">
            <w:pPr>
              <w:pStyle w:val="PPVTableText"/>
            </w:pPr>
            <w:r w:rsidRPr="003059E9">
              <w:t>14/02/18</w:t>
            </w:r>
          </w:p>
        </w:tc>
        <w:tc>
          <w:tcPr>
            <w:tcW w:w="4253" w:type="dxa"/>
          </w:tcPr>
          <w:p w:rsidR="00840FF5" w:rsidRPr="003059E9" w:rsidRDefault="00840FF5" w:rsidP="00840FF5">
            <w:pPr>
              <w:pStyle w:val="PPVTableText"/>
            </w:pPr>
            <w:r w:rsidRPr="003059E9">
              <w:t xml:space="preserve">Planning and Property Partners </w:t>
            </w:r>
            <w:r w:rsidR="00492A43">
              <w:t>–</w:t>
            </w:r>
            <w:r w:rsidRPr="003059E9">
              <w:t xml:space="preserve"> Site visit booklet</w:t>
            </w:r>
          </w:p>
        </w:tc>
        <w:tc>
          <w:tcPr>
            <w:tcW w:w="3067" w:type="dxa"/>
          </w:tcPr>
          <w:p w:rsidR="00840FF5" w:rsidRPr="003059E9" w:rsidRDefault="00B1080D" w:rsidP="00840FF5">
            <w:pPr>
              <w:pStyle w:val="PPVTableText"/>
            </w:pPr>
            <w:r>
              <w:t>Mr Wren</w:t>
            </w:r>
            <w:r w:rsidR="00840FF5" w:rsidRPr="003059E9">
              <w:t xml:space="preserve"> of Counsel </w:t>
            </w:r>
          </w:p>
        </w:tc>
      </w:tr>
      <w:tr w:rsidR="00840FF5" w:rsidRPr="003059E9" w:rsidTr="00002386">
        <w:trPr>
          <w:cantSplit/>
        </w:trPr>
        <w:tc>
          <w:tcPr>
            <w:tcW w:w="720" w:type="dxa"/>
          </w:tcPr>
          <w:p w:rsidR="00840FF5" w:rsidRPr="003059E9" w:rsidRDefault="00840FF5" w:rsidP="00840FF5">
            <w:pPr>
              <w:pStyle w:val="PPVTableText"/>
            </w:pPr>
            <w:r w:rsidRPr="003059E9">
              <w:t>49</w:t>
            </w:r>
          </w:p>
        </w:tc>
        <w:tc>
          <w:tcPr>
            <w:tcW w:w="1231" w:type="dxa"/>
          </w:tcPr>
          <w:p w:rsidR="00840FF5" w:rsidRPr="003059E9" w:rsidRDefault="00840FF5" w:rsidP="00840FF5">
            <w:pPr>
              <w:pStyle w:val="PPVTableText"/>
            </w:pPr>
            <w:r w:rsidRPr="003059E9">
              <w:t>19/02/18</w:t>
            </w:r>
          </w:p>
        </w:tc>
        <w:tc>
          <w:tcPr>
            <w:tcW w:w="4253" w:type="dxa"/>
          </w:tcPr>
          <w:p w:rsidR="00840FF5" w:rsidRDefault="00840FF5" w:rsidP="00840FF5">
            <w:pPr>
              <w:pStyle w:val="PPVTableText"/>
            </w:pPr>
            <w:r w:rsidRPr="003059E9">
              <w:t>Submission – Part A</w:t>
            </w:r>
          </w:p>
          <w:p w:rsidR="00840FF5" w:rsidRDefault="00840FF5" w:rsidP="00840FF5">
            <w:pPr>
              <w:pStyle w:val="PPVTableText"/>
            </w:pPr>
            <w:r w:rsidRPr="003059E9">
              <w:t>Harwood Andrews cover letter</w:t>
            </w:r>
          </w:p>
          <w:p w:rsidR="00840FF5" w:rsidRDefault="00840FF5" w:rsidP="00840FF5">
            <w:pPr>
              <w:pStyle w:val="PPVTableText"/>
            </w:pPr>
            <w:r w:rsidRPr="003059E9">
              <w:t>Part A response</w:t>
            </w:r>
          </w:p>
          <w:p w:rsidR="00840FF5" w:rsidRDefault="00840FF5" w:rsidP="00840FF5">
            <w:pPr>
              <w:pStyle w:val="PPVTableText"/>
            </w:pPr>
            <w:r w:rsidRPr="003059E9">
              <w:t>Permit activity map (Appendix E to submission)</w:t>
            </w:r>
          </w:p>
          <w:p w:rsidR="00840FF5" w:rsidRDefault="00840FF5" w:rsidP="00840FF5">
            <w:pPr>
              <w:pStyle w:val="PPVTableText"/>
            </w:pPr>
            <w:r w:rsidRPr="003059E9">
              <w:t>Submission spreadsheet (Appendix F to submission)</w:t>
            </w:r>
          </w:p>
          <w:p w:rsidR="00840FF5" w:rsidRPr="003059E9" w:rsidRDefault="00840FF5" w:rsidP="00840FF5">
            <w:pPr>
              <w:pStyle w:val="PPVTableText"/>
            </w:pPr>
            <w:r w:rsidRPr="003059E9">
              <w:t xml:space="preserve">Amended documentation (Appendix G to submission, </w:t>
            </w:r>
            <w:r w:rsidR="00492A43">
              <w:t>ten</w:t>
            </w:r>
            <w:r w:rsidRPr="003059E9">
              <w:t xml:space="preserve"> files)</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50</w:t>
            </w:r>
          </w:p>
        </w:tc>
        <w:tc>
          <w:tcPr>
            <w:tcW w:w="1231" w:type="dxa"/>
          </w:tcPr>
          <w:p w:rsidR="00840FF5" w:rsidRPr="003059E9" w:rsidRDefault="00840FF5" w:rsidP="00840FF5">
            <w:pPr>
              <w:pStyle w:val="PPVTableText"/>
            </w:pPr>
            <w:r w:rsidRPr="003059E9">
              <w:t>19/02/18</w:t>
            </w:r>
          </w:p>
        </w:tc>
        <w:tc>
          <w:tcPr>
            <w:tcW w:w="4253" w:type="dxa"/>
          </w:tcPr>
          <w:p w:rsidR="00840FF5" w:rsidRDefault="00840FF5" w:rsidP="00840FF5">
            <w:pPr>
              <w:pStyle w:val="PPVTableText"/>
            </w:pPr>
            <w:r w:rsidRPr="003059E9">
              <w:t>3D Modelling Conclave Statement</w:t>
            </w:r>
          </w:p>
          <w:p w:rsidR="00840FF5" w:rsidRDefault="00840FF5" w:rsidP="00840FF5">
            <w:pPr>
              <w:pStyle w:val="PPVTableText"/>
            </w:pPr>
            <w:r w:rsidRPr="003059E9">
              <w:t>Letter to Panel and parties</w:t>
            </w:r>
          </w:p>
          <w:p w:rsidR="00840FF5" w:rsidRPr="003059E9" w:rsidRDefault="00840FF5" w:rsidP="00840FF5">
            <w:pPr>
              <w:pStyle w:val="PPVTableText"/>
            </w:pPr>
            <w:r w:rsidRPr="003059E9">
              <w:t>Joint Conclave Statement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51</w:t>
            </w:r>
          </w:p>
        </w:tc>
        <w:tc>
          <w:tcPr>
            <w:tcW w:w="1231" w:type="dxa"/>
          </w:tcPr>
          <w:p w:rsidR="00840FF5" w:rsidRPr="003059E9" w:rsidRDefault="00840FF5" w:rsidP="00840FF5">
            <w:pPr>
              <w:pStyle w:val="PPVTableText"/>
            </w:pPr>
            <w:r w:rsidRPr="003059E9">
              <w:t>26/2/18</w:t>
            </w:r>
          </w:p>
        </w:tc>
        <w:tc>
          <w:tcPr>
            <w:tcW w:w="4253" w:type="dxa"/>
          </w:tcPr>
          <w:p w:rsidR="00840FF5" w:rsidRPr="003059E9" w:rsidRDefault="00840FF5" w:rsidP="00840FF5">
            <w:pPr>
              <w:pStyle w:val="PPVTableText"/>
            </w:pPr>
            <w:r w:rsidRPr="003059E9">
              <w:t>Economics evidence – Mr Szafraniec</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52</w:t>
            </w:r>
          </w:p>
        </w:tc>
        <w:tc>
          <w:tcPr>
            <w:tcW w:w="1231" w:type="dxa"/>
          </w:tcPr>
          <w:p w:rsidR="00840FF5" w:rsidRPr="003059E9" w:rsidRDefault="00840FF5" w:rsidP="00840FF5">
            <w:pPr>
              <w:pStyle w:val="PPVTableText"/>
            </w:pPr>
            <w:r w:rsidRPr="003059E9">
              <w:t>26/2/18</w:t>
            </w:r>
          </w:p>
        </w:tc>
        <w:tc>
          <w:tcPr>
            <w:tcW w:w="4253" w:type="dxa"/>
          </w:tcPr>
          <w:p w:rsidR="00840FF5" w:rsidRPr="003059E9" w:rsidRDefault="00840FF5" w:rsidP="00840FF5">
            <w:pPr>
              <w:pStyle w:val="PPVTableText"/>
            </w:pPr>
            <w:r w:rsidRPr="003059E9">
              <w:t>Planning evidence – Mr Glossop</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53</w:t>
            </w:r>
          </w:p>
        </w:tc>
        <w:tc>
          <w:tcPr>
            <w:tcW w:w="1231" w:type="dxa"/>
          </w:tcPr>
          <w:p w:rsidR="00840FF5" w:rsidRPr="003059E9" w:rsidRDefault="00840FF5" w:rsidP="00840FF5">
            <w:pPr>
              <w:pStyle w:val="PPVTableText"/>
            </w:pPr>
            <w:r w:rsidRPr="003059E9">
              <w:t>26/2/18</w:t>
            </w:r>
          </w:p>
        </w:tc>
        <w:tc>
          <w:tcPr>
            <w:tcW w:w="4253" w:type="dxa"/>
          </w:tcPr>
          <w:p w:rsidR="00840FF5" w:rsidRPr="003059E9" w:rsidRDefault="00840FF5" w:rsidP="00840FF5">
            <w:pPr>
              <w:pStyle w:val="PPVTableText"/>
            </w:pPr>
            <w:r w:rsidRPr="003059E9">
              <w:t>Urban design evidence – Mr Hodyl</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54</w:t>
            </w:r>
          </w:p>
        </w:tc>
        <w:tc>
          <w:tcPr>
            <w:tcW w:w="1231" w:type="dxa"/>
          </w:tcPr>
          <w:p w:rsidR="00840FF5" w:rsidRPr="003059E9" w:rsidRDefault="00840FF5" w:rsidP="00840FF5">
            <w:pPr>
              <w:pStyle w:val="PPVTableText"/>
            </w:pPr>
            <w:r w:rsidRPr="003059E9">
              <w:t>27/02/18</w:t>
            </w:r>
          </w:p>
        </w:tc>
        <w:tc>
          <w:tcPr>
            <w:tcW w:w="4253" w:type="dxa"/>
          </w:tcPr>
          <w:p w:rsidR="00840FF5" w:rsidRPr="003059E9" w:rsidRDefault="00840FF5" w:rsidP="00840FF5">
            <w:pPr>
              <w:pStyle w:val="PPVTableText"/>
            </w:pPr>
            <w:r w:rsidRPr="003059E9">
              <w:t>Correspondence – Permit call-ins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55</w:t>
            </w:r>
          </w:p>
        </w:tc>
        <w:tc>
          <w:tcPr>
            <w:tcW w:w="1231" w:type="dxa"/>
          </w:tcPr>
          <w:p w:rsidR="00840FF5" w:rsidRPr="003059E9" w:rsidRDefault="00840FF5" w:rsidP="00840FF5">
            <w:pPr>
              <w:pStyle w:val="PPVTableText"/>
            </w:pPr>
            <w:r w:rsidRPr="003059E9">
              <w:t>28/02/18</w:t>
            </w:r>
          </w:p>
        </w:tc>
        <w:tc>
          <w:tcPr>
            <w:tcW w:w="4253" w:type="dxa"/>
          </w:tcPr>
          <w:p w:rsidR="00840FF5" w:rsidRPr="003059E9" w:rsidRDefault="00840FF5" w:rsidP="00840FF5">
            <w:pPr>
              <w:pStyle w:val="PPVTableText"/>
            </w:pPr>
            <w:r w:rsidRPr="003059E9">
              <w:t>Urban design evidence – Professor Bates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56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Revised Directions and Distribution List</w:t>
            </w:r>
          </w:p>
        </w:tc>
        <w:tc>
          <w:tcPr>
            <w:tcW w:w="3067" w:type="dxa"/>
          </w:tcPr>
          <w:p w:rsidR="00840FF5" w:rsidRPr="003059E9" w:rsidRDefault="00840FF5" w:rsidP="00840FF5">
            <w:pPr>
              <w:pStyle w:val="PPVTableText"/>
            </w:pPr>
            <w:r w:rsidRPr="003059E9">
              <w:t xml:space="preserve">Ms Mitchell, Chair </w:t>
            </w:r>
          </w:p>
        </w:tc>
      </w:tr>
      <w:tr w:rsidR="00840FF5" w:rsidRPr="003059E9" w:rsidTr="00002386">
        <w:trPr>
          <w:cantSplit/>
        </w:trPr>
        <w:tc>
          <w:tcPr>
            <w:tcW w:w="720" w:type="dxa"/>
          </w:tcPr>
          <w:p w:rsidR="00840FF5" w:rsidRPr="003059E9" w:rsidRDefault="00840FF5" w:rsidP="00840FF5">
            <w:pPr>
              <w:pStyle w:val="PPVTableText"/>
            </w:pPr>
            <w:r w:rsidRPr="003059E9">
              <w:t>57</w:t>
            </w:r>
          </w:p>
        </w:tc>
        <w:tc>
          <w:tcPr>
            <w:tcW w:w="1231" w:type="dxa"/>
          </w:tcPr>
          <w:p w:rsidR="00840FF5" w:rsidRPr="003059E9" w:rsidRDefault="00840FF5" w:rsidP="00840FF5">
            <w:pPr>
              <w:pStyle w:val="PPVTableText"/>
            </w:pPr>
            <w:r w:rsidRPr="003059E9">
              <w:t>01/03/18</w:t>
            </w:r>
          </w:p>
        </w:tc>
        <w:tc>
          <w:tcPr>
            <w:tcW w:w="4253" w:type="dxa"/>
          </w:tcPr>
          <w:p w:rsidR="00840FF5" w:rsidRPr="003059E9" w:rsidRDefault="00840FF5" w:rsidP="00840FF5">
            <w:pPr>
              <w:pStyle w:val="PPVTableText"/>
            </w:pPr>
            <w:r w:rsidRPr="003059E9">
              <w:t xml:space="preserve">Presentation </w:t>
            </w:r>
            <w:r w:rsidR="00492A43">
              <w:t>–</w:t>
            </w:r>
            <w:r w:rsidRPr="003059E9">
              <w:t xml:space="preserve"> MAC </w:t>
            </w:r>
          </w:p>
        </w:tc>
        <w:tc>
          <w:tcPr>
            <w:tcW w:w="3067" w:type="dxa"/>
          </w:tcPr>
          <w:p w:rsidR="00840FF5" w:rsidRPr="003059E9" w:rsidRDefault="00840FF5" w:rsidP="00840FF5">
            <w:pPr>
              <w:pStyle w:val="PPVTableText"/>
            </w:pPr>
            <w:r w:rsidRPr="003059E9">
              <w:t xml:space="preserve">Ms Sussex AM, Fishermans Bend Ministerial Advisory Committee </w:t>
            </w:r>
          </w:p>
        </w:tc>
      </w:tr>
      <w:tr w:rsidR="00840FF5" w:rsidRPr="003059E9" w:rsidTr="00002386">
        <w:trPr>
          <w:cantSplit/>
        </w:trPr>
        <w:tc>
          <w:tcPr>
            <w:tcW w:w="720" w:type="dxa"/>
          </w:tcPr>
          <w:p w:rsidR="00840FF5" w:rsidRPr="003059E9" w:rsidRDefault="00840FF5" w:rsidP="00840FF5">
            <w:pPr>
              <w:pStyle w:val="PPVTableText"/>
            </w:pPr>
            <w:r w:rsidRPr="003059E9">
              <w:t>58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 Ms Halliday</w:t>
            </w:r>
          </w:p>
        </w:tc>
        <w:tc>
          <w:tcPr>
            <w:tcW w:w="3067" w:type="dxa"/>
          </w:tcPr>
          <w:p w:rsidR="00840FF5" w:rsidRPr="003059E9" w:rsidRDefault="00840FF5" w:rsidP="00840FF5">
            <w:pPr>
              <w:pStyle w:val="PPVTableText"/>
            </w:pPr>
            <w:r w:rsidRPr="003059E9">
              <w:t>Ms Halliday, Fishermans Bend MAC</w:t>
            </w:r>
          </w:p>
        </w:tc>
      </w:tr>
      <w:tr w:rsidR="00840FF5" w:rsidRPr="003059E9" w:rsidTr="00002386">
        <w:trPr>
          <w:cantSplit/>
        </w:trPr>
        <w:tc>
          <w:tcPr>
            <w:tcW w:w="720" w:type="dxa"/>
          </w:tcPr>
          <w:p w:rsidR="00840FF5" w:rsidRPr="003059E9" w:rsidRDefault="00840FF5" w:rsidP="00840FF5">
            <w:pPr>
              <w:pStyle w:val="PPVTableText"/>
            </w:pPr>
            <w:r w:rsidRPr="003059E9">
              <w:t>59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w:t>
            </w:r>
            <w:r w:rsidR="00A20986">
              <w:t>P</w:t>
            </w:r>
            <w:r w:rsidRPr="003059E9">
              <w:t>oint – St Kilda Cycling Club</w:t>
            </w:r>
          </w:p>
        </w:tc>
        <w:tc>
          <w:tcPr>
            <w:tcW w:w="3067" w:type="dxa"/>
          </w:tcPr>
          <w:p w:rsidR="00840FF5" w:rsidRPr="003059E9" w:rsidRDefault="00840FF5" w:rsidP="00840FF5">
            <w:pPr>
              <w:pStyle w:val="PPVTableText"/>
            </w:pPr>
            <w:r w:rsidRPr="003059E9">
              <w:t>Ms Jackson, St Kilda Cycling Club</w:t>
            </w:r>
          </w:p>
        </w:tc>
      </w:tr>
      <w:tr w:rsidR="00840FF5" w:rsidRPr="003059E9" w:rsidTr="00002386">
        <w:trPr>
          <w:cantSplit/>
        </w:trPr>
        <w:tc>
          <w:tcPr>
            <w:tcW w:w="720" w:type="dxa"/>
          </w:tcPr>
          <w:p w:rsidR="00840FF5" w:rsidRPr="003059E9" w:rsidRDefault="00840FF5" w:rsidP="00840FF5">
            <w:pPr>
              <w:pStyle w:val="PPVTableText"/>
            </w:pPr>
            <w:r w:rsidRPr="003059E9">
              <w:t>60</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Submission – MWRRG</w:t>
            </w:r>
          </w:p>
          <w:p w:rsidR="00840FF5" w:rsidRDefault="00840FF5" w:rsidP="00840FF5">
            <w:pPr>
              <w:pStyle w:val="PPVTableText"/>
            </w:pPr>
            <w:r w:rsidRPr="003059E9">
              <w:t>Submission</w:t>
            </w:r>
          </w:p>
          <w:p w:rsidR="00840FF5" w:rsidRDefault="00840FF5" w:rsidP="00840FF5">
            <w:pPr>
              <w:pStyle w:val="PPVTableText"/>
            </w:pPr>
            <w:r w:rsidRPr="003059E9">
              <w:t>Metro Plan extract</w:t>
            </w:r>
          </w:p>
          <w:p w:rsidR="00840FF5" w:rsidRPr="003059E9" w:rsidRDefault="00840FF5" w:rsidP="00840FF5">
            <w:pPr>
              <w:pStyle w:val="PPVTableText"/>
            </w:pPr>
            <w:r w:rsidRPr="003059E9">
              <w:t>Planning Scheme reference</w:t>
            </w:r>
          </w:p>
        </w:tc>
        <w:tc>
          <w:tcPr>
            <w:tcW w:w="3067" w:type="dxa"/>
          </w:tcPr>
          <w:p w:rsidR="00840FF5" w:rsidRPr="003059E9" w:rsidRDefault="00840FF5" w:rsidP="00840FF5">
            <w:pPr>
              <w:pStyle w:val="PPVTableText"/>
            </w:pPr>
            <w:r w:rsidRPr="003059E9">
              <w:t>Ms Lee, MWRRG</w:t>
            </w:r>
          </w:p>
        </w:tc>
      </w:tr>
      <w:tr w:rsidR="00840FF5" w:rsidRPr="003059E9" w:rsidTr="00002386">
        <w:trPr>
          <w:cantSplit/>
        </w:trPr>
        <w:tc>
          <w:tcPr>
            <w:tcW w:w="720" w:type="dxa"/>
          </w:tcPr>
          <w:p w:rsidR="00840FF5" w:rsidRPr="003059E9" w:rsidRDefault="00840FF5" w:rsidP="00840FF5">
            <w:pPr>
              <w:pStyle w:val="PPVTableText"/>
            </w:pPr>
            <w:r w:rsidRPr="003059E9">
              <w:t>61</w:t>
            </w:r>
          </w:p>
        </w:tc>
        <w:tc>
          <w:tcPr>
            <w:tcW w:w="1231" w:type="dxa"/>
          </w:tcPr>
          <w:p w:rsidR="00840FF5" w:rsidRPr="003059E9" w:rsidRDefault="00840FF5" w:rsidP="00840FF5">
            <w:pPr>
              <w:pStyle w:val="PPVTableText"/>
            </w:pPr>
            <w:r w:rsidRPr="003059E9">
              <w:t>02/03/18</w:t>
            </w:r>
          </w:p>
        </w:tc>
        <w:tc>
          <w:tcPr>
            <w:tcW w:w="4253" w:type="dxa"/>
          </w:tcPr>
          <w:p w:rsidR="00840FF5" w:rsidRPr="003059E9" w:rsidRDefault="00840FF5" w:rsidP="00840FF5">
            <w:pPr>
              <w:pStyle w:val="PPVTableText"/>
            </w:pPr>
            <w:r w:rsidRPr="003059E9">
              <w:t>Presentation – Architects Institute of Australia</w:t>
            </w:r>
          </w:p>
        </w:tc>
        <w:tc>
          <w:tcPr>
            <w:tcW w:w="3067" w:type="dxa"/>
          </w:tcPr>
          <w:p w:rsidR="00840FF5" w:rsidRPr="003059E9" w:rsidRDefault="00840FF5" w:rsidP="00840FF5">
            <w:pPr>
              <w:pStyle w:val="PPVTableText"/>
            </w:pPr>
            <w:r w:rsidRPr="003059E9">
              <w:t>Ms White, Architects Institute of Australia</w:t>
            </w:r>
          </w:p>
        </w:tc>
      </w:tr>
      <w:tr w:rsidR="00840FF5" w:rsidRPr="003059E9" w:rsidTr="00002386">
        <w:trPr>
          <w:cantSplit/>
        </w:trPr>
        <w:tc>
          <w:tcPr>
            <w:tcW w:w="720" w:type="dxa"/>
          </w:tcPr>
          <w:p w:rsidR="00840FF5" w:rsidRPr="003059E9" w:rsidRDefault="00840FF5" w:rsidP="00840FF5">
            <w:pPr>
              <w:pStyle w:val="PPVTableText"/>
            </w:pPr>
            <w:r w:rsidRPr="003059E9">
              <w:t>62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 Oral presentation and summary report</w:t>
            </w:r>
          </w:p>
        </w:tc>
        <w:tc>
          <w:tcPr>
            <w:tcW w:w="3067" w:type="dxa"/>
          </w:tcPr>
          <w:p w:rsidR="00840FF5" w:rsidRPr="003059E9" w:rsidRDefault="00840FF5" w:rsidP="00840FF5">
            <w:pPr>
              <w:pStyle w:val="PPVTableText"/>
            </w:pPr>
            <w:r w:rsidRPr="003059E9">
              <w:t>Ms Foxworthy, Affordable Housing Industry Group</w:t>
            </w:r>
          </w:p>
        </w:tc>
      </w:tr>
      <w:tr w:rsidR="00840FF5" w:rsidRPr="003059E9" w:rsidTr="00002386">
        <w:trPr>
          <w:cantSplit/>
        </w:trPr>
        <w:tc>
          <w:tcPr>
            <w:tcW w:w="720" w:type="dxa"/>
          </w:tcPr>
          <w:p w:rsidR="00840FF5" w:rsidRPr="003059E9" w:rsidRDefault="00840FF5" w:rsidP="00840FF5">
            <w:pPr>
              <w:pStyle w:val="PPVTableText"/>
            </w:pPr>
            <w:r w:rsidRPr="003059E9">
              <w:t>63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w:t>
            </w:r>
          </w:p>
        </w:tc>
        <w:tc>
          <w:tcPr>
            <w:tcW w:w="3067" w:type="dxa"/>
          </w:tcPr>
          <w:p w:rsidR="00840FF5" w:rsidRPr="003059E9" w:rsidRDefault="00840FF5" w:rsidP="00840FF5">
            <w:pPr>
              <w:pStyle w:val="PPVTableText"/>
            </w:pPr>
            <w:r w:rsidRPr="003059E9">
              <w:t>Mr and Ms Sutherland, YCAC</w:t>
            </w:r>
          </w:p>
        </w:tc>
      </w:tr>
      <w:tr w:rsidR="00840FF5" w:rsidRPr="003059E9" w:rsidTr="00002386">
        <w:trPr>
          <w:cantSplit/>
        </w:trPr>
        <w:tc>
          <w:tcPr>
            <w:tcW w:w="720" w:type="dxa"/>
          </w:tcPr>
          <w:p w:rsidR="00840FF5" w:rsidRPr="003059E9" w:rsidRDefault="00840FF5" w:rsidP="00840FF5">
            <w:pPr>
              <w:pStyle w:val="PPVTableText"/>
            </w:pPr>
            <w:r w:rsidRPr="003059E9">
              <w:t>64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Submission </w:t>
            </w:r>
          </w:p>
        </w:tc>
        <w:tc>
          <w:tcPr>
            <w:tcW w:w="3067" w:type="dxa"/>
          </w:tcPr>
          <w:p w:rsidR="00840FF5" w:rsidRPr="003059E9" w:rsidRDefault="00840FF5" w:rsidP="00840FF5">
            <w:pPr>
              <w:pStyle w:val="PPVTableText"/>
            </w:pPr>
            <w:r w:rsidRPr="003059E9">
              <w:t>Mr Riordan, Tract Consultants</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65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 regarding population estimates</w:t>
            </w:r>
          </w:p>
        </w:tc>
        <w:tc>
          <w:tcPr>
            <w:tcW w:w="3067" w:type="dxa"/>
          </w:tcPr>
          <w:p w:rsidR="00840FF5" w:rsidRPr="003059E9" w:rsidRDefault="00840FF5" w:rsidP="00840FF5">
            <w:pPr>
              <w:pStyle w:val="PPVTableText"/>
            </w:pPr>
            <w:r w:rsidRPr="003059E9">
              <w:t>Mr Naughton, Planning and Property Partners</w:t>
            </w:r>
          </w:p>
        </w:tc>
      </w:tr>
      <w:tr w:rsidR="00840FF5" w:rsidRPr="003059E9" w:rsidTr="00002386">
        <w:trPr>
          <w:cantSplit/>
        </w:trPr>
        <w:tc>
          <w:tcPr>
            <w:tcW w:w="720" w:type="dxa"/>
          </w:tcPr>
          <w:p w:rsidR="00840FF5" w:rsidRPr="003059E9" w:rsidRDefault="00840FF5" w:rsidP="00840FF5">
            <w:pPr>
              <w:pStyle w:val="PPVTableText"/>
            </w:pPr>
            <w:r w:rsidRPr="003059E9">
              <w:t>66</w:t>
            </w:r>
          </w:p>
        </w:tc>
        <w:tc>
          <w:tcPr>
            <w:tcW w:w="1231" w:type="dxa"/>
          </w:tcPr>
          <w:p w:rsidR="00840FF5" w:rsidRPr="003059E9" w:rsidRDefault="00840FF5" w:rsidP="00840FF5">
            <w:pPr>
              <w:pStyle w:val="PPVTableText"/>
            </w:pPr>
            <w:r w:rsidRPr="003059E9">
              <w:t>06/03/18</w:t>
            </w:r>
          </w:p>
        </w:tc>
        <w:tc>
          <w:tcPr>
            <w:tcW w:w="4253" w:type="dxa"/>
          </w:tcPr>
          <w:p w:rsidR="00840FF5" w:rsidRDefault="00840FF5" w:rsidP="00840FF5">
            <w:pPr>
              <w:pStyle w:val="PPVTableText"/>
            </w:pPr>
            <w:r w:rsidRPr="003059E9">
              <w:t>Review Panel Day 1 provisions cover letter and contents</w:t>
            </w:r>
          </w:p>
          <w:p w:rsidR="00840FF5" w:rsidRDefault="00840FF5" w:rsidP="00840FF5">
            <w:pPr>
              <w:pStyle w:val="PPVTableText"/>
            </w:pPr>
            <w:r w:rsidRPr="003059E9">
              <w:t>Melbourne MSS – Day 1 version</w:t>
            </w:r>
          </w:p>
          <w:p w:rsidR="00840FF5" w:rsidRDefault="00840FF5" w:rsidP="00840FF5">
            <w:pPr>
              <w:pStyle w:val="PPVTableText"/>
            </w:pPr>
            <w:r w:rsidRPr="003059E9">
              <w:t>Port Phillip MSS – Day 1 version</w:t>
            </w:r>
          </w:p>
          <w:p w:rsidR="00840FF5" w:rsidRDefault="00840FF5" w:rsidP="00840FF5">
            <w:pPr>
              <w:pStyle w:val="PPVTableText"/>
            </w:pPr>
            <w:r w:rsidRPr="003059E9">
              <w:t>Combined LPP – Day 1 version</w:t>
            </w:r>
          </w:p>
          <w:p w:rsidR="00840FF5" w:rsidRDefault="00840FF5" w:rsidP="00840FF5">
            <w:pPr>
              <w:pStyle w:val="PPVTableText"/>
            </w:pPr>
            <w:r w:rsidRPr="003059E9">
              <w:t>Combined CCZ – Day 1 version</w:t>
            </w:r>
          </w:p>
          <w:p w:rsidR="00840FF5" w:rsidRDefault="00840FF5" w:rsidP="00840FF5">
            <w:pPr>
              <w:pStyle w:val="PPVTableText"/>
            </w:pPr>
            <w:r w:rsidRPr="003059E9">
              <w:t>Combined DDO – Day 1 version</w:t>
            </w:r>
          </w:p>
          <w:p w:rsidR="00840FF5" w:rsidRDefault="00840FF5" w:rsidP="00840FF5">
            <w:pPr>
              <w:pStyle w:val="PPVTableText"/>
            </w:pPr>
            <w:r w:rsidRPr="003059E9">
              <w:t>Port Phillip DPO – Day 1 version</w:t>
            </w:r>
          </w:p>
          <w:p w:rsidR="00840FF5" w:rsidRDefault="00840FF5" w:rsidP="00840FF5">
            <w:pPr>
              <w:pStyle w:val="PPVTableText"/>
            </w:pPr>
            <w:r w:rsidRPr="003059E9">
              <w:t>Combined PO – Day 1 version</w:t>
            </w:r>
          </w:p>
          <w:p w:rsidR="00840FF5" w:rsidRPr="003059E9" w:rsidRDefault="00840FF5" w:rsidP="00840FF5">
            <w:pPr>
              <w:pStyle w:val="PPVTableText"/>
            </w:pPr>
            <w:r w:rsidRPr="003059E9">
              <w:t>How to calculate FAU – Day 1 version</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67</w:t>
            </w:r>
          </w:p>
        </w:tc>
        <w:tc>
          <w:tcPr>
            <w:tcW w:w="1231" w:type="dxa"/>
          </w:tcPr>
          <w:p w:rsidR="00840FF5" w:rsidRPr="003059E9" w:rsidRDefault="00840FF5" w:rsidP="00840FF5">
            <w:pPr>
              <w:pStyle w:val="PPVTableText"/>
            </w:pPr>
            <w:r w:rsidRPr="003059E9">
              <w:t>05/03/18</w:t>
            </w:r>
          </w:p>
        </w:tc>
        <w:tc>
          <w:tcPr>
            <w:tcW w:w="4253" w:type="dxa"/>
          </w:tcPr>
          <w:p w:rsidR="00840FF5" w:rsidRPr="003059E9" w:rsidRDefault="00840FF5" w:rsidP="00840FF5">
            <w:pPr>
              <w:pStyle w:val="PPVTableText"/>
            </w:pPr>
            <w:r w:rsidRPr="003059E9">
              <w:t>Correspondence – regarding late circulation of EWS</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68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Development viability evidence – Mr Macintosh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69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Strategic transport, framework peer review evidence – Mr Fooks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70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Strategic Transport – Integrated Transport Plan review evidence – Mr Kiriakidis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71</w:t>
            </w:r>
          </w:p>
        </w:tc>
        <w:tc>
          <w:tcPr>
            <w:tcW w:w="1231" w:type="dxa"/>
          </w:tcPr>
          <w:p w:rsidR="00840FF5" w:rsidRPr="003059E9" w:rsidRDefault="00840FF5" w:rsidP="00840FF5">
            <w:pPr>
              <w:pStyle w:val="PPVTableText"/>
            </w:pPr>
            <w:r w:rsidRPr="003059E9">
              <w:t>06/03/18</w:t>
            </w:r>
          </w:p>
        </w:tc>
        <w:tc>
          <w:tcPr>
            <w:tcW w:w="4253" w:type="dxa"/>
          </w:tcPr>
          <w:p w:rsidR="00840FF5" w:rsidRPr="003059E9" w:rsidRDefault="00840FF5" w:rsidP="00840FF5">
            <w:pPr>
              <w:pStyle w:val="PPVTableText"/>
            </w:pPr>
            <w:r w:rsidRPr="003059E9">
              <w:t>Addenda 1 to urban design evidence of Ms Hodyl</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72</w:t>
            </w:r>
          </w:p>
        </w:tc>
        <w:tc>
          <w:tcPr>
            <w:tcW w:w="1231" w:type="dxa"/>
          </w:tcPr>
          <w:p w:rsidR="00840FF5" w:rsidRPr="003059E9" w:rsidRDefault="00840FF5" w:rsidP="00840FF5">
            <w:pPr>
              <w:pStyle w:val="PPVTableText"/>
            </w:pPr>
            <w:r w:rsidRPr="003059E9">
              <w:t>07/03/18</w:t>
            </w:r>
          </w:p>
        </w:tc>
        <w:tc>
          <w:tcPr>
            <w:tcW w:w="4253" w:type="dxa"/>
          </w:tcPr>
          <w:p w:rsidR="00840FF5" w:rsidRPr="003059E9" w:rsidRDefault="00840FF5" w:rsidP="00840FF5">
            <w:pPr>
              <w:pStyle w:val="PPVTableText"/>
            </w:pPr>
            <w:r w:rsidRPr="003059E9">
              <w:t xml:space="preserve">Public Infrastructure evidence – Mr Shipp </w:t>
            </w:r>
          </w:p>
        </w:tc>
        <w:tc>
          <w:tcPr>
            <w:tcW w:w="3067" w:type="dxa"/>
          </w:tcPr>
          <w:p w:rsidR="00840FF5" w:rsidRPr="003059E9" w:rsidRDefault="00840FF5" w:rsidP="00840FF5">
            <w:pPr>
              <w:pStyle w:val="PPVTableText"/>
            </w:pPr>
            <w:r w:rsidRPr="003059E9">
              <w:t>Ms Ryan, City of Melbourne</w:t>
            </w:r>
          </w:p>
        </w:tc>
      </w:tr>
      <w:tr w:rsidR="00840FF5" w:rsidRPr="003059E9" w:rsidTr="00002386">
        <w:trPr>
          <w:cantSplit/>
        </w:trPr>
        <w:tc>
          <w:tcPr>
            <w:tcW w:w="720" w:type="dxa"/>
          </w:tcPr>
          <w:p w:rsidR="00840FF5" w:rsidRPr="003059E9" w:rsidRDefault="00840FF5" w:rsidP="00840FF5">
            <w:pPr>
              <w:pStyle w:val="PPVTableText"/>
            </w:pPr>
            <w:r w:rsidRPr="003059E9">
              <w:t>73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Planning evidence </w:t>
            </w:r>
            <w:r w:rsidR="00492A43">
              <w:t>–</w:t>
            </w:r>
            <w:r w:rsidRPr="003059E9">
              <w:t xml:space="preserve"> Mr Milner</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74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ESD evidence – Mr Williamson (Joint evidence between Melbourne and Port Phillip)</w:t>
            </w:r>
          </w:p>
        </w:tc>
        <w:tc>
          <w:tcPr>
            <w:tcW w:w="3067" w:type="dxa"/>
          </w:tcPr>
          <w:p w:rsidR="00840FF5" w:rsidRPr="003059E9" w:rsidRDefault="00840FF5" w:rsidP="00840FF5">
            <w:pPr>
              <w:pStyle w:val="PPVTableText"/>
            </w:pPr>
          </w:p>
        </w:tc>
      </w:tr>
      <w:tr w:rsidR="00840FF5" w:rsidRPr="003059E9" w:rsidTr="00002386">
        <w:trPr>
          <w:cantSplit/>
        </w:trPr>
        <w:tc>
          <w:tcPr>
            <w:tcW w:w="720" w:type="dxa"/>
          </w:tcPr>
          <w:p w:rsidR="00840FF5" w:rsidRPr="003059E9" w:rsidRDefault="00840FF5" w:rsidP="00840FF5">
            <w:pPr>
              <w:pStyle w:val="PPVTableText"/>
            </w:pPr>
            <w:r w:rsidRPr="003059E9">
              <w:t>75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Open space evidence – Ms Thompson</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76</w:t>
            </w:r>
          </w:p>
        </w:tc>
        <w:tc>
          <w:tcPr>
            <w:tcW w:w="1231" w:type="dxa"/>
          </w:tcPr>
          <w:p w:rsidR="00840FF5" w:rsidRPr="003059E9" w:rsidRDefault="00840FF5" w:rsidP="00840FF5">
            <w:pPr>
              <w:pStyle w:val="PPVTableText"/>
            </w:pPr>
            <w:r w:rsidRPr="003059E9">
              <w:t>08/03/18</w:t>
            </w:r>
          </w:p>
        </w:tc>
        <w:tc>
          <w:tcPr>
            <w:tcW w:w="4253" w:type="dxa"/>
          </w:tcPr>
          <w:p w:rsidR="00840FF5" w:rsidRDefault="00840FF5" w:rsidP="00840FF5">
            <w:pPr>
              <w:pStyle w:val="PPVTableText"/>
            </w:pPr>
            <w:r w:rsidRPr="003059E9">
              <w:t xml:space="preserve">Infrastructure funding and delivery evidence </w:t>
            </w:r>
            <w:r w:rsidR="00492A43">
              <w:t>–</w:t>
            </w:r>
            <w:r w:rsidRPr="003059E9">
              <w:t xml:space="preserve"> Mr Shipp</w:t>
            </w:r>
          </w:p>
          <w:p w:rsidR="00840FF5" w:rsidRPr="003059E9" w:rsidRDefault="00840FF5" w:rsidP="00840FF5">
            <w:pPr>
              <w:pStyle w:val="PPVTableText"/>
            </w:pPr>
            <w:r w:rsidRPr="003059E9">
              <w:t>Mesh report on Funding and Financing infrastructure</w:t>
            </w:r>
          </w:p>
        </w:tc>
        <w:tc>
          <w:tcPr>
            <w:tcW w:w="3067" w:type="dxa"/>
          </w:tcPr>
          <w:p w:rsidR="00840FF5" w:rsidRPr="003059E9" w:rsidRDefault="00840FF5" w:rsidP="00840FF5">
            <w:pPr>
              <w:pStyle w:val="PPVTableText"/>
            </w:pPr>
            <w:r w:rsidRPr="003059E9">
              <w:t>Ms Bird, Maddocks</w:t>
            </w:r>
          </w:p>
        </w:tc>
      </w:tr>
      <w:tr w:rsidR="00840FF5" w:rsidRPr="003059E9" w:rsidTr="00002386">
        <w:trPr>
          <w:cantSplit/>
        </w:trPr>
        <w:tc>
          <w:tcPr>
            <w:tcW w:w="720" w:type="dxa"/>
          </w:tcPr>
          <w:p w:rsidR="00840FF5" w:rsidRPr="003059E9" w:rsidRDefault="00840FF5" w:rsidP="00840FF5">
            <w:pPr>
              <w:pStyle w:val="PPVTableText"/>
            </w:pPr>
            <w:r w:rsidRPr="003059E9">
              <w:t>77</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 xml:space="preserve">Social and affordable housing evidence </w:t>
            </w:r>
            <w:r w:rsidR="00492A43">
              <w:t>–</w:t>
            </w:r>
            <w:r w:rsidRPr="003059E9">
              <w:t xml:space="preserve"> Dr Spiller</w:t>
            </w:r>
          </w:p>
          <w:p w:rsidR="00840FF5" w:rsidRPr="003059E9" w:rsidRDefault="00840FF5" w:rsidP="00840FF5">
            <w:pPr>
              <w:pStyle w:val="PPVTableText"/>
            </w:pPr>
            <w:r w:rsidRPr="003059E9">
              <w:t>Footnote 8</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78</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Flooding and Drainage evidence – Mr Patterson (joint evidence between Melbourne and Port Phillip)</w:t>
            </w:r>
          </w:p>
          <w:p w:rsidR="00840FF5" w:rsidRDefault="00840FF5" w:rsidP="00840FF5">
            <w:pPr>
              <w:pStyle w:val="PPVTableText"/>
            </w:pPr>
            <w:r w:rsidRPr="003059E9">
              <w:t>Annexure 4 – Integrated and Innovative Water Management Report (Ramboll)</w:t>
            </w:r>
          </w:p>
          <w:p w:rsidR="00840FF5" w:rsidRPr="003059E9" w:rsidRDefault="00840FF5" w:rsidP="00840FF5">
            <w:pPr>
              <w:pStyle w:val="PPVTableText"/>
            </w:pPr>
            <w:r w:rsidRPr="003059E9">
              <w:t>Annexure 7 – Melbourne Water Baseline Drainage Options Plan (GHD)</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79</w:t>
            </w:r>
          </w:p>
        </w:tc>
        <w:tc>
          <w:tcPr>
            <w:tcW w:w="1231" w:type="dxa"/>
          </w:tcPr>
          <w:p w:rsidR="00840FF5" w:rsidRPr="003059E9" w:rsidRDefault="00840FF5" w:rsidP="00840FF5">
            <w:pPr>
              <w:pStyle w:val="PPVTableText"/>
            </w:pPr>
            <w:r w:rsidRPr="003059E9">
              <w:t>09/03/18</w:t>
            </w:r>
          </w:p>
        </w:tc>
        <w:tc>
          <w:tcPr>
            <w:tcW w:w="4253" w:type="dxa"/>
          </w:tcPr>
          <w:p w:rsidR="00840FF5" w:rsidRPr="003059E9" w:rsidRDefault="00840FF5" w:rsidP="00840FF5">
            <w:pPr>
              <w:pStyle w:val="PPVTableText"/>
            </w:pPr>
            <w:r w:rsidRPr="003059E9">
              <w:t>Correspondence – Confirmation of order of experts</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80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 Request for Direction to release ten transport background documents</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81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Direction 23 – release of documents</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82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 Report of Ms Pearson on built form testing and capacity modelling</w:t>
            </w:r>
          </w:p>
        </w:tc>
        <w:tc>
          <w:tcPr>
            <w:tcW w:w="3067" w:type="dxa"/>
          </w:tcPr>
          <w:p w:rsidR="00840FF5" w:rsidRPr="003059E9" w:rsidRDefault="00840FF5" w:rsidP="00840FF5">
            <w:pPr>
              <w:pStyle w:val="PPVTableText"/>
            </w:pPr>
            <w:r w:rsidRPr="003059E9">
              <w:t>Ms Ryan, City of Melbourne</w:t>
            </w:r>
          </w:p>
        </w:tc>
      </w:tr>
      <w:tr w:rsidR="00840FF5" w:rsidRPr="003059E9" w:rsidTr="00002386">
        <w:trPr>
          <w:cantSplit/>
        </w:trPr>
        <w:tc>
          <w:tcPr>
            <w:tcW w:w="720" w:type="dxa"/>
          </w:tcPr>
          <w:p w:rsidR="00840FF5" w:rsidRPr="003059E9" w:rsidRDefault="00840FF5" w:rsidP="00840FF5">
            <w:pPr>
              <w:pStyle w:val="PPVTableText"/>
            </w:pPr>
            <w:r w:rsidRPr="003059E9">
              <w:t>83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Addenda 2 to urban design evidence of Ms Hodyl</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84</w:t>
            </w:r>
          </w:p>
        </w:tc>
        <w:tc>
          <w:tcPr>
            <w:tcW w:w="1231" w:type="dxa"/>
          </w:tcPr>
          <w:p w:rsidR="00840FF5" w:rsidRPr="003059E9" w:rsidRDefault="00840FF5" w:rsidP="00840FF5">
            <w:pPr>
              <w:pStyle w:val="PPVTableText"/>
            </w:pPr>
            <w:r w:rsidRPr="003059E9">
              <w:t>13/03/18</w:t>
            </w:r>
          </w:p>
        </w:tc>
        <w:tc>
          <w:tcPr>
            <w:tcW w:w="4253" w:type="dxa"/>
          </w:tcPr>
          <w:p w:rsidR="00840FF5" w:rsidRPr="003059E9" w:rsidRDefault="00840FF5" w:rsidP="00840FF5">
            <w:pPr>
              <w:pStyle w:val="PPVTableText"/>
            </w:pPr>
            <w:r w:rsidRPr="003059E9">
              <w:t>Correspondence – Confirmation of release of transport documents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85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Correspondence – Request for access to DELWP draft </w:t>
            </w:r>
            <w:r w:rsidR="00576336">
              <w:t>A</w:t>
            </w:r>
            <w:r w:rsidRPr="003059E9">
              <w:t>mendment mapping files</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86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 Fishermans Bend Economic and Transport Infrastructure Study, PWC</w:t>
            </w:r>
          </w:p>
        </w:tc>
        <w:tc>
          <w:tcPr>
            <w:tcW w:w="3067" w:type="dxa"/>
          </w:tcPr>
          <w:p w:rsidR="00840FF5" w:rsidRPr="003059E9" w:rsidRDefault="00840FF5" w:rsidP="00840FF5">
            <w:pPr>
              <w:pStyle w:val="PPVTableText"/>
            </w:pPr>
            <w:r w:rsidRPr="003059E9">
              <w:t xml:space="preserve">Mr Montebello, Maddocks </w:t>
            </w:r>
          </w:p>
        </w:tc>
      </w:tr>
      <w:tr w:rsidR="00840FF5" w:rsidRPr="003059E9" w:rsidTr="00002386">
        <w:trPr>
          <w:cantSplit/>
        </w:trPr>
        <w:tc>
          <w:tcPr>
            <w:tcW w:w="720" w:type="dxa"/>
          </w:tcPr>
          <w:p w:rsidR="00840FF5" w:rsidRPr="003059E9" w:rsidRDefault="00840FF5" w:rsidP="00840FF5">
            <w:pPr>
              <w:pStyle w:val="PPVTableText"/>
            </w:pPr>
            <w:r w:rsidRPr="003059E9">
              <w:t>87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 Request for access to Development Contributions documents</w:t>
            </w:r>
          </w:p>
        </w:tc>
        <w:tc>
          <w:tcPr>
            <w:tcW w:w="3067" w:type="dxa"/>
          </w:tcPr>
          <w:p w:rsidR="00840FF5" w:rsidRPr="003059E9" w:rsidRDefault="00840FF5" w:rsidP="00840FF5">
            <w:pPr>
              <w:pStyle w:val="PPVTableText"/>
            </w:pPr>
            <w:r w:rsidRPr="003059E9">
              <w:t>Mr Moylan, Planning and Property Partners</w:t>
            </w:r>
          </w:p>
        </w:tc>
      </w:tr>
      <w:tr w:rsidR="00840FF5" w:rsidRPr="003059E9" w:rsidTr="00002386">
        <w:trPr>
          <w:cantSplit/>
        </w:trPr>
        <w:tc>
          <w:tcPr>
            <w:tcW w:w="720" w:type="dxa"/>
          </w:tcPr>
          <w:p w:rsidR="00840FF5" w:rsidRPr="003059E9" w:rsidRDefault="00840FF5" w:rsidP="00840FF5">
            <w:pPr>
              <w:pStyle w:val="PPVTableText"/>
            </w:pPr>
            <w:r w:rsidRPr="003059E9">
              <w:t>88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Background report – Fishermans Bend Public Space Strategy, 2017</w:t>
            </w:r>
          </w:p>
        </w:tc>
        <w:tc>
          <w:tcPr>
            <w:tcW w:w="3067" w:type="dxa"/>
          </w:tcPr>
          <w:p w:rsidR="00840FF5" w:rsidRPr="003059E9" w:rsidRDefault="00840FF5" w:rsidP="00840FF5">
            <w:pPr>
              <w:pStyle w:val="PPVTableText"/>
            </w:pPr>
            <w:r w:rsidRPr="003059E9">
              <w:t>Ms Goodall, Taskforce</w:t>
            </w:r>
          </w:p>
        </w:tc>
      </w:tr>
      <w:tr w:rsidR="00840FF5" w:rsidRPr="003059E9" w:rsidTr="00002386">
        <w:trPr>
          <w:cantSplit/>
        </w:trPr>
        <w:tc>
          <w:tcPr>
            <w:tcW w:w="720" w:type="dxa"/>
          </w:tcPr>
          <w:p w:rsidR="00840FF5" w:rsidRPr="003059E9" w:rsidRDefault="00840FF5" w:rsidP="00840FF5">
            <w:pPr>
              <w:pStyle w:val="PPVTableText"/>
            </w:pPr>
            <w:r w:rsidRPr="003059E9">
              <w:t>89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Background report </w:t>
            </w:r>
            <w:r w:rsidR="00492A43">
              <w:t>–</w:t>
            </w:r>
            <w:r w:rsidRPr="003059E9">
              <w:t xml:space="preserve"> Energy of Things, Governance and the Smart City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90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Addenda 3 to evidence statement of Ms Hodyl</w:t>
            </w:r>
          </w:p>
        </w:tc>
        <w:tc>
          <w:tcPr>
            <w:tcW w:w="3067" w:type="dxa"/>
          </w:tcPr>
          <w:p w:rsidR="00840FF5" w:rsidRPr="003059E9" w:rsidRDefault="00840FF5" w:rsidP="00840FF5">
            <w:pPr>
              <w:pStyle w:val="PPVTableText"/>
            </w:pPr>
            <w:r w:rsidRPr="003059E9">
              <w:t xml:space="preserve">Ms Morris, Harwood Andrews </w:t>
            </w:r>
          </w:p>
        </w:tc>
      </w:tr>
      <w:tr w:rsidR="00840FF5" w:rsidRPr="003059E9" w:rsidTr="00002386">
        <w:trPr>
          <w:cantSplit/>
        </w:trPr>
        <w:tc>
          <w:tcPr>
            <w:tcW w:w="720" w:type="dxa"/>
          </w:tcPr>
          <w:p w:rsidR="00840FF5" w:rsidRPr="003059E9" w:rsidRDefault="00840FF5" w:rsidP="00840FF5">
            <w:pPr>
              <w:pStyle w:val="PPVTableText"/>
            </w:pPr>
            <w:r w:rsidRPr="003059E9">
              <w:t>91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Addenda 1 to evidence statement of Prof Bates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92</w:t>
            </w:r>
          </w:p>
        </w:tc>
        <w:tc>
          <w:tcPr>
            <w:tcW w:w="1231" w:type="dxa"/>
          </w:tcPr>
          <w:p w:rsidR="00840FF5" w:rsidRPr="003059E9" w:rsidRDefault="00840FF5" w:rsidP="00840FF5">
            <w:pPr>
              <w:pStyle w:val="PPVTableText"/>
            </w:pPr>
            <w:r w:rsidRPr="003059E9">
              <w:t>14/03/18</w:t>
            </w:r>
          </w:p>
        </w:tc>
        <w:tc>
          <w:tcPr>
            <w:tcW w:w="4253" w:type="dxa"/>
          </w:tcPr>
          <w:p w:rsidR="00840FF5" w:rsidRPr="003059E9" w:rsidRDefault="00840FF5" w:rsidP="00840FF5">
            <w:pPr>
              <w:pStyle w:val="PPVTableText"/>
            </w:pPr>
            <w:r w:rsidRPr="003059E9">
              <w:t>Addenda 4 to evidence statement of Ms Hodyl</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93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Submission </w:t>
            </w:r>
            <w:r w:rsidR="00492A43">
              <w:t>–</w:t>
            </w:r>
            <w:r w:rsidRPr="003059E9">
              <w:t xml:space="preserve"> call in of existing permit applications</w:t>
            </w:r>
          </w:p>
        </w:tc>
        <w:tc>
          <w:tcPr>
            <w:tcW w:w="3067" w:type="dxa"/>
          </w:tcPr>
          <w:p w:rsidR="00840FF5" w:rsidRPr="003059E9" w:rsidRDefault="00840FF5" w:rsidP="00840FF5">
            <w:pPr>
              <w:pStyle w:val="PPVTableText"/>
            </w:pPr>
            <w:r w:rsidRPr="003059E9">
              <w:t xml:space="preserve">Ms Brennan </w:t>
            </w:r>
          </w:p>
        </w:tc>
      </w:tr>
      <w:tr w:rsidR="00840FF5" w:rsidRPr="003059E9" w:rsidTr="00002386">
        <w:trPr>
          <w:cantSplit/>
        </w:trPr>
        <w:tc>
          <w:tcPr>
            <w:tcW w:w="720" w:type="dxa"/>
          </w:tcPr>
          <w:p w:rsidR="00840FF5" w:rsidRPr="003059E9" w:rsidRDefault="00840FF5" w:rsidP="00840FF5">
            <w:pPr>
              <w:pStyle w:val="PPVTableText"/>
            </w:pPr>
            <w:r w:rsidRPr="003059E9">
              <w:t>94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Part B Submission – Minister for Planning</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95</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Evidence Power</w:t>
            </w:r>
            <w:r w:rsidR="00836F74">
              <w:t>P</w:t>
            </w:r>
            <w:r w:rsidRPr="003059E9">
              <w:t>oint presentation</w:t>
            </w:r>
          </w:p>
          <w:p w:rsidR="00840FF5" w:rsidRPr="003059E9" w:rsidRDefault="00840FF5" w:rsidP="00840FF5">
            <w:pPr>
              <w:pStyle w:val="PPVTableText"/>
            </w:pPr>
            <w:r w:rsidRPr="003059E9">
              <w:t xml:space="preserve">– Urban Design  </w:t>
            </w:r>
          </w:p>
        </w:tc>
        <w:tc>
          <w:tcPr>
            <w:tcW w:w="3067" w:type="dxa"/>
          </w:tcPr>
          <w:p w:rsidR="00840FF5" w:rsidRPr="003059E9" w:rsidRDefault="00840FF5" w:rsidP="00840FF5">
            <w:pPr>
              <w:pStyle w:val="PPVTableText"/>
            </w:pPr>
            <w:r w:rsidRPr="003059E9">
              <w:t>Ms Hodyl, Fishermans Bend Taskforce</w:t>
            </w:r>
          </w:p>
        </w:tc>
      </w:tr>
      <w:tr w:rsidR="00840FF5" w:rsidRPr="003059E9" w:rsidTr="00002386">
        <w:trPr>
          <w:cantSplit/>
        </w:trPr>
        <w:tc>
          <w:tcPr>
            <w:tcW w:w="720" w:type="dxa"/>
          </w:tcPr>
          <w:p w:rsidR="00840FF5" w:rsidRPr="003059E9" w:rsidRDefault="00840FF5" w:rsidP="00840FF5">
            <w:pPr>
              <w:pStyle w:val="PPVTableText"/>
            </w:pPr>
            <w:r w:rsidRPr="003059E9">
              <w:t>96</w:t>
            </w:r>
          </w:p>
        </w:tc>
        <w:tc>
          <w:tcPr>
            <w:tcW w:w="1231" w:type="dxa"/>
          </w:tcPr>
          <w:p w:rsidR="00840FF5" w:rsidRPr="003059E9" w:rsidRDefault="00840FF5" w:rsidP="00840FF5">
            <w:pPr>
              <w:pStyle w:val="PPVTableText"/>
            </w:pPr>
            <w:r w:rsidRPr="003059E9">
              <w:t>15/03/18</w:t>
            </w:r>
          </w:p>
        </w:tc>
        <w:tc>
          <w:tcPr>
            <w:tcW w:w="4253" w:type="dxa"/>
          </w:tcPr>
          <w:p w:rsidR="00840FF5" w:rsidRPr="003059E9" w:rsidRDefault="00840FF5" w:rsidP="00840FF5">
            <w:pPr>
              <w:pStyle w:val="PPVTableText"/>
            </w:pPr>
            <w:r w:rsidRPr="003059E9">
              <w:t xml:space="preserve">Extract from Homes for Victorians </w:t>
            </w:r>
          </w:p>
        </w:tc>
        <w:tc>
          <w:tcPr>
            <w:tcW w:w="3067" w:type="dxa"/>
          </w:tcPr>
          <w:p w:rsidR="00840FF5" w:rsidRPr="003059E9" w:rsidRDefault="00E5286E" w:rsidP="00840FF5">
            <w:pPr>
              <w:pStyle w:val="PPVTableText"/>
            </w:pPr>
            <w:r>
              <w:t>Counsel assisting</w:t>
            </w:r>
            <w:r w:rsidR="00840FF5" w:rsidRPr="003059E9">
              <w:t xml:space="preserve">, Counsel </w:t>
            </w:r>
            <w:r w:rsidR="00576336">
              <w:t>a</w:t>
            </w:r>
            <w:r w:rsidR="00840FF5" w:rsidRPr="003059E9">
              <w:t xml:space="preserve">ssisting </w:t>
            </w:r>
          </w:p>
        </w:tc>
      </w:tr>
      <w:tr w:rsidR="00840FF5" w:rsidRPr="003059E9" w:rsidTr="00002386">
        <w:trPr>
          <w:cantSplit/>
        </w:trPr>
        <w:tc>
          <w:tcPr>
            <w:tcW w:w="720" w:type="dxa"/>
          </w:tcPr>
          <w:p w:rsidR="00840FF5" w:rsidRPr="003059E9" w:rsidRDefault="00840FF5" w:rsidP="00840FF5">
            <w:pPr>
              <w:pStyle w:val="PPVTableText"/>
            </w:pPr>
            <w:r w:rsidRPr="003059E9">
              <w:t>97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Extract from Homes Population &amp; Demographic Report Sept 2016, Pages 4, 11 </w:t>
            </w:r>
            <w:r w:rsidR="00492A43">
              <w:t>–</w:t>
            </w:r>
            <w:r w:rsidRPr="003059E9">
              <w:t xml:space="preserve"> 13 </w:t>
            </w:r>
          </w:p>
        </w:tc>
        <w:tc>
          <w:tcPr>
            <w:tcW w:w="3067" w:type="dxa"/>
          </w:tcPr>
          <w:p w:rsidR="00840FF5" w:rsidRPr="003059E9" w:rsidRDefault="00840FF5" w:rsidP="00840FF5">
            <w:pPr>
              <w:pStyle w:val="PPVTableText"/>
            </w:pPr>
            <w:r w:rsidRPr="003059E9">
              <w:t xml:space="preserve">Ms Forsyth </w:t>
            </w:r>
          </w:p>
        </w:tc>
      </w:tr>
      <w:tr w:rsidR="00840FF5" w:rsidRPr="003059E9" w:rsidTr="00002386">
        <w:trPr>
          <w:cantSplit/>
        </w:trPr>
        <w:tc>
          <w:tcPr>
            <w:tcW w:w="720" w:type="dxa"/>
          </w:tcPr>
          <w:p w:rsidR="00840FF5" w:rsidRPr="003059E9" w:rsidRDefault="00840FF5" w:rsidP="00840FF5">
            <w:pPr>
              <w:pStyle w:val="PPVTableText"/>
            </w:pPr>
            <w:r w:rsidRPr="003059E9">
              <w:t>98</w:t>
            </w:r>
          </w:p>
        </w:tc>
        <w:tc>
          <w:tcPr>
            <w:tcW w:w="1231" w:type="dxa"/>
          </w:tcPr>
          <w:p w:rsidR="00840FF5" w:rsidRPr="003059E9" w:rsidRDefault="00840FF5" w:rsidP="00840FF5">
            <w:pPr>
              <w:pStyle w:val="PPVTableText"/>
            </w:pPr>
            <w:r w:rsidRPr="003059E9">
              <w:t>16/03/18</w:t>
            </w:r>
          </w:p>
        </w:tc>
        <w:tc>
          <w:tcPr>
            <w:tcW w:w="4253" w:type="dxa"/>
          </w:tcPr>
          <w:p w:rsidR="00840FF5" w:rsidRPr="003059E9" w:rsidRDefault="00840FF5" w:rsidP="00840FF5">
            <w:pPr>
              <w:pStyle w:val="PPVTableText"/>
            </w:pPr>
            <w:r w:rsidRPr="003059E9">
              <w:t>Response to submissions – Minister for Planning</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99</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Options for Open Space</w:t>
            </w:r>
          </w:p>
          <w:p w:rsidR="00840FF5" w:rsidRDefault="00840FF5" w:rsidP="00840FF5">
            <w:pPr>
              <w:pStyle w:val="PPVTableText"/>
            </w:pPr>
            <w:r w:rsidRPr="003059E9">
              <w:t>Table describing private land affected</w:t>
            </w:r>
          </w:p>
          <w:p w:rsidR="00840FF5" w:rsidRDefault="00840FF5" w:rsidP="00840FF5">
            <w:pPr>
              <w:pStyle w:val="PPVTableText"/>
            </w:pPr>
            <w:r w:rsidRPr="003059E9">
              <w:t>Map locating open space sites</w:t>
            </w:r>
          </w:p>
          <w:p w:rsidR="00840FF5" w:rsidRPr="003059E9" w:rsidRDefault="00840FF5" w:rsidP="00840FF5">
            <w:pPr>
              <w:pStyle w:val="PPVTableText"/>
            </w:pPr>
            <w:r w:rsidRPr="003059E9">
              <w:t xml:space="preserve">Worked example of </w:t>
            </w:r>
            <w:r w:rsidR="00492A43">
              <w:t>five</w:t>
            </w:r>
            <w:r w:rsidRPr="003059E9">
              <w:t xml:space="preserve"> land provision scenarios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100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Interim Development Contributions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101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Taskforce response to Expert Witness Recommendations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102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from Mr Kiriakidis regarding documents relied upon</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103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Marked up version of DDO</w:t>
            </w:r>
          </w:p>
        </w:tc>
        <w:tc>
          <w:tcPr>
            <w:tcW w:w="3067" w:type="dxa"/>
          </w:tcPr>
          <w:p w:rsidR="00840FF5" w:rsidRPr="003059E9" w:rsidRDefault="00840FF5" w:rsidP="00840FF5">
            <w:pPr>
              <w:pStyle w:val="PPVTableText"/>
            </w:pPr>
            <w:r w:rsidRPr="003059E9">
              <w:t>Mr Glossop, Glossop Town Planning</w:t>
            </w:r>
          </w:p>
        </w:tc>
      </w:tr>
      <w:tr w:rsidR="00840FF5" w:rsidRPr="003059E9" w:rsidTr="00002386">
        <w:trPr>
          <w:cantSplit/>
        </w:trPr>
        <w:tc>
          <w:tcPr>
            <w:tcW w:w="720" w:type="dxa"/>
          </w:tcPr>
          <w:p w:rsidR="00840FF5" w:rsidRPr="003059E9" w:rsidRDefault="00840FF5" w:rsidP="00840FF5">
            <w:pPr>
              <w:pStyle w:val="PPVTableText"/>
            </w:pPr>
            <w:r w:rsidRPr="003059E9">
              <w:t>104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Marked up version of CCZ</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105</w:t>
            </w:r>
          </w:p>
        </w:tc>
        <w:tc>
          <w:tcPr>
            <w:tcW w:w="1231" w:type="dxa"/>
          </w:tcPr>
          <w:p w:rsidR="00840FF5" w:rsidRPr="003059E9" w:rsidRDefault="00840FF5" w:rsidP="00840FF5">
            <w:pPr>
              <w:pStyle w:val="PPVTableText"/>
            </w:pPr>
            <w:r w:rsidRPr="003059E9">
              <w:t>19/03/18</w:t>
            </w:r>
          </w:p>
        </w:tc>
        <w:tc>
          <w:tcPr>
            <w:tcW w:w="4253" w:type="dxa"/>
          </w:tcPr>
          <w:p w:rsidR="00840FF5" w:rsidRPr="003059E9" w:rsidRDefault="00840FF5" w:rsidP="00840FF5">
            <w:pPr>
              <w:pStyle w:val="PPVTableText"/>
            </w:pPr>
            <w:r w:rsidRPr="003059E9">
              <w:t>PowerPoint presentation: Economic evidence statement</w:t>
            </w:r>
          </w:p>
        </w:tc>
        <w:tc>
          <w:tcPr>
            <w:tcW w:w="3067" w:type="dxa"/>
          </w:tcPr>
          <w:p w:rsidR="00840FF5" w:rsidRPr="003059E9" w:rsidRDefault="00840FF5" w:rsidP="00840FF5">
            <w:pPr>
              <w:pStyle w:val="PPVTableText"/>
            </w:pPr>
            <w:r w:rsidRPr="003059E9">
              <w:t>Mr Szafr</w:t>
            </w:r>
            <w:r w:rsidR="00D70C8D">
              <w:t>a</w:t>
            </w:r>
            <w:r w:rsidRPr="003059E9">
              <w:t>niec, SGS Consultants</w:t>
            </w:r>
          </w:p>
        </w:tc>
      </w:tr>
      <w:tr w:rsidR="00840FF5" w:rsidRPr="003059E9" w:rsidTr="00002386">
        <w:trPr>
          <w:cantSplit/>
        </w:trPr>
        <w:tc>
          <w:tcPr>
            <w:tcW w:w="720" w:type="dxa"/>
          </w:tcPr>
          <w:p w:rsidR="00840FF5" w:rsidRPr="003059E9" w:rsidRDefault="00840FF5" w:rsidP="00840FF5">
            <w:pPr>
              <w:pStyle w:val="PPVTableText"/>
            </w:pPr>
            <w:r w:rsidRPr="003059E9">
              <w:t>106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MacroPlan Dimasi Feasibility Analysis</w:t>
            </w:r>
          </w:p>
        </w:tc>
        <w:tc>
          <w:tcPr>
            <w:tcW w:w="3067" w:type="dxa"/>
          </w:tcPr>
          <w:p w:rsidR="00840FF5" w:rsidRPr="003059E9" w:rsidRDefault="00840FF5" w:rsidP="00840FF5">
            <w:pPr>
              <w:pStyle w:val="PPVTableText"/>
            </w:pPr>
            <w:r w:rsidRPr="003059E9">
              <w:t xml:space="preserve">Mr Wren  </w:t>
            </w:r>
          </w:p>
        </w:tc>
      </w:tr>
      <w:tr w:rsidR="00840FF5" w:rsidRPr="003059E9" w:rsidTr="00002386">
        <w:trPr>
          <w:cantSplit/>
        </w:trPr>
        <w:tc>
          <w:tcPr>
            <w:tcW w:w="720" w:type="dxa"/>
          </w:tcPr>
          <w:p w:rsidR="00840FF5" w:rsidRPr="003059E9" w:rsidRDefault="00840FF5" w:rsidP="00840FF5">
            <w:pPr>
              <w:pStyle w:val="PPVTableText"/>
            </w:pPr>
            <w:r w:rsidRPr="003059E9">
              <w:t>107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PowerPoint presentation Public Open Space Evidence  </w:t>
            </w:r>
          </w:p>
        </w:tc>
        <w:tc>
          <w:tcPr>
            <w:tcW w:w="3067" w:type="dxa"/>
          </w:tcPr>
          <w:p w:rsidR="00840FF5" w:rsidRPr="003059E9" w:rsidRDefault="00840FF5" w:rsidP="00840FF5">
            <w:pPr>
              <w:pStyle w:val="PPVTableText"/>
            </w:pPr>
            <w:r w:rsidRPr="003059E9">
              <w:t xml:space="preserve">Ms Brennan </w:t>
            </w:r>
          </w:p>
        </w:tc>
      </w:tr>
      <w:tr w:rsidR="00840FF5" w:rsidRPr="003059E9" w:rsidTr="00002386">
        <w:trPr>
          <w:cantSplit/>
        </w:trPr>
        <w:tc>
          <w:tcPr>
            <w:tcW w:w="720" w:type="dxa"/>
          </w:tcPr>
          <w:p w:rsidR="00840FF5" w:rsidRPr="003059E9" w:rsidRDefault="00840FF5" w:rsidP="00840FF5">
            <w:pPr>
              <w:pStyle w:val="PPVTableText"/>
            </w:pPr>
            <w:r w:rsidRPr="003059E9">
              <w:t>108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Open Space Adjusted Layout plans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109</w:t>
            </w:r>
          </w:p>
        </w:tc>
        <w:tc>
          <w:tcPr>
            <w:tcW w:w="1231" w:type="dxa"/>
          </w:tcPr>
          <w:p w:rsidR="00840FF5" w:rsidRPr="003059E9" w:rsidRDefault="00840FF5" w:rsidP="00840FF5">
            <w:pPr>
              <w:pStyle w:val="PPVTableText"/>
            </w:pPr>
            <w:r w:rsidRPr="003059E9">
              <w:t>20/03/18</w:t>
            </w:r>
          </w:p>
        </w:tc>
        <w:tc>
          <w:tcPr>
            <w:tcW w:w="4253" w:type="dxa"/>
          </w:tcPr>
          <w:p w:rsidR="00840FF5" w:rsidRDefault="00840FF5" w:rsidP="00840FF5">
            <w:pPr>
              <w:pStyle w:val="PPVTableText"/>
            </w:pPr>
            <w:r w:rsidRPr="003059E9">
              <w:t>Submission – City of Port Phillip and attachments</w:t>
            </w:r>
          </w:p>
          <w:p w:rsidR="00840FF5" w:rsidRDefault="00840FF5" w:rsidP="00840FF5">
            <w:pPr>
              <w:pStyle w:val="PPVTableText"/>
            </w:pPr>
            <w:r w:rsidRPr="003059E9">
              <w:t>Stage 1 Submission</w:t>
            </w:r>
          </w:p>
          <w:p w:rsidR="00840FF5" w:rsidRDefault="00840FF5" w:rsidP="00840FF5">
            <w:pPr>
              <w:pStyle w:val="PPVTableText"/>
            </w:pPr>
            <w:r w:rsidRPr="003059E9">
              <w:t>Consolidated list of requested changes</w:t>
            </w:r>
          </w:p>
          <w:p w:rsidR="00840FF5" w:rsidRDefault="00840FF5" w:rsidP="00840FF5">
            <w:pPr>
              <w:pStyle w:val="PPVTableText"/>
            </w:pPr>
            <w:r w:rsidRPr="003059E9">
              <w:t>Marked up CCZ</w:t>
            </w:r>
          </w:p>
          <w:p w:rsidR="00840FF5" w:rsidRDefault="00840FF5" w:rsidP="00840FF5">
            <w:pPr>
              <w:pStyle w:val="PPVTableText"/>
            </w:pPr>
            <w:r w:rsidRPr="003059E9">
              <w:t>Marked up LPP</w:t>
            </w:r>
          </w:p>
          <w:p w:rsidR="00840FF5" w:rsidRPr="003059E9" w:rsidRDefault="00840FF5" w:rsidP="00840FF5">
            <w:pPr>
              <w:pStyle w:val="PPVTableText"/>
            </w:pPr>
            <w:r w:rsidRPr="003059E9">
              <w:t>Preferred locations of Community Hubs</w:t>
            </w:r>
          </w:p>
        </w:tc>
        <w:tc>
          <w:tcPr>
            <w:tcW w:w="3067" w:type="dxa"/>
          </w:tcPr>
          <w:p w:rsidR="00840FF5" w:rsidRPr="003059E9" w:rsidRDefault="00840FF5" w:rsidP="00840FF5">
            <w:pPr>
              <w:pStyle w:val="PPVTableText"/>
            </w:pPr>
            <w:r w:rsidRPr="003059E9">
              <w:t xml:space="preserve">Mr Montebello, Maddocks </w:t>
            </w:r>
          </w:p>
        </w:tc>
      </w:tr>
      <w:tr w:rsidR="00840FF5" w:rsidRPr="003059E9" w:rsidTr="00002386">
        <w:trPr>
          <w:cantSplit/>
        </w:trPr>
        <w:tc>
          <w:tcPr>
            <w:tcW w:w="720" w:type="dxa"/>
          </w:tcPr>
          <w:p w:rsidR="00840FF5" w:rsidRPr="003059E9" w:rsidRDefault="00840FF5" w:rsidP="00840FF5">
            <w:pPr>
              <w:pStyle w:val="PPVTableText"/>
            </w:pPr>
            <w:r w:rsidRPr="003059E9">
              <w:t>110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Summary of evidence – Mr Shipp</w:t>
            </w:r>
          </w:p>
        </w:tc>
        <w:tc>
          <w:tcPr>
            <w:tcW w:w="3067" w:type="dxa"/>
          </w:tcPr>
          <w:p w:rsidR="00840FF5" w:rsidRPr="003059E9" w:rsidRDefault="00840FF5" w:rsidP="00840FF5">
            <w:pPr>
              <w:pStyle w:val="PPVTableText"/>
            </w:pPr>
            <w:r w:rsidRPr="003059E9">
              <w:t>Mr Shipp, Urban Enterprise</w:t>
            </w:r>
          </w:p>
        </w:tc>
      </w:tr>
      <w:tr w:rsidR="00840FF5" w:rsidRPr="003059E9" w:rsidTr="00002386">
        <w:trPr>
          <w:cantSplit/>
        </w:trPr>
        <w:tc>
          <w:tcPr>
            <w:tcW w:w="720" w:type="dxa"/>
          </w:tcPr>
          <w:p w:rsidR="00840FF5" w:rsidRPr="003059E9" w:rsidRDefault="00840FF5" w:rsidP="00840FF5">
            <w:pPr>
              <w:pStyle w:val="PPVTableText"/>
            </w:pPr>
            <w:r w:rsidRPr="003059E9">
              <w:t>111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from Fishermans Bend Integrated Transport Plan</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112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School provision review for Docklands </w:t>
            </w:r>
            <w:r w:rsidR="00492A43">
              <w:t>–</w:t>
            </w:r>
            <w:r w:rsidRPr="003059E9">
              <w:t xml:space="preserve"> Stage 1</w:t>
            </w:r>
          </w:p>
        </w:tc>
        <w:tc>
          <w:tcPr>
            <w:tcW w:w="3067" w:type="dxa"/>
          </w:tcPr>
          <w:p w:rsidR="00840FF5" w:rsidRPr="003059E9" w:rsidRDefault="00840FF5" w:rsidP="00840FF5">
            <w:pPr>
              <w:pStyle w:val="PPVTableText"/>
            </w:pPr>
            <w:r w:rsidRPr="003059E9">
              <w:t xml:space="preserve">Mr Montebello, Maddocks </w:t>
            </w:r>
          </w:p>
        </w:tc>
      </w:tr>
      <w:tr w:rsidR="00840FF5" w:rsidRPr="003059E9" w:rsidTr="00002386">
        <w:trPr>
          <w:cantSplit/>
        </w:trPr>
        <w:tc>
          <w:tcPr>
            <w:tcW w:w="720" w:type="dxa"/>
          </w:tcPr>
          <w:p w:rsidR="00840FF5" w:rsidRPr="003059E9" w:rsidRDefault="00840FF5" w:rsidP="00840FF5">
            <w:pPr>
              <w:pStyle w:val="PPVTableText"/>
            </w:pPr>
            <w:r w:rsidRPr="003059E9">
              <w:t>113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School provision review for Docklands </w:t>
            </w:r>
            <w:r w:rsidR="00492A43">
              <w:t>–</w:t>
            </w:r>
            <w:r w:rsidRPr="003059E9">
              <w:t xml:space="preserve"> Stage 2</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114</w:t>
            </w:r>
          </w:p>
        </w:tc>
        <w:tc>
          <w:tcPr>
            <w:tcW w:w="1231" w:type="dxa"/>
          </w:tcPr>
          <w:p w:rsidR="00840FF5" w:rsidRPr="003059E9" w:rsidRDefault="00840FF5" w:rsidP="00840FF5">
            <w:pPr>
              <w:pStyle w:val="PPVTableText"/>
            </w:pPr>
            <w:r w:rsidRPr="003059E9">
              <w:t>21/</w:t>
            </w:r>
            <w:r w:rsidR="00002386">
              <w:t>03/</w:t>
            </w:r>
            <w:r w:rsidRPr="003059E9">
              <w:t>18</w:t>
            </w:r>
          </w:p>
        </w:tc>
        <w:tc>
          <w:tcPr>
            <w:tcW w:w="4253" w:type="dxa"/>
          </w:tcPr>
          <w:p w:rsidR="00840FF5" w:rsidRPr="003059E9" w:rsidRDefault="00840FF5" w:rsidP="00840FF5">
            <w:pPr>
              <w:pStyle w:val="PPVTableText"/>
            </w:pPr>
            <w:r w:rsidRPr="003059E9">
              <w:t>Submission relating to email sent on 15 March 2018</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115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PowerPoint presentation on Integrated Water Management Solutions </w:t>
            </w:r>
          </w:p>
        </w:tc>
        <w:tc>
          <w:tcPr>
            <w:tcW w:w="3067" w:type="dxa"/>
          </w:tcPr>
          <w:p w:rsidR="00840FF5" w:rsidRPr="003059E9" w:rsidRDefault="00840FF5" w:rsidP="00840FF5">
            <w:pPr>
              <w:pStyle w:val="PPVTableText"/>
            </w:pPr>
            <w:r w:rsidRPr="003059E9">
              <w:t>Mr Patterson of Ramboll Group</w:t>
            </w:r>
          </w:p>
        </w:tc>
      </w:tr>
      <w:tr w:rsidR="00840FF5" w:rsidRPr="003059E9" w:rsidTr="00002386">
        <w:trPr>
          <w:cantSplit/>
        </w:trPr>
        <w:tc>
          <w:tcPr>
            <w:tcW w:w="720" w:type="dxa"/>
          </w:tcPr>
          <w:p w:rsidR="00840FF5" w:rsidRPr="003059E9" w:rsidRDefault="00840FF5" w:rsidP="00840FF5">
            <w:pPr>
              <w:pStyle w:val="PPVTableText"/>
            </w:pPr>
            <w:r w:rsidRPr="003059E9">
              <w:t>116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In Our Backyard: Growing Affordable Housing in Port Phillip 2015</w:t>
            </w:r>
            <w:r w:rsidR="00A80B82">
              <w:t xml:space="preserve"> – </w:t>
            </w:r>
            <w:r w:rsidRPr="003059E9">
              <w:t>2025</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117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6236F3">
              <w:rPr>
                <w:i/>
              </w:rPr>
              <w:t>Plan Melbourne</w:t>
            </w:r>
            <w:r w:rsidRPr="003059E9">
              <w:t xml:space="preserve"> Directions 2.3</w:t>
            </w:r>
          </w:p>
        </w:tc>
        <w:tc>
          <w:tcPr>
            <w:tcW w:w="3067" w:type="dxa"/>
          </w:tcPr>
          <w:p w:rsidR="00840FF5" w:rsidRPr="003059E9" w:rsidRDefault="00B1080D" w:rsidP="00840FF5">
            <w:pPr>
              <w:pStyle w:val="PPVTableText"/>
            </w:pPr>
            <w:r>
              <w:t>Mr Tweedie</w:t>
            </w:r>
            <w:r w:rsidR="00840FF5" w:rsidRPr="003059E9">
              <w:t xml:space="preserve"> of Counsel for Norton Rose Fulbright</w:t>
            </w:r>
          </w:p>
        </w:tc>
      </w:tr>
      <w:tr w:rsidR="00840FF5" w:rsidRPr="003059E9" w:rsidTr="00002386">
        <w:trPr>
          <w:cantSplit/>
        </w:trPr>
        <w:tc>
          <w:tcPr>
            <w:tcW w:w="720" w:type="dxa"/>
          </w:tcPr>
          <w:p w:rsidR="00840FF5" w:rsidRPr="003059E9" w:rsidRDefault="00840FF5" w:rsidP="00840FF5">
            <w:pPr>
              <w:pStyle w:val="PPVTableText"/>
            </w:pPr>
            <w:r w:rsidRPr="003059E9">
              <w:t>118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Extracts from Fishermans Bend Framework</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119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AmGC81: Social and Afforda</w:t>
            </w:r>
            <w:r w:rsidR="00A80B82">
              <w:t>ble Housing Summary &amp; Evidence</w:t>
            </w:r>
          </w:p>
        </w:tc>
        <w:tc>
          <w:tcPr>
            <w:tcW w:w="3067" w:type="dxa"/>
          </w:tcPr>
          <w:p w:rsidR="00840FF5" w:rsidRPr="003059E9" w:rsidRDefault="00840FF5" w:rsidP="00840FF5">
            <w:pPr>
              <w:pStyle w:val="PPVTableText"/>
            </w:pPr>
            <w:r w:rsidRPr="003059E9">
              <w:t>Dr Spiller, SGS Economics</w:t>
            </w:r>
          </w:p>
        </w:tc>
      </w:tr>
      <w:tr w:rsidR="00840FF5" w:rsidRPr="003059E9" w:rsidTr="00002386">
        <w:trPr>
          <w:cantSplit/>
        </w:trPr>
        <w:tc>
          <w:tcPr>
            <w:tcW w:w="720" w:type="dxa"/>
          </w:tcPr>
          <w:p w:rsidR="00840FF5" w:rsidRPr="003059E9" w:rsidRDefault="00840FF5" w:rsidP="00840FF5">
            <w:pPr>
              <w:pStyle w:val="PPVTableText"/>
            </w:pPr>
            <w:r w:rsidRPr="003059E9">
              <w:t>120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Written submission, Melbourne City Council</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121</w:t>
            </w:r>
          </w:p>
        </w:tc>
        <w:tc>
          <w:tcPr>
            <w:tcW w:w="1231" w:type="dxa"/>
          </w:tcPr>
          <w:p w:rsidR="00840FF5" w:rsidRPr="003059E9" w:rsidRDefault="00840FF5" w:rsidP="00840FF5">
            <w:pPr>
              <w:pStyle w:val="PPVTableText"/>
            </w:pPr>
            <w:r w:rsidRPr="003059E9">
              <w:t>22/03/18</w:t>
            </w:r>
          </w:p>
        </w:tc>
        <w:tc>
          <w:tcPr>
            <w:tcW w:w="4253" w:type="dxa"/>
          </w:tcPr>
          <w:p w:rsidR="00840FF5" w:rsidRPr="003059E9" w:rsidRDefault="00840FF5" w:rsidP="00840FF5">
            <w:pPr>
              <w:pStyle w:val="PPVTableText"/>
            </w:pPr>
            <w:r w:rsidRPr="003059E9">
              <w:t xml:space="preserve">Slide presentation </w:t>
            </w:r>
            <w:r w:rsidR="00492A43">
              <w:t>–</w:t>
            </w:r>
            <w:r w:rsidRPr="003059E9">
              <w:t xml:space="preserve"> Planning </w:t>
            </w:r>
          </w:p>
        </w:tc>
        <w:tc>
          <w:tcPr>
            <w:tcW w:w="3067" w:type="dxa"/>
          </w:tcPr>
          <w:p w:rsidR="00840FF5" w:rsidRPr="003059E9" w:rsidRDefault="00840FF5" w:rsidP="00840FF5">
            <w:pPr>
              <w:pStyle w:val="PPVTableText"/>
            </w:pPr>
            <w:r w:rsidRPr="003059E9">
              <w:t>Mr Milner, 10 Consulting Group</w:t>
            </w:r>
          </w:p>
        </w:tc>
      </w:tr>
      <w:tr w:rsidR="00840FF5" w:rsidRPr="003059E9" w:rsidTr="00002386">
        <w:trPr>
          <w:cantSplit/>
        </w:trPr>
        <w:tc>
          <w:tcPr>
            <w:tcW w:w="720" w:type="dxa"/>
          </w:tcPr>
          <w:p w:rsidR="00840FF5" w:rsidRPr="003059E9" w:rsidRDefault="00840FF5" w:rsidP="00840FF5">
            <w:pPr>
              <w:pStyle w:val="PPVTableText"/>
            </w:pPr>
            <w:r w:rsidRPr="003059E9">
              <w:t>122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Slide presentation, Professor Rob Adams</w:t>
            </w:r>
          </w:p>
        </w:tc>
        <w:tc>
          <w:tcPr>
            <w:tcW w:w="3067" w:type="dxa"/>
          </w:tcPr>
          <w:p w:rsidR="00840FF5" w:rsidRPr="003059E9" w:rsidRDefault="00840FF5" w:rsidP="00840FF5">
            <w:pPr>
              <w:pStyle w:val="PPVTableText"/>
            </w:pPr>
            <w:r w:rsidRPr="003059E9">
              <w:t>Professor Adams, City of Melbourne</w:t>
            </w:r>
          </w:p>
        </w:tc>
      </w:tr>
      <w:tr w:rsidR="00840FF5" w:rsidRPr="003059E9" w:rsidTr="00002386">
        <w:trPr>
          <w:cantSplit/>
        </w:trPr>
        <w:tc>
          <w:tcPr>
            <w:tcW w:w="720" w:type="dxa"/>
          </w:tcPr>
          <w:p w:rsidR="00840FF5" w:rsidRPr="003059E9" w:rsidRDefault="00840FF5" w:rsidP="00840FF5">
            <w:pPr>
              <w:pStyle w:val="PPVTableText"/>
            </w:pPr>
            <w:r w:rsidRPr="003059E9">
              <w:t>123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Map Book </w:t>
            </w:r>
          </w:p>
        </w:tc>
        <w:tc>
          <w:tcPr>
            <w:tcW w:w="3067" w:type="dxa"/>
          </w:tcPr>
          <w:p w:rsidR="00840FF5" w:rsidRPr="003059E9" w:rsidRDefault="00840FF5" w:rsidP="00840FF5">
            <w:pPr>
              <w:pStyle w:val="PPVTableText"/>
            </w:pPr>
            <w:r w:rsidRPr="003059E9">
              <w:t>Ms Foley, Minister for Planning</w:t>
            </w:r>
          </w:p>
        </w:tc>
      </w:tr>
      <w:tr w:rsidR="00840FF5" w:rsidRPr="003059E9" w:rsidTr="00002386">
        <w:trPr>
          <w:cantSplit/>
        </w:trPr>
        <w:tc>
          <w:tcPr>
            <w:tcW w:w="720" w:type="dxa"/>
          </w:tcPr>
          <w:p w:rsidR="00840FF5" w:rsidRPr="003059E9" w:rsidRDefault="00840FF5" w:rsidP="00840FF5">
            <w:pPr>
              <w:pStyle w:val="PPVTableText"/>
            </w:pPr>
            <w:r w:rsidRPr="003059E9">
              <w:t>124</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 xml:space="preserve">Attachments and </w:t>
            </w:r>
            <w:r w:rsidR="009274FB">
              <w:t>Melbourne</w:t>
            </w:r>
            <w:r w:rsidRPr="003059E9">
              <w:t xml:space="preserve"> submission</w:t>
            </w:r>
          </w:p>
          <w:p w:rsidR="00840FF5" w:rsidRPr="003059E9" w:rsidRDefault="00840FF5" w:rsidP="00840FF5">
            <w:pPr>
              <w:pStyle w:val="PPVTableText"/>
            </w:pPr>
            <w:r w:rsidRPr="003059E9">
              <w:t>Places for People</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125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Extracts from the Housing Affordability Act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126</w:t>
            </w:r>
          </w:p>
        </w:tc>
        <w:tc>
          <w:tcPr>
            <w:tcW w:w="1231" w:type="dxa"/>
          </w:tcPr>
          <w:p w:rsidR="00840FF5" w:rsidRPr="003059E9" w:rsidRDefault="00840FF5" w:rsidP="00840FF5">
            <w:pPr>
              <w:pStyle w:val="PPVTableText"/>
            </w:pPr>
            <w:r w:rsidRPr="003059E9">
              <w:t>26/03/18</w:t>
            </w:r>
          </w:p>
        </w:tc>
        <w:tc>
          <w:tcPr>
            <w:tcW w:w="4253" w:type="dxa"/>
          </w:tcPr>
          <w:p w:rsidR="00374E11" w:rsidRDefault="00840FF5" w:rsidP="00840FF5">
            <w:pPr>
              <w:pStyle w:val="PPVTableText"/>
            </w:pPr>
            <w:r w:rsidRPr="003059E9">
              <w:t>Written submission</w:t>
            </w:r>
          </w:p>
          <w:p w:rsidR="00840FF5" w:rsidRPr="003059E9" w:rsidRDefault="00840FF5" w:rsidP="00840FF5">
            <w:pPr>
              <w:pStyle w:val="PPVTableText"/>
            </w:pPr>
            <w:r w:rsidRPr="003059E9">
              <w:t xml:space="preserve">OC 339 – 343 Plummer </w:t>
            </w:r>
            <w:r w:rsidR="001E7E50">
              <w:t>S</w:t>
            </w:r>
            <w:r w:rsidRPr="003059E9">
              <w:t>treet, Port Melbourne</w:t>
            </w:r>
          </w:p>
        </w:tc>
        <w:tc>
          <w:tcPr>
            <w:tcW w:w="3067" w:type="dxa"/>
          </w:tcPr>
          <w:p w:rsidR="00840FF5" w:rsidRPr="003059E9" w:rsidRDefault="00840FF5" w:rsidP="00840FF5">
            <w:pPr>
              <w:pStyle w:val="PPVTableText"/>
            </w:pPr>
            <w:r w:rsidRPr="003059E9">
              <w:t>Mr Moylan, Planning and Property Partners</w:t>
            </w:r>
          </w:p>
        </w:tc>
      </w:tr>
      <w:tr w:rsidR="00840FF5" w:rsidRPr="003059E9" w:rsidTr="00002386">
        <w:trPr>
          <w:cantSplit/>
        </w:trPr>
        <w:tc>
          <w:tcPr>
            <w:tcW w:w="720" w:type="dxa"/>
          </w:tcPr>
          <w:p w:rsidR="00840FF5" w:rsidRPr="003059E9" w:rsidRDefault="00840FF5" w:rsidP="00840FF5">
            <w:pPr>
              <w:pStyle w:val="PPVTableText"/>
            </w:pPr>
            <w:r w:rsidRPr="003059E9">
              <w:t>127</w:t>
            </w:r>
          </w:p>
        </w:tc>
        <w:tc>
          <w:tcPr>
            <w:tcW w:w="1231" w:type="dxa"/>
          </w:tcPr>
          <w:p w:rsidR="00840FF5" w:rsidRPr="003059E9" w:rsidRDefault="00840FF5" w:rsidP="00840FF5">
            <w:pPr>
              <w:pStyle w:val="PPVTableText"/>
            </w:pPr>
            <w:r w:rsidRPr="003059E9">
              <w:t>“</w:t>
            </w:r>
          </w:p>
        </w:tc>
        <w:tc>
          <w:tcPr>
            <w:tcW w:w="4253" w:type="dxa"/>
          </w:tcPr>
          <w:p w:rsidR="00374E11" w:rsidRDefault="00840FF5" w:rsidP="00840FF5">
            <w:pPr>
              <w:pStyle w:val="PPVTableText"/>
            </w:pPr>
            <w:r w:rsidRPr="003059E9">
              <w:t>PowerPoint</w:t>
            </w:r>
          </w:p>
          <w:p w:rsidR="00840FF5" w:rsidRPr="003059E9" w:rsidRDefault="00840FF5" w:rsidP="00840FF5">
            <w:pPr>
              <w:pStyle w:val="PPVTableText"/>
            </w:pPr>
            <w:r w:rsidRPr="003059E9">
              <w:t xml:space="preserve">OC 339 – 343 Plummer </w:t>
            </w:r>
            <w:r w:rsidR="001E7E50">
              <w:t>S</w:t>
            </w:r>
            <w:r w:rsidRPr="003059E9">
              <w:t>treet, Port Melbourne</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128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Written Submission</w:t>
            </w:r>
          </w:p>
        </w:tc>
        <w:tc>
          <w:tcPr>
            <w:tcW w:w="3067" w:type="dxa"/>
          </w:tcPr>
          <w:p w:rsidR="00840FF5" w:rsidRPr="003059E9" w:rsidRDefault="00840FF5" w:rsidP="00840FF5">
            <w:pPr>
              <w:pStyle w:val="PPVTableText"/>
            </w:pPr>
            <w:r w:rsidRPr="003059E9">
              <w:t xml:space="preserve">Mr Ashkanasy </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129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Plan of ownership in Lorimer Precinct</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130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Extracts of West Melbourne Structure Plan</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131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from Victoria’s 30 Year Infrastructure Strategy (2016) Infrastructure Victoria</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132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VCAT Caydon Cremorne No.1 Development Pty Ltd v Yarra CC P1969/2015</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133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Homes for People, City of Melbourne</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134</w:t>
            </w:r>
          </w:p>
        </w:tc>
        <w:tc>
          <w:tcPr>
            <w:tcW w:w="1231" w:type="dxa"/>
          </w:tcPr>
          <w:p w:rsidR="00840FF5" w:rsidRPr="003059E9" w:rsidRDefault="00840FF5" w:rsidP="00840FF5">
            <w:pPr>
              <w:pStyle w:val="PPVTableText"/>
            </w:pPr>
            <w:r w:rsidRPr="003059E9">
              <w:t>27/03/18</w:t>
            </w:r>
          </w:p>
        </w:tc>
        <w:tc>
          <w:tcPr>
            <w:tcW w:w="4253" w:type="dxa"/>
          </w:tcPr>
          <w:p w:rsidR="00840FF5" w:rsidRPr="003059E9" w:rsidRDefault="009274FB" w:rsidP="00840FF5">
            <w:pPr>
              <w:pStyle w:val="PPVTableText"/>
            </w:pPr>
            <w:r>
              <w:t xml:space="preserve">Written Submission </w:t>
            </w:r>
            <w:r w:rsidR="00840FF5" w:rsidRPr="003059E9">
              <w:t>Bellamia Nominees and DCLC Investment</w:t>
            </w:r>
          </w:p>
        </w:tc>
        <w:tc>
          <w:tcPr>
            <w:tcW w:w="3067" w:type="dxa"/>
          </w:tcPr>
          <w:p w:rsidR="00840FF5" w:rsidRPr="003059E9" w:rsidRDefault="00840FF5" w:rsidP="00840FF5">
            <w:pPr>
              <w:pStyle w:val="PPVTableText"/>
            </w:pPr>
            <w:r w:rsidRPr="003059E9">
              <w:t>Mr Pagliaro, Urbis</w:t>
            </w:r>
          </w:p>
        </w:tc>
      </w:tr>
      <w:tr w:rsidR="00840FF5" w:rsidRPr="003059E9" w:rsidTr="00002386">
        <w:trPr>
          <w:cantSplit/>
        </w:trPr>
        <w:tc>
          <w:tcPr>
            <w:tcW w:w="720" w:type="dxa"/>
          </w:tcPr>
          <w:p w:rsidR="00840FF5" w:rsidRPr="003059E9" w:rsidRDefault="00840FF5" w:rsidP="00840FF5">
            <w:pPr>
              <w:pStyle w:val="PPVTableText"/>
            </w:pPr>
            <w:r w:rsidRPr="003059E9">
              <w:t>135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Presentation Bellamia Nominees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136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relating to email sent on 15 March 2018</w:t>
            </w:r>
          </w:p>
        </w:tc>
        <w:tc>
          <w:tcPr>
            <w:tcW w:w="3067" w:type="dxa"/>
          </w:tcPr>
          <w:p w:rsidR="00840FF5" w:rsidRPr="003059E9" w:rsidRDefault="00840FF5" w:rsidP="00840FF5">
            <w:pPr>
              <w:pStyle w:val="PPVTableText"/>
            </w:pPr>
            <w:r w:rsidRPr="003059E9">
              <w:t>Mr Wren</w:t>
            </w:r>
          </w:p>
        </w:tc>
      </w:tr>
      <w:tr w:rsidR="00840FF5" w:rsidRPr="003059E9" w:rsidTr="00002386">
        <w:trPr>
          <w:cantSplit/>
        </w:trPr>
        <w:tc>
          <w:tcPr>
            <w:tcW w:w="720" w:type="dxa"/>
          </w:tcPr>
          <w:p w:rsidR="00840FF5" w:rsidRPr="003059E9" w:rsidRDefault="00840FF5" w:rsidP="00840FF5">
            <w:pPr>
              <w:pStyle w:val="PPVTableText"/>
            </w:pPr>
            <w:r w:rsidRPr="003059E9">
              <w:t>137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relating to email sent on 15 March 2018</w:t>
            </w:r>
          </w:p>
        </w:tc>
        <w:tc>
          <w:tcPr>
            <w:tcW w:w="3067" w:type="dxa"/>
          </w:tcPr>
          <w:p w:rsidR="00840FF5" w:rsidRPr="003059E9" w:rsidRDefault="00840FF5" w:rsidP="00840FF5">
            <w:pPr>
              <w:pStyle w:val="PPVTableText"/>
            </w:pPr>
            <w:r w:rsidRPr="003059E9">
              <w:t>Mr Canavan</w:t>
            </w:r>
          </w:p>
        </w:tc>
      </w:tr>
      <w:tr w:rsidR="00840FF5" w:rsidRPr="003059E9" w:rsidTr="00002386">
        <w:trPr>
          <w:cantSplit/>
        </w:trPr>
        <w:tc>
          <w:tcPr>
            <w:tcW w:w="720" w:type="dxa"/>
          </w:tcPr>
          <w:p w:rsidR="00840FF5" w:rsidRPr="003059E9" w:rsidRDefault="00840FF5" w:rsidP="00840FF5">
            <w:pPr>
              <w:pStyle w:val="PPVTableText"/>
            </w:pPr>
            <w:r w:rsidRPr="003059E9">
              <w:t>138 &amp; 138A</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Update to Document 99 adjusted for Ms Thompson recommendations</w:t>
            </w:r>
          </w:p>
          <w:p w:rsidR="00840FF5" w:rsidRPr="003059E9" w:rsidRDefault="00840FF5" w:rsidP="00840FF5">
            <w:pPr>
              <w:pStyle w:val="PPVTableText"/>
            </w:pPr>
            <w:r w:rsidRPr="003059E9">
              <w:t>accompanying plan</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139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presentation of Mr Fooks Evidence Statement</w:t>
            </w:r>
          </w:p>
        </w:tc>
        <w:tc>
          <w:tcPr>
            <w:tcW w:w="3067" w:type="dxa"/>
          </w:tcPr>
          <w:p w:rsidR="00840FF5" w:rsidRPr="003059E9" w:rsidRDefault="00840FF5" w:rsidP="00840FF5">
            <w:pPr>
              <w:pStyle w:val="PPVTableText"/>
            </w:pPr>
            <w:r w:rsidRPr="003059E9">
              <w:t>Mr Fooks, GTA Consultants</w:t>
            </w:r>
          </w:p>
        </w:tc>
      </w:tr>
      <w:tr w:rsidR="00840FF5" w:rsidRPr="003059E9" w:rsidTr="00002386">
        <w:trPr>
          <w:cantSplit/>
        </w:trPr>
        <w:tc>
          <w:tcPr>
            <w:tcW w:w="720" w:type="dxa"/>
          </w:tcPr>
          <w:p w:rsidR="00840FF5" w:rsidRPr="003059E9" w:rsidRDefault="00840FF5" w:rsidP="00840FF5">
            <w:pPr>
              <w:pStyle w:val="PPVTableText"/>
            </w:pPr>
            <w:r w:rsidRPr="003059E9">
              <w:t>140</w:t>
            </w:r>
          </w:p>
        </w:tc>
        <w:tc>
          <w:tcPr>
            <w:tcW w:w="1231" w:type="dxa"/>
          </w:tcPr>
          <w:p w:rsidR="00840FF5" w:rsidRPr="003059E9" w:rsidRDefault="00840FF5" w:rsidP="00840FF5">
            <w:pPr>
              <w:pStyle w:val="PPVTableText"/>
            </w:pPr>
            <w:r w:rsidRPr="003059E9">
              <w:t>26/3/18</w:t>
            </w:r>
          </w:p>
        </w:tc>
        <w:tc>
          <w:tcPr>
            <w:tcW w:w="4253" w:type="dxa"/>
          </w:tcPr>
          <w:p w:rsidR="00840FF5" w:rsidRPr="003059E9" w:rsidRDefault="00840FF5" w:rsidP="00840FF5">
            <w:pPr>
              <w:pStyle w:val="PPVTableText"/>
            </w:pPr>
            <w:r w:rsidRPr="003059E9">
              <w:t>Urban Design evidence – Mr McPherson</w:t>
            </w:r>
          </w:p>
        </w:tc>
        <w:tc>
          <w:tcPr>
            <w:tcW w:w="3067" w:type="dxa"/>
          </w:tcPr>
          <w:p w:rsidR="00840FF5" w:rsidRPr="003059E9" w:rsidRDefault="00840FF5" w:rsidP="00840FF5">
            <w:pPr>
              <w:pStyle w:val="PPVTableText"/>
            </w:pPr>
            <w:r w:rsidRPr="003059E9">
              <w:t>Ms Eastaugh, Maddocks</w:t>
            </w:r>
          </w:p>
        </w:tc>
      </w:tr>
      <w:tr w:rsidR="00840FF5" w:rsidRPr="003059E9" w:rsidTr="00002386">
        <w:trPr>
          <w:cantSplit/>
        </w:trPr>
        <w:tc>
          <w:tcPr>
            <w:tcW w:w="720" w:type="dxa"/>
          </w:tcPr>
          <w:p w:rsidR="00840FF5" w:rsidRPr="003059E9" w:rsidRDefault="00840FF5" w:rsidP="00840FF5">
            <w:pPr>
              <w:pStyle w:val="PPVTableText"/>
            </w:pPr>
            <w:r w:rsidRPr="003059E9">
              <w:t>141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Open space evidence – Mr de Keijzer</w:t>
            </w:r>
          </w:p>
        </w:tc>
        <w:tc>
          <w:tcPr>
            <w:tcW w:w="3067" w:type="dxa"/>
          </w:tcPr>
          <w:p w:rsidR="00840FF5" w:rsidRPr="003059E9" w:rsidRDefault="00840FF5" w:rsidP="00840FF5">
            <w:pPr>
              <w:pStyle w:val="PPVTableText"/>
            </w:pPr>
            <w:r w:rsidRPr="003059E9">
              <w:t>Ms Ryan, City of Melbourne</w:t>
            </w:r>
          </w:p>
        </w:tc>
      </w:tr>
      <w:tr w:rsidR="00840FF5" w:rsidRPr="003059E9" w:rsidTr="00002386">
        <w:trPr>
          <w:cantSplit/>
        </w:trPr>
        <w:tc>
          <w:tcPr>
            <w:tcW w:w="720" w:type="dxa"/>
          </w:tcPr>
          <w:p w:rsidR="00840FF5" w:rsidRPr="003059E9" w:rsidRDefault="00840FF5" w:rsidP="00840FF5">
            <w:pPr>
              <w:pStyle w:val="PPVTableText"/>
            </w:pPr>
            <w:r w:rsidRPr="003059E9">
              <w:t>142</w:t>
            </w:r>
          </w:p>
        </w:tc>
        <w:tc>
          <w:tcPr>
            <w:tcW w:w="1231" w:type="dxa"/>
          </w:tcPr>
          <w:p w:rsidR="00840FF5" w:rsidRPr="003059E9" w:rsidRDefault="00840FF5" w:rsidP="00840FF5">
            <w:pPr>
              <w:pStyle w:val="PPVTableText"/>
            </w:pPr>
            <w:r w:rsidRPr="003059E9">
              <w:t>28/3/18</w:t>
            </w:r>
          </w:p>
        </w:tc>
        <w:tc>
          <w:tcPr>
            <w:tcW w:w="4253" w:type="dxa"/>
          </w:tcPr>
          <w:p w:rsidR="00840FF5" w:rsidRPr="003059E9" w:rsidRDefault="00840FF5" w:rsidP="00840FF5">
            <w:pPr>
              <w:pStyle w:val="PPVTableText"/>
            </w:pPr>
            <w:r w:rsidRPr="003059E9">
              <w:t>Submission relating to email of 15 March 2018</w:t>
            </w:r>
          </w:p>
        </w:tc>
        <w:tc>
          <w:tcPr>
            <w:tcW w:w="3067" w:type="dxa"/>
          </w:tcPr>
          <w:p w:rsidR="00840FF5" w:rsidRPr="003059E9" w:rsidRDefault="00E5286E" w:rsidP="00840FF5">
            <w:pPr>
              <w:pStyle w:val="PPVTableText"/>
            </w:pPr>
            <w:r>
              <w:t>Counsel assisting</w:t>
            </w:r>
            <w:r w:rsidR="00840FF5" w:rsidRPr="003059E9">
              <w:t xml:space="preserve">, Counsel </w:t>
            </w:r>
            <w:r w:rsidR="00576336">
              <w:t>a</w:t>
            </w:r>
            <w:r w:rsidR="00840FF5" w:rsidRPr="003059E9">
              <w:t>ssisting</w:t>
            </w:r>
          </w:p>
        </w:tc>
      </w:tr>
      <w:tr w:rsidR="00840FF5" w:rsidRPr="003059E9" w:rsidTr="00002386">
        <w:trPr>
          <w:cantSplit/>
        </w:trPr>
        <w:tc>
          <w:tcPr>
            <w:tcW w:w="720" w:type="dxa"/>
          </w:tcPr>
          <w:p w:rsidR="00840FF5" w:rsidRPr="003059E9" w:rsidRDefault="00840FF5" w:rsidP="00840FF5">
            <w:pPr>
              <w:pStyle w:val="PPVTableText"/>
            </w:pPr>
            <w:r w:rsidRPr="003059E9">
              <w:t>143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Letter from Norton Rose Fulbright requesting information on existing permits and applications</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144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on extension of existing permits</w:t>
            </w:r>
          </w:p>
        </w:tc>
        <w:tc>
          <w:tcPr>
            <w:tcW w:w="3067" w:type="dxa"/>
          </w:tcPr>
          <w:p w:rsidR="00840FF5" w:rsidRPr="003059E9" w:rsidRDefault="00840FF5" w:rsidP="00840FF5">
            <w:pPr>
              <w:pStyle w:val="PPVTableText"/>
            </w:pPr>
            <w:r w:rsidRPr="003059E9">
              <w:t>Mr Wren</w:t>
            </w:r>
          </w:p>
        </w:tc>
      </w:tr>
      <w:tr w:rsidR="00840FF5" w:rsidRPr="003059E9" w:rsidTr="00002386">
        <w:trPr>
          <w:cantSplit/>
        </w:trPr>
        <w:tc>
          <w:tcPr>
            <w:tcW w:w="720" w:type="dxa"/>
          </w:tcPr>
          <w:p w:rsidR="00840FF5" w:rsidRPr="003059E9" w:rsidRDefault="00840FF5" w:rsidP="00840FF5">
            <w:pPr>
              <w:pStyle w:val="PPVTableText"/>
            </w:pPr>
            <w:r w:rsidRPr="003059E9">
              <w:t>145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Report from Phillip Boyle &amp; Associates </w:t>
            </w:r>
            <w:r w:rsidR="00492A43">
              <w:t xml:space="preserve">– </w:t>
            </w:r>
            <w:r w:rsidRPr="003059E9">
              <w:t xml:space="preserve">car share provision </w:t>
            </w:r>
          </w:p>
        </w:tc>
        <w:tc>
          <w:tcPr>
            <w:tcW w:w="3067" w:type="dxa"/>
          </w:tcPr>
          <w:p w:rsidR="00840FF5" w:rsidRPr="003059E9" w:rsidRDefault="00840FF5" w:rsidP="00840FF5">
            <w:pPr>
              <w:pStyle w:val="PPVTableText"/>
            </w:pPr>
            <w:r w:rsidRPr="003059E9">
              <w:t xml:space="preserve">Mr Montebello, Maddocks  </w:t>
            </w:r>
          </w:p>
        </w:tc>
      </w:tr>
      <w:tr w:rsidR="00840FF5" w:rsidRPr="003059E9" w:rsidTr="00002386">
        <w:trPr>
          <w:cantSplit/>
        </w:trPr>
        <w:tc>
          <w:tcPr>
            <w:tcW w:w="720" w:type="dxa"/>
          </w:tcPr>
          <w:p w:rsidR="00840FF5" w:rsidRPr="003059E9" w:rsidRDefault="00840FF5" w:rsidP="00840FF5">
            <w:pPr>
              <w:pStyle w:val="PPVTableText"/>
            </w:pPr>
            <w:r w:rsidRPr="003059E9">
              <w:t>146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PowerPoint presentation </w:t>
            </w:r>
          </w:p>
        </w:tc>
        <w:tc>
          <w:tcPr>
            <w:tcW w:w="3067" w:type="dxa"/>
          </w:tcPr>
          <w:p w:rsidR="00840FF5" w:rsidRPr="003059E9" w:rsidRDefault="00840FF5" w:rsidP="00840FF5">
            <w:pPr>
              <w:pStyle w:val="PPVTableText"/>
            </w:pPr>
            <w:r w:rsidRPr="003059E9">
              <w:t>Prof Bates, LAB Architecture Studio</w:t>
            </w:r>
          </w:p>
        </w:tc>
      </w:tr>
      <w:tr w:rsidR="00840FF5" w:rsidRPr="003059E9" w:rsidTr="00002386">
        <w:trPr>
          <w:cantSplit/>
        </w:trPr>
        <w:tc>
          <w:tcPr>
            <w:tcW w:w="720" w:type="dxa"/>
          </w:tcPr>
          <w:p w:rsidR="00840FF5" w:rsidRPr="003059E9" w:rsidRDefault="00840FF5" w:rsidP="00840FF5">
            <w:pPr>
              <w:pStyle w:val="PPVTableText"/>
            </w:pPr>
            <w:r w:rsidRPr="003059E9">
              <w:t>147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presentation</w:t>
            </w:r>
          </w:p>
        </w:tc>
        <w:tc>
          <w:tcPr>
            <w:tcW w:w="3067" w:type="dxa"/>
          </w:tcPr>
          <w:p w:rsidR="00840FF5" w:rsidRPr="003059E9" w:rsidRDefault="00840FF5" w:rsidP="00840FF5">
            <w:pPr>
              <w:pStyle w:val="PPVTableText"/>
            </w:pPr>
            <w:r w:rsidRPr="003059E9">
              <w:t>Mr Kiriakidis, GTA Consultants</w:t>
            </w:r>
          </w:p>
        </w:tc>
      </w:tr>
      <w:tr w:rsidR="00840FF5" w:rsidRPr="003059E9" w:rsidTr="00002386">
        <w:trPr>
          <w:cantSplit/>
        </w:trPr>
        <w:tc>
          <w:tcPr>
            <w:tcW w:w="720" w:type="dxa"/>
          </w:tcPr>
          <w:p w:rsidR="00840FF5" w:rsidRPr="003059E9" w:rsidRDefault="00840FF5" w:rsidP="00840FF5">
            <w:pPr>
              <w:pStyle w:val="PPVTableText"/>
            </w:pPr>
            <w:r w:rsidRPr="003059E9">
              <w:t>148</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Extract from second container</w:t>
            </w:r>
          </w:p>
          <w:p w:rsidR="00840FF5" w:rsidRPr="003059E9" w:rsidRDefault="00840FF5" w:rsidP="00840FF5">
            <w:pPr>
              <w:pStyle w:val="PPVTableText"/>
            </w:pPr>
            <w:r w:rsidRPr="003059E9">
              <w:t>Port Advice Evidence Base Fig</w:t>
            </w:r>
            <w:r w:rsidR="00A90D8B">
              <w:t>.</w:t>
            </w:r>
            <w:r w:rsidRPr="003059E9">
              <w:t xml:space="preserve"> 15</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149</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Extract from Charter Keck Cramer/GTA</w:t>
            </w:r>
          </w:p>
          <w:p w:rsidR="00840FF5" w:rsidRPr="003059E9" w:rsidRDefault="00840FF5" w:rsidP="00840FF5">
            <w:pPr>
              <w:pStyle w:val="PPVTableText"/>
            </w:pPr>
            <w:r w:rsidRPr="003059E9">
              <w:t xml:space="preserve">Precinct Car Parks Opportunities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150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A80B82" w:rsidP="00840FF5">
            <w:pPr>
              <w:pStyle w:val="PPVTableText"/>
            </w:pPr>
            <w:r>
              <w:t xml:space="preserve">Plan of subdivision – 874 – </w:t>
            </w:r>
            <w:r w:rsidR="00840FF5" w:rsidRPr="003059E9">
              <w:t>86 Lorimer and Aerial Photo</w:t>
            </w:r>
          </w:p>
        </w:tc>
        <w:tc>
          <w:tcPr>
            <w:tcW w:w="3067" w:type="dxa"/>
          </w:tcPr>
          <w:p w:rsidR="00840FF5" w:rsidRPr="003059E9" w:rsidRDefault="00840FF5" w:rsidP="00840FF5">
            <w:pPr>
              <w:pStyle w:val="PPVTableText"/>
            </w:pPr>
            <w:r w:rsidRPr="003059E9">
              <w:t xml:space="preserve">Mr Wren </w:t>
            </w:r>
          </w:p>
        </w:tc>
      </w:tr>
      <w:tr w:rsidR="00840FF5" w:rsidRPr="003059E9" w:rsidTr="00002386">
        <w:trPr>
          <w:cantSplit/>
        </w:trPr>
        <w:tc>
          <w:tcPr>
            <w:tcW w:w="720" w:type="dxa"/>
          </w:tcPr>
          <w:p w:rsidR="00840FF5" w:rsidRPr="003059E9" w:rsidRDefault="00840FF5" w:rsidP="00840FF5">
            <w:pPr>
              <w:pStyle w:val="PPVTableText"/>
            </w:pPr>
            <w:r w:rsidRPr="003059E9">
              <w:t>151</w:t>
            </w:r>
          </w:p>
        </w:tc>
        <w:tc>
          <w:tcPr>
            <w:tcW w:w="1231" w:type="dxa"/>
          </w:tcPr>
          <w:p w:rsidR="00840FF5" w:rsidRPr="003059E9" w:rsidRDefault="00840FF5" w:rsidP="00840FF5">
            <w:pPr>
              <w:pStyle w:val="PPVTableText"/>
            </w:pPr>
            <w:r w:rsidRPr="003059E9">
              <w:t>29/03/18</w:t>
            </w:r>
          </w:p>
        </w:tc>
        <w:tc>
          <w:tcPr>
            <w:tcW w:w="4253" w:type="dxa"/>
          </w:tcPr>
          <w:p w:rsidR="00840FF5" w:rsidRPr="003059E9" w:rsidRDefault="00840FF5" w:rsidP="00840FF5">
            <w:pPr>
              <w:pStyle w:val="PPVTableText"/>
            </w:pPr>
            <w:r w:rsidRPr="003059E9">
              <w:t xml:space="preserve">Supplementary submissions to the Minister’s Part B submissions, and Supplementary information notes </w:t>
            </w:r>
            <w:r w:rsidR="00027336">
              <w:t xml:space="preserve">(SIN </w:t>
            </w:r>
            <w:r w:rsidRPr="003059E9">
              <w:t>folder)</w:t>
            </w:r>
          </w:p>
        </w:tc>
        <w:tc>
          <w:tcPr>
            <w:tcW w:w="3067" w:type="dxa"/>
          </w:tcPr>
          <w:p w:rsidR="00840FF5" w:rsidRPr="003059E9" w:rsidRDefault="00840FF5" w:rsidP="00840FF5">
            <w:pPr>
              <w:pStyle w:val="PPVTableText"/>
            </w:pPr>
            <w:r w:rsidRPr="003059E9">
              <w:t xml:space="preserve">Ms Brennan </w:t>
            </w:r>
          </w:p>
        </w:tc>
      </w:tr>
      <w:tr w:rsidR="00840FF5" w:rsidRPr="003059E9" w:rsidTr="00002386">
        <w:trPr>
          <w:cantSplit/>
        </w:trPr>
        <w:tc>
          <w:tcPr>
            <w:tcW w:w="720" w:type="dxa"/>
          </w:tcPr>
          <w:p w:rsidR="00840FF5" w:rsidRPr="003059E9" w:rsidRDefault="00840FF5" w:rsidP="00840FF5">
            <w:pPr>
              <w:pStyle w:val="PPVTableText"/>
            </w:pPr>
            <w:r w:rsidRPr="003059E9">
              <w:t>152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9274FB" w:rsidP="00840FF5">
            <w:pPr>
              <w:pStyle w:val="PPVTableText"/>
            </w:pPr>
            <w:r>
              <w:t>Lorimer Street Principle Bicycle Network</w:t>
            </w:r>
            <w:r w:rsidR="00840FF5" w:rsidRPr="003059E9">
              <w:t xml:space="preserve"> route plans</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153</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Extract from Jacobs report</w:t>
            </w:r>
          </w:p>
          <w:p w:rsidR="00840FF5" w:rsidRPr="003059E9" w:rsidRDefault="00222978" w:rsidP="00840FF5">
            <w:pPr>
              <w:pStyle w:val="PPVTableText"/>
            </w:pPr>
            <w:r>
              <w:t>Fishermans Bend</w:t>
            </w:r>
            <w:r w:rsidR="00840FF5" w:rsidRPr="003059E9">
              <w:t xml:space="preserve"> Freight Corridor Advisory Services, Sept 2016</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154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Addenda 5 to evidence statement of Ms Hodyl</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155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Opinion of Mr Batt QC and Ms Foley re </w:t>
            </w:r>
            <w:r w:rsidR="00576336">
              <w:t>d</w:t>
            </w:r>
            <w:r w:rsidRPr="003059E9">
              <w:t>raft Amendment GC81</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 xml:space="preserve">156 </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Minister for Planning Part B changes and CCZ Schedules</w:t>
            </w:r>
          </w:p>
          <w:p w:rsidR="00840FF5" w:rsidRPr="003059E9" w:rsidRDefault="00840FF5" w:rsidP="00840FF5">
            <w:pPr>
              <w:pStyle w:val="PPVTableText"/>
            </w:pPr>
            <w:r w:rsidRPr="003059E9">
              <w:t xml:space="preserve">Minister for Planning revised maps for CCZ, DDO and MSS </w:t>
            </w:r>
            <w:r w:rsidR="00492A43">
              <w:t>–</w:t>
            </w:r>
            <w:r w:rsidRPr="003059E9">
              <w:t xml:space="preserve"> 290318</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157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Letter from Mr Mackintosh </w:t>
            </w:r>
            <w:r w:rsidR="00492A43">
              <w:t>–</w:t>
            </w:r>
            <w:r w:rsidRPr="003059E9">
              <w:t xml:space="preserve"> response to Panel request for further info</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158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Letter from Mr Szafraniec </w:t>
            </w:r>
            <w:r w:rsidR="00492A43">
              <w:t>–</w:t>
            </w:r>
            <w:r w:rsidRPr="003059E9">
              <w:t xml:space="preserve"> response to Panel request for further info</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159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Modelling images of permits granted and permits applications in Montague, Sandridge and Wirraway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160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Request for ruling </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161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Evidence Statement of Mr Turnbull on traffic (s147)</w:t>
            </w:r>
          </w:p>
        </w:tc>
        <w:tc>
          <w:tcPr>
            <w:tcW w:w="3067" w:type="dxa"/>
          </w:tcPr>
          <w:p w:rsidR="00840FF5" w:rsidRPr="003059E9" w:rsidRDefault="00840FF5" w:rsidP="00840FF5">
            <w:pPr>
              <w:pStyle w:val="PPVTableText"/>
            </w:pPr>
            <w:r w:rsidRPr="003059E9">
              <w:t xml:space="preserve">Mr Katz, Cornwall Stodart </w:t>
            </w:r>
          </w:p>
        </w:tc>
      </w:tr>
      <w:tr w:rsidR="00840FF5" w:rsidRPr="003059E9" w:rsidTr="00002386">
        <w:trPr>
          <w:cantSplit/>
        </w:trPr>
        <w:tc>
          <w:tcPr>
            <w:tcW w:w="720" w:type="dxa"/>
          </w:tcPr>
          <w:p w:rsidR="00840FF5" w:rsidRPr="003059E9" w:rsidRDefault="00840FF5" w:rsidP="00840FF5">
            <w:pPr>
              <w:pStyle w:val="PPVTableText"/>
            </w:pPr>
            <w:r w:rsidRPr="003059E9">
              <w:t>162</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Tabling letter</w:t>
            </w:r>
          </w:p>
          <w:p w:rsidR="00840FF5" w:rsidRDefault="00840FF5" w:rsidP="00840FF5">
            <w:pPr>
              <w:pStyle w:val="PPVTableText"/>
            </w:pPr>
            <w:r w:rsidRPr="003059E9">
              <w:t>Evidence Statement of Mr Rogers on planning (s220)</w:t>
            </w:r>
          </w:p>
          <w:p w:rsidR="00840FF5" w:rsidRPr="003059E9" w:rsidRDefault="00840FF5" w:rsidP="00840FF5">
            <w:pPr>
              <w:pStyle w:val="PPVTableText"/>
            </w:pPr>
            <w:r w:rsidRPr="003059E9">
              <w:t>Evidence Statement of Ms Dunstan on traffic (s220)</w:t>
            </w:r>
          </w:p>
        </w:tc>
        <w:tc>
          <w:tcPr>
            <w:tcW w:w="3067" w:type="dxa"/>
          </w:tcPr>
          <w:p w:rsidR="00840FF5" w:rsidRPr="003059E9" w:rsidRDefault="00840FF5" w:rsidP="00840FF5">
            <w:pPr>
              <w:pStyle w:val="PPVTableText"/>
            </w:pPr>
            <w:r w:rsidRPr="003059E9">
              <w:t xml:space="preserve">Mr Wiseman, Clayton Utz </w:t>
            </w:r>
          </w:p>
        </w:tc>
      </w:tr>
      <w:tr w:rsidR="00840FF5" w:rsidRPr="003059E9" w:rsidTr="00002386">
        <w:trPr>
          <w:cantSplit/>
        </w:trPr>
        <w:tc>
          <w:tcPr>
            <w:tcW w:w="720" w:type="dxa"/>
          </w:tcPr>
          <w:p w:rsidR="00840FF5" w:rsidRPr="003059E9" w:rsidRDefault="00840FF5" w:rsidP="00840FF5">
            <w:pPr>
              <w:pStyle w:val="PPVTableText"/>
            </w:pPr>
            <w:r w:rsidRPr="003059E9">
              <w:t>163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regarding late circulation of evidence</w:t>
            </w:r>
          </w:p>
        </w:tc>
        <w:tc>
          <w:tcPr>
            <w:tcW w:w="3067" w:type="dxa"/>
          </w:tcPr>
          <w:p w:rsidR="00840FF5" w:rsidRPr="003059E9" w:rsidRDefault="00840FF5" w:rsidP="00840FF5">
            <w:pPr>
              <w:pStyle w:val="PPVTableText"/>
            </w:pPr>
            <w:r w:rsidRPr="003059E9">
              <w:t xml:space="preserve">Mr Ponte, Ponte Lawyers </w:t>
            </w:r>
          </w:p>
        </w:tc>
      </w:tr>
      <w:tr w:rsidR="00840FF5" w:rsidRPr="003059E9" w:rsidTr="00002386">
        <w:trPr>
          <w:cantSplit/>
        </w:trPr>
        <w:tc>
          <w:tcPr>
            <w:tcW w:w="720" w:type="dxa"/>
          </w:tcPr>
          <w:p w:rsidR="00840FF5" w:rsidRPr="003059E9" w:rsidRDefault="00840FF5" w:rsidP="00840FF5">
            <w:pPr>
              <w:pStyle w:val="PPVTableText"/>
            </w:pPr>
            <w:r w:rsidRPr="003059E9">
              <w:t>164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regarding late circulation of evidence</w:t>
            </w:r>
          </w:p>
        </w:tc>
        <w:tc>
          <w:tcPr>
            <w:tcW w:w="3067" w:type="dxa"/>
          </w:tcPr>
          <w:p w:rsidR="00840FF5" w:rsidRPr="003059E9" w:rsidRDefault="00840FF5" w:rsidP="00840FF5">
            <w:pPr>
              <w:pStyle w:val="PPVTableText"/>
            </w:pPr>
            <w:r w:rsidRPr="003059E9">
              <w:t xml:space="preserve">Mr Passarella, Mills Oakley </w:t>
            </w:r>
          </w:p>
        </w:tc>
      </w:tr>
      <w:tr w:rsidR="00840FF5" w:rsidRPr="003059E9" w:rsidTr="00002386">
        <w:trPr>
          <w:cantSplit/>
        </w:trPr>
        <w:tc>
          <w:tcPr>
            <w:tcW w:w="720" w:type="dxa"/>
          </w:tcPr>
          <w:p w:rsidR="00840FF5" w:rsidRPr="003059E9" w:rsidRDefault="00840FF5" w:rsidP="00840FF5">
            <w:pPr>
              <w:pStyle w:val="PPVTableText"/>
            </w:pPr>
            <w:r w:rsidRPr="003059E9">
              <w:t>165</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Tabling Letter</w:t>
            </w:r>
          </w:p>
          <w:p w:rsidR="00840FF5" w:rsidRDefault="00840FF5" w:rsidP="00840FF5">
            <w:pPr>
              <w:pStyle w:val="PPVTableText"/>
            </w:pPr>
            <w:r w:rsidRPr="003059E9">
              <w:t>Mr Sheppard evidence statement on urban design (relied upon by Planning and Property Partners and Russell Kennedy</w:t>
            </w:r>
            <w:r w:rsidR="00320E3C">
              <w:t>)</w:t>
            </w:r>
          </w:p>
          <w:p w:rsidR="00840FF5" w:rsidRDefault="00840FF5" w:rsidP="00840FF5">
            <w:pPr>
              <w:pStyle w:val="PPVTableText"/>
            </w:pPr>
            <w:r w:rsidRPr="003059E9">
              <w:t>Mr Shimmin evidence statement on economics</w:t>
            </w:r>
          </w:p>
          <w:p w:rsidR="00840FF5" w:rsidRDefault="00840FF5" w:rsidP="00840FF5">
            <w:pPr>
              <w:pStyle w:val="PPVTableText"/>
            </w:pPr>
            <w:r w:rsidRPr="003059E9">
              <w:t>Ms Dunstan evidence statement on traffic</w:t>
            </w:r>
          </w:p>
          <w:p w:rsidR="00840FF5" w:rsidRPr="003059E9" w:rsidRDefault="00840FF5" w:rsidP="00840FF5">
            <w:pPr>
              <w:pStyle w:val="PPVTableText"/>
            </w:pPr>
            <w:r w:rsidRPr="003059E9">
              <w:t>Mr Biacsi evidence statement on planning</w:t>
            </w:r>
          </w:p>
        </w:tc>
        <w:tc>
          <w:tcPr>
            <w:tcW w:w="3067" w:type="dxa"/>
          </w:tcPr>
          <w:p w:rsidR="00840FF5" w:rsidRPr="003059E9" w:rsidRDefault="00840FF5" w:rsidP="00840FF5">
            <w:pPr>
              <w:pStyle w:val="PPVTableText"/>
            </w:pPr>
            <w:r w:rsidRPr="003059E9">
              <w:t xml:space="preserve">Ms Choi, Norton Rose Fulbright </w:t>
            </w:r>
          </w:p>
        </w:tc>
      </w:tr>
      <w:tr w:rsidR="00840FF5" w:rsidRPr="003059E9" w:rsidTr="00002386">
        <w:trPr>
          <w:cantSplit/>
        </w:trPr>
        <w:tc>
          <w:tcPr>
            <w:tcW w:w="720" w:type="dxa"/>
          </w:tcPr>
          <w:p w:rsidR="00840FF5" w:rsidRPr="003059E9" w:rsidRDefault="00840FF5" w:rsidP="00840FF5">
            <w:pPr>
              <w:pStyle w:val="PPVTableText"/>
            </w:pPr>
            <w:r w:rsidRPr="003059E9">
              <w:t>166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tabling urban design evidence</w:t>
            </w:r>
          </w:p>
        </w:tc>
        <w:tc>
          <w:tcPr>
            <w:tcW w:w="3067" w:type="dxa"/>
          </w:tcPr>
          <w:p w:rsidR="00840FF5" w:rsidRPr="003059E9" w:rsidRDefault="00840FF5" w:rsidP="00840FF5">
            <w:pPr>
              <w:pStyle w:val="PPVTableText"/>
            </w:pPr>
            <w:r w:rsidRPr="003059E9">
              <w:t xml:space="preserve">Mr Moylan, Planning and Property Partners </w:t>
            </w:r>
          </w:p>
        </w:tc>
      </w:tr>
      <w:tr w:rsidR="00840FF5" w:rsidRPr="003059E9" w:rsidTr="00002386">
        <w:trPr>
          <w:cantSplit/>
        </w:trPr>
        <w:tc>
          <w:tcPr>
            <w:tcW w:w="720" w:type="dxa"/>
          </w:tcPr>
          <w:p w:rsidR="00840FF5" w:rsidRPr="003059E9" w:rsidRDefault="00840FF5" w:rsidP="00840FF5">
            <w:pPr>
              <w:pStyle w:val="PPVTableText"/>
            </w:pPr>
            <w:r w:rsidRPr="003059E9">
              <w:t>167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regarding late circulation of evidence</w:t>
            </w:r>
          </w:p>
        </w:tc>
        <w:tc>
          <w:tcPr>
            <w:tcW w:w="3067" w:type="dxa"/>
          </w:tcPr>
          <w:p w:rsidR="00840FF5" w:rsidRPr="003059E9" w:rsidRDefault="00840FF5" w:rsidP="00840FF5">
            <w:pPr>
              <w:pStyle w:val="PPVTableText"/>
            </w:pPr>
            <w:r w:rsidRPr="003059E9">
              <w:t>Ms Anderson, Rigby Cooke Lawyers</w:t>
            </w:r>
          </w:p>
        </w:tc>
      </w:tr>
      <w:tr w:rsidR="00840FF5" w:rsidRPr="003059E9" w:rsidTr="00002386">
        <w:trPr>
          <w:cantSplit/>
        </w:trPr>
        <w:tc>
          <w:tcPr>
            <w:tcW w:w="720" w:type="dxa"/>
          </w:tcPr>
          <w:p w:rsidR="00840FF5" w:rsidRPr="003059E9" w:rsidRDefault="00840FF5" w:rsidP="00840FF5">
            <w:pPr>
              <w:pStyle w:val="PPVTableText"/>
            </w:pPr>
            <w:r w:rsidRPr="003059E9">
              <w:t>168</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Tabling letter</w:t>
            </w:r>
          </w:p>
          <w:p w:rsidR="00840FF5" w:rsidRPr="003059E9" w:rsidRDefault="00840FF5" w:rsidP="00840FF5">
            <w:pPr>
              <w:pStyle w:val="PPVTableText"/>
            </w:pPr>
            <w:r w:rsidRPr="003059E9">
              <w:t>Dr Eaddy evidence statement</w:t>
            </w:r>
          </w:p>
        </w:tc>
        <w:tc>
          <w:tcPr>
            <w:tcW w:w="3067" w:type="dxa"/>
          </w:tcPr>
          <w:p w:rsidR="00840FF5" w:rsidRPr="003059E9" w:rsidRDefault="00840FF5" w:rsidP="00840FF5">
            <w:pPr>
              <w:pStyle w:val="PPVTableText"/>
            </w:pPr>
            <w:r w:rsidRPr="003059E9">
              <w:t>Ms Colsell, Russell Kennedy</w:t>
            </w:r>
          </w:p>
        </w:tc>
      </w:tr>
      <w:tr w:rsidR="00840FF5" w:rsidRPr="003059E9" w:rsidTr="00002386">
        <w:trPr>
          <w:cantSplit/>
        </w:trPr>
        <w:tc>
          <w:tcPr>
            <w:tcW w:w="720" w:type="dxa"/>
          </w:tcPr>
          <w:p w:rsidR="00840FF5" w:rsidRPr="003059E9" w:rsidRDefault="00840FF5" w:rsidP="00840FF5">
            <w:pPr>
              <w:pStyle w:val="PPVTableText"/>
            </w:pPr>
            <w:r w:rsidRPr="003059E9">
              <w:t>169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Further Submission – response to matters taken on notice</w:t>
            </w:r>
          </w:p>
        </w:tc>
        <w:tc>
          <w:tcPr>
            <w:tcW w:w="3067" w:type="dxa"/>
          </w:tcPr>
          <w:p w:rsidR="00840FF5" w:rsidRPr="003059E9" w:rsidRDefault="00840FF5" w:rsidP="00840FF5">
            <w:pPr>
              <w:pStyle w:val="PPVTableText"/>
            </w:pPr>
            <w:r w:rsidRPr="003059E9">
              <w:t>Ms White, Architects Institute of Australia</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170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Further Submission </w:t>
            </w:r>
          </w:p>
        </w:tc>
        <w:tc>
          <w:tcPr>
            <w:tcW w:w="3067" w:type="dxa"/>
          </w:tcPr>
          <w:p w:rsidR="00840FF5" w:rsidRPr="003059E9" w:rsidRDefault="00840FF5" w:rsidP="00840FF5">
            <w:pPr>
              <w:pStyle w:val="PPVTableText"/>
            </w:pPr>
            <w:r w:rsidRPr="003059E9">
              <w:t>Ms Qian, Green Building Council</w:t>
            </w:r>
          </w:p>
        </w:tc>
      </w:tr>
      <w:tr w:rsidR="00840FF5" w:rsidRPr="003059E9" w:rsidTr="00002386">
        <w:trPr>
          <w:cantSplit/>
        </w:trPr>
        <w:tc>
          <w:tcPr>
            <w:tcW w:w="720" w:type="dxa"/>
          </w:tcPr>
          <w:p w:rsidR="00840FF5" w:rsidRPr="003059E9" w:rsidRDefault="00840FF5" w:rsidP="00840FF5">
            <w:pPr>
              <w:pStyle w:val="PPVTableText"/>
            </w:pPr>
            <w:r w:rsidRPr="003059E9">
              <w:t>171</w:t>
            </w:r>
          </w:p>
        </w:tc>
        <w:tc>
          <w:tcPr>
            <w:tcW w:w="1231" w:type="dxa"/>
          </w:tcPr>
          <w:p w:rsidR="00840FF5" w:rsidRPr="003059E9" w:rsidRDefault="00840FF5" w:rsidP="00840FF5">
            <w:pPr>
              <w:pStyle w:val="PPVTableText"/>
            </w:pPr>
            <w:r w:rsidRPr="003059E9">
              <w:t>04/04/18</w:t>
            </w:r>
          </w:p>
        </w:tc>
        <w:tc>
          <w:tcPr>
            <w:tcW w:w="4253" w:type="dxa"/>
          </w:tcPr>
          <w:p w:rsidR="00840FF5" w:rsidRPr="003059E9" w:rsidRDefault="00840FF5" w:rsidP="00840FF5">
            <w:pPr>
              <w:pStyle w:val="PPVTableText"/>
            </w:pPr>
            <w:r w:rsidRPr="003059E9">
              <w:t>Correspondence – re request for ruling</w:t>
            </w:r>
          </w:p>
        </w:tc>
        <w:tc>
          <w:tcPr>
            <w:tcW w:w="3067" w:type="dxa"/>
          </w:tcPr>
          <w:p w:rsidR="00840FF5" w:rsidRPr="003059E9" w:rsidRDefault="00840FF5" w:rsidP="00840FF5">
            <w:pPr>
              <w:pStyle w:val="PPVTableText"/>
            </w:pPr>
            <w:r w:rsidRPr="003059E9">
              <w:t xml:space="preserve">Ms Morris, Harwood Andrews </w:t>
            </w:r>
          </w:p>
        </w:tc>
      </w:tr>
      <w:tr w:rsidR="00840FF5" w:rsidRPr="003059E9" w:rsidTr="00002386">
        <w:trPr>
          <w:cantSplit/>
        </w:trPr>
        <w:tc>
          <w:tcPr>
            <w:tcW w:w="720" w:type="dxa"/>
          </w:tcPr>
          <w:p w:rsidR="00840FF5" w:rsidRPr="003059E9" w:rsidRDefault="00840FF5" w:rsidP="00840FF5">
            <w:pPr>
              <w:pStyle w:val="PPVTableText"/>
            </w:pPr>
            <w:r w:rsidRPr="003059E9">
              <w:t>172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Letter and extracts of Port Phillip Planning Committee Minutes of 28 March 2018</w:t>
            </w:r>
          </w:p>
        </w:tc>
        <w:tc>
          <w:tcPr>
            <w:tcW w:w="3067" w:type="dxa"/>
          </w:tcPr>
          <w:p w:rsidR="00840FF5" w:rsidRPr="003059E9" w:rsidRDefault="00840FF5" w:rsidP="00840FF5">
            <w:pPr>
              <w:pStyle w:val="PPVTableText"/>
            </w:pPr>
            <w:r w:rsidRPr="003059E9">
              <w:t xml:space="preserve">Ms Eastaugh, Maddocks </w:t>
            </w:r>
          </w:p>
        </w:tc>
      </w:tr>
      <w:tr w:rsidR="00840FF5" w:rsidRPr="003059E9" w:rsidTr="00002386">
        <w:trPr>
          <w:cantSplit/>
        </w:trPr>
        <w:tc>
          <w:tcPr>
            <w:tcW w:w="720" w:type="dxa"/>
          </w:tcPr>
          <w:p w:rsidR="00840FF5" w:rsidRPr="003059E9" w:rsidRDefault="00840FF5" w:rsidP="00840FF5">
            <w:pPr>
              <w:pStyle w:val="PPVTableText"/>
            </w:pPr>
            <w:r w:rsidRPr="003059E9">
              <w:t>173</w:t>
            </w:r>
          </w:p>
        </w:tc>
        <w:tc>
          <w:tcPr>
            <w:tcW w:w="1231" w:type="dxa"/>
          </w:tcPr>
          <w:p w:rsidR="00840FF5" w:rsidRPr="003059E9" w:rsidRDefault="00840FF5" w:rsidP="00840FF5">
            <w:pPr>
              <w:pStyle w:val="PPVTableText"/>
            </w:pPr>
            <w:r w:rsidRPr="003059E9">
              <w:t>05/04/18</w:t>
            </w:r>
          </w:p>
        </w:tc>
        <w:tc>
          <w:tcPr>
            <w:tcW w:w="4253" w:type="dxa"/>
          </w:tcPr>
          <w:p w:rsidR="00840FF5" w:rsidRDefault="00840FF5" w:rsidP="00840FF5">
            <w:pPr>
              <w:pStyle w:val="PPVTableText"/>
            </w:pPr>
            <w:r w:rsidRPr="003059E9">
              <w:t>Tabling letter</w:t>
            </w:r>
          </w:p>
          <w:p w:rsidR="00840FF5" w:rsidRPr="003059E9" w:rsidRDefault="00840FF5" w:rsidP="00840FF5">
            <w:pPr>
              <w:pStyle w:val="PPVTableText"/>
            </w:pPr>
            <w:r w:rsidRPr="003059E9">
              <w:t>Mr Negri evidence statement</w:t>
            </w:r>
          </w:p>
        </w:tc>
        <w:tc>
          <w:tcPr>
            <w:tcW w:w="3067" w:type="dxa"/>
          </w:tcPr>
          <w:p w:rsidR="00840FF5" w:rsidRPr="003059E9" w:rsidRDefault="00840FF5" w:rsidP="00840FF5">
            <w:pPr>
              <w:pStyle w:val="PPVTableText"/>
            </w:pPr>
            <w:r w:rsidRPr="003059E9">
              <w:t>Mr Memmolo, Ponte Lawyers</w:t>
            </w:r>
          </w:p>
        </w:tc>
      </w:tr>
      <w:tr w:rsidR="00840FF5" w:rsidRPr="003059E9" w:rsidTr="00002386">
        <w:trPr>
          <w:cantSplit/>
        </w:trPr>
        <w:tc>
          <w:tcPr>
            <w:tcW w:w="720" w:type="dxa"/>
          </w:tcPr>
          <w:p w:rsidR="00840FF5" w:rsidRPr="003059E9" w:rsidRDefault="00840FF5" w:rsidP="00840FF5">
            <w:pPr>
              <w:pStyle w:val="PPVTableText"/>
            </w:pPr>
            <w:r w:rsidRPr="003059E9">
              <w:t>174</w:t>
            </w:r>
          </w:p>
        </w:tc>
        <w:tc>
          <w:tcPr>
            <w:tcW w:w="1231" w:type="dxa"/>
          </w:tcPr>
          <w:p w:rsidR="00840FF5" w:rsidRPr="003059E9" w:rsidRDefault="00840FF5" w:rsidP="00840FF5">
            <w:pPr>
              <w:pStyle w:val="PPVTableText"/>
            </w:pPr>
            <w:r w:rsidRPr="003059E9">
              <w:t>06/04/18</w:t>
            </w:r>
          </w:p>
        </w:tc>
        <w:tc>
          <w:tcPr>
            <w:tcW w:w="4253" w:type="dxa"/>
          </w:tcPr>
          <w:p w:rsidR="00840FF5" w:rsidRPr="003059E9" w:rsidRDefault="00840FF5" w:rsidP="00840FF5">
            <w:pPr>
              <w:pStyle w:val="PPVTableText"/>
            </w:pPr>
            <w:r w:rsidRPr="003059E9">
              <w:t>Revised Timetable (Version 3)</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175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Evidence Statement Mr Barnes</w:t>
            </w:r>
          </w:p>
        </w:tc>
        <w:tc>
          <w:tcPr>
            <w:tcW w:w="3067" w:type="dxa"/>
          </w:tcPr>
          <w:p w:rsidR="00840FF5" w:rsidRPr="003059E9" w:rsidRDefault="00840FF5" w:rsidP="00840FF5">
            <w:pPr>
              <w:pStyle w:val="PPVTableText"/>
            </w:pPr>
            <w:r w:rsidRPr="003059E9">
              <w:t xml:space="preserve">Mr Upton, Cornwall Stodart </w:t>
            </w:r>
          </w:p>
        </w:tc>
      </w:tr>
      <w:tr w:rsidR="00840FF5" w:rsidRPr="003059E9" w:rsidTr="00002386">
        <w:trPr>
          <w:cantSplit/>
        </w:trPr>
        <w:tc>
          <w:tcPr>
            <w:tcW w:w="720" w:type="dxa"/>
          </w:tcPr>
          <w:p w:rsidR="00840FF5" w:rsidRPr="003059E9" w:rsidRDefault="00840FF5" w:rsidP="00840FF5">
            <w:pPr>
              <w:pStyle w:val="PPVTableText"/>
            </w:pPr>
            <w:r w:rsidRPr="003059E9">
              <w:t>176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regarding late circulation of evidence</w:t>
            </w:r>
          </w:p>
        </w:tc>
        <w:tc>
          <w:tcPr>
            <w:tcW w:w="3067" w:type="dxa"/>
          </w:tcPr>
          <w:p w:rsidR="00840FF5" w:rsidRPr="003059E9" w:rsidRDefault="00840FF5" w:rsidP="00840FF5">
            <w:pPr>
              <w:pStyle w:val="PPVTableText"/>
            </w:pPr>
            <w:r w:rsidRPr="003059E9">
              <w:t>Mr Passarella, Mills Oakley</w:t>
            </w:r>
          </w:p>
        </w:tc>
      </w:tr>
      <w:tr w:rsidR="00840FF5" w:rsidRPr="003059E9" w:rsidTr="00002386">
        <w:trPr>
          <w:cantSplit/>
        </w:trPr>
        <w:tc>
          <w:tcPr>
            <w:tcW w:w="720" w:type="dxa"/>
          </w:tcPr>
          <w:p w:rsidR="00840FF5" w:rsidRPr="003059E9" w:rsidRDefault="00840FF5" w:rsidP="00840FF5">
            <w:pPr>
              <w:pStyle w:val="PPVTableText"/>
            </w:pPr>
            <w:r w:rsidRPr="003059E9">
              <w:t>177</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Tabling letter</w:t>
            </w:r>
          </w:p>
          <w:p w:rsidR="00840FF5" w:rsidRDefault="00840FF5" w:rsidP="00840FF5">
            <w:pPr>
              <w:pStyle w:val="PPVTableText"/>
            </w:pPr>
            <w:r w:rsidRPr="003059E9">
              <w:t>Evidence of Mr Sheppard on Wirraway</w:t>
            </w:r>
          </w:p>
          <w:p w:rsidR="00840FF5" w:rsidRDefault="00840FF5" w:rsidP="00840FF5">
            <w:pPr>
              <w:pStyle w:val="PPVTableText"/>
            </w:pPr>
            <w:r w:rsidRPr="003059E9">
              <w:t>Evidence of Mr Sheppard on Lorimer</w:t>
            </w:r>
          </w:p>
          <w:p w:rsidR="00840FF5" w:rsidRDefault="00840FF5" w:rsidP="00840FF5">
            <w:pPr>
              <w:pStyle w:val="PPVTableText"/>
            </w:pPr>
            <w:r w:rsidRPr="003059E9">
              <w:t>Evidence of Mr Sheppard on Sandridge</w:t>
            </w:r>
          </w:p>
          <w:p w:rsidR="00840FF5" w:rsidRDefault="00840FF5" w:rsidP="00840FF5">
            <w:pPr>
              <w:pStyle w:val="PPVTableText"/>
            </w:pPr>
            <w:r w:rsidRPr="003059E9">
              <w:t>Evidence of Mr Sheppard on Montague</w:t>
            </w:r>
          </w:p>
          <w:p w:rsidR="00840FF5" w:rsidRDefault="00840FF5" w:rsidP="00840FF5">
            <w:pPr>
              <w:pStyle w:val="PPVTableText"/>
            </w:pPr>
            <w:r w:rsidRPr="003059E9">
              <w:t>Evidence of Mr McGurn</w:t>
            </w:r>
          </w:p>
          <w:p w:rsidR="00840FF5" w:rsidRDefault="00840FF5" w:rsidP="00840FF5">
            <w:pPr>
              <w:pStyle w:val="PPVTableText"/>
            </w:pPr>
            <w:r w:rsidRPr="003059E9">
              <w:t>Evidence of Ms Dunstan</w:t>
            </w:r>
          </w:p>
          <w:p w:rsidR="00840FF5" w:rsidRDefault="00840FF5" w:rsidP="00840FF5">
            <w:pPr>
              <w:pStyle w:val="PPVTableText"/>
            </w:pPr>
            <w:r w:rsidRPr="003059E9">
              <w:t>Evidence of Ms Heggen for Citipower</w:t>
            </w:r>
          </w:p>
          <w:p w:rsidR="00840FF5" w:rsidRPr="003059E9" w:rsidRDefault="00840FF5" w:rsidP="00840FF5">
            <w:pPr>
              <w:pStyle w:val="PPVTableText"/>
            </w:pPr>
            <w:r w:rsidRPr="003059E9">
              <w:t>Evidence of Ms Heggen for Goodman</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178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Tabling letter of Mr Sheppard’s evidence</w:t>
            </w:r>
          </w:p>
        </w:tc>
        <w:tc>
          <w:tcPr>
            <w:tcW w:w="3067" w:type="dxa"/>
          </w:tcPr>
          <w:p w:rsidR="00840FF5" w:rsidRPr="003059E9" w:rsidRDefault="00840FF5" w:rsidP="00840FF5">
            <w:pPr>
              <w:pStyle w:val="PPVTableText"/>
            </w:pPr>
            <w:r w:rsidRPr="003059E9">
              <w:t>Mr Moylan, Planning and Property Partners</w:t>
            </w:r>
          </w:p>
        </w:tc>
      </w:tr>
      <w:tr w:rsidR="00840FF5" w:rsidRPr="003059E9" w:rsidTr="00002386">
        <w:trPr>
          <w:cantSplit/>
        </w:trPr>
        <w:tc>
          <w:tcPr>
            <w:tcW w:w="720" w:type="dxa"/>
          </w:tcPr>
          <w:p w:rsidR="00840FF5" w:rsidRPr="003059E9" w:rsidRDefault="00840FF5" w:rsidP="00840FF5">
            <w:pPr>
              <w:pStyle w:val="PPVTableText"/>
            </w:pPr>
            <w:r w:rsidRPr="003059E9">
              <w:t>179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Tabling letter of Mr Sheppard and Mr McGurn’s evidence</w:t>
            </w:r>
          </w:p>
        </w:tc>
        <w:tc>
          <w:tcPr>
            <w:tcW w:w="3067" w:type="dxa"/>
          </w:tcPr>
          <w:p w:rsidR="00840FF5" w:rsidRPr="003059E9" w:rsidRDefault="00840FF5" w:rsidP="00840FF5">
            <w:pPr>
              <w:pStyle w:val="PPVTableText"/>
            </w:pPr>
            <w:r w:rsidRPr="003059E9">
              <w:t xml:space="preserve">Ms Colsell, Russell Kennedy </w:t>
            </w:r>
          </w:p>
        </w:tc>
      </w:tr>
      <w:tr w:rsidR="00840FF5" w:rsidRPr="003059E9" w:rsidTr="00002386">
        <w:trPr>
          <w:cantSplit/>
        </w:trPr>
        <w:tc>
          <w:tcPr>
            <w:tcW w:w="720" w:type="dxa"/>
          </w:tcPr>
          <w:p w:rsidR="00840FF5" w:rsidRPr="003059E9" w:rsidRDefault="00840FF5" w:rsidP="00840FF5">
            <w:pPr>
              <w:pStyle w:val="PPVTableText"/>
            </w:pPr>
            <w:r w:rsidRPr="003059E9">
              <w:t>180</w:t>
            </w:r>
          </w:p>
        </w:tc>
        <w:tc>
          <w:tcPr>
            <w:tcW w:w="1231" w:type="dxa"/>
          </w:tcPr>
          <w:p w:rsidR="00840FF5" w:rsidRPr="003059E9" w:rsidRDefault="00840FF5" w:rsidP="00840FF5">
            <w:pPr>
              <w:pStyle w:val="PPVTableText"/>
            </w:pPr>
            <w:r w:rsidRPr="003059E9">
              <w:t>9/04/18</w:t>
            </w:r>
          </w:p>
        </w:tc>
        <w:tc>
          <w:tcPr>
            <w:tcW w:w="4253" w:type="dxa"/>
          </w:tcPr>
          <w:p w:rsidR="00840FF5" w:rsidRPr="003059E9" w:rsidRDefault="00840FF5" w:rsidP="00840FF5">
            <w:pPr>
              <w:pStyle w:val="PPVTableText"/>
            </w:pPr>
            <w:r w:rsidRPr="003059E9">
              <w:t>DELWP Email sent on 15 March 2018</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181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182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and attachments from Port Phillip</w:t>
            </w:r>
          </w:p>
        </w:tc>
        <w:tc>
          <w:tcPr>
            <w:tcW w:w="3067" w:type="dxa"/>
          </w:tcPr>
          <w:p w:rsidR="00840FF5" w:rsidRPr="003059E9" w:rsidRDefault="00840FF5" w:rsidP="00840FF5">
            <w:pPr>
              <w:pStyle w:val="PPVTableText"/>
            </w:pPr>
            <w:r w:rsidRPr="003059E9">
              <w:t>Mr Montebello, Maddocks</w:t>
            </w:r>
          </w:p>
        </w:tc>
      </w:tr>
      <w:tr w:rsidR="00840FF5" w:rsidRPr="003059E9" w:rsidTr="00002386">
        <w:trPr>
          <w:cantSplit/>
        </w:trPr>
        <w:tc>
          <w:tcPr>
            <w:tcW w:w="720" w:type="dxa"/>
          </w:tcPr>
          <w:p w:rsidR="00840FF5" w:rsidRPr="003059E9" w:rsidRDefault="00840FF5" w:rsidP="00840FF5">
            <w:pPr>
              <w:pStyle w:val="PPVTableText"/>
            </w:pPr>
            <w:r w:rsidRPr="003059E9">
              <w:t>183</w:t>
            </w:r>
          </w:p>
        </w:tc>
        <w:tc>
          <w:tcPr>
            <w:tcW w:w="1231" w:type="dxa"/>
          </w:tcPr>
          <w:p w:rsidR="00840FF5" w:rsidRPr="003059E9" w:rsidRDefault="00840FF5" w:rsidP="00840FF5">
            <w:pPr>
              <w:pStyle w:val="PPVTableText"/>
            </w:pPr>
          </w:p>
        </w:tc>
        <w:tc>
          <w:tcPr>
            <w:tcW w:w="4253" w:type="dxa"/>
          </w:tcPr>
          <w:p w:rsidR="00840FF5" w:rsidRPr="003059E9" w:rsidRDefault="00840FF5" w:rsidP="00840FF5">
            <w:pPr>
              <w:pStyle w:val="PPVTableText"/>
            </w:pPr>
            <w:r w:rsidRPr="003059E9">
              <w:t>Urban Design Report April 2018, Port Phillip</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184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w:t>
            </w:r>
            <w:r w:rsidR="00836F74">
              <w:t>P</w:t>
            </w:r>
            <w:r w:rsidRPr="003059E9">
              <w:t>oint presentation of Mr McPherson</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185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Lorimer Plan – Recommended approach</w:t>
            </w:r>
          </w:p>
        </w:tc>
        <w:tc>
          <w:tcPr>
            <w:tcW w:w="3067" w:type="dxa"/>
          </w:tcPr>
          <w:p w:rsidR="00840FF5" w:rsidRPr="003059E9" w:rsidRDefault="00840FF5" w:rsidP="00840FF5">
            <w:pPr>
              <w:pStyle w:val="PPVTableText"/>
            </w:pPr>
            <w:r w:rsidRPr="003059E9">
              <w:t xml:space="preserve">Mr Wren </w:t>
            </w:r>
          </w:p>
        </w:tc>
      </w:tr>
      <w:tr w:rsidR="00840FF5" w:rsidRPr="003059E9" w:rsidTr="00002386">
        <w:trPr>
          <w:cantSplit/>
        </w:trPr>
        <w:tc>
          <w:tcPr>
            <w:tcW w:w="720" w:type="dxa"/>
          </w:tcPr>
          <w:p w:rsidR="00840FF5" w:rsidRPr="003059E9" w:rsidRDefault="00840FF5" w:rsidP="00840FF5">
            <w:pPr>
              <w:pStyle w:val="PPVTableText"/>
            </w:pPr>
            <w:r w:rsidRPr="003059E9">
              <w:t>186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Diagrams demonstrating transfer of commercial development rights</w:t>
            </w:r>
          </w:p>
        </w:tc>
        <w:tc>
          <w:tcPr>
            <w:tcW w:w="3067" w:type="dxa"/>
          </w:tcPr>
          <w:p w:rsidR="00840FF5" w:rsidRPr="003059E9" w:rsidRDefault="00840FF5" w:rsidP="00840FF5">
            <w:pPr>
              <w:pStyle w:val="PPVTableText"/>
            </w:pPr>
            <w:r w:rsidRPr="003059E9">
              <w:t>Mr Montebello, Maddocks</w:t>
            </w:r>
          </w:p>
        </w:tc>
      </w:tr>
      <w:tr w:rsidR="00840FF5" w:rsidRPr="003059E9" w:rsidTr="00002386">
        <w:trPr>
          <w:cantSplit/>
        </w:trPr>
        <w:tc>
          <w:tcPr>
            <w:tcW w:w="720" w:type="dxa"/>
          </w:tcPr>
          <w:p w:rsidR="00840FF5" w:rsidRPr="003059E9" w:rsidRDefault="00840FF5" w:rsidP="00840FF5">
            <w:pPr>
              <w:pStyle w:val="PPVTableText"/>
            </w:pPr>
            <w:r w:rsidRPr="003059E9">
              <w:t>187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Letters to landowners impacted by proposed changes to land impacted by open space</w:t>
            </w:r>
          </w:p>
        </w:tc>
        <w:tc>
          <w:tcPr>
            <w:tcW w:w="3067" w:type="dxa"/>
          </w:tcPr>
          <w:p w:rsidR="00840FF5" w:rsidRPr="003059E9" w:rsidRDefault="00840FF5" w:rsidP="00840FF5">
            <w:pPr>
              <w:pStyle w:val="PPVTableText"/>
            </w:pPr>
            <w:r w:rsidRPr="003059E9">
              <w:t xml:space="preserve">Ms Foley </w:t>
            </w:r>
          </w:p>
        </w:tc>
      </w:tr>
      <w:tr w:rsidR="00840FF5" w:rsidRPr="003059E9" w:rsidTr="00002386">
        <w:trPr>
          <w:cantSplit/>
        </w:trPr>
        <w:tc>
          <w:tcPr>
            <w:tcW w:w="720" w:type="dxa"/>
          </w:tcPr>
          <w:p w:rsidR="00840FF5" w:rsidRPr="003059E9" w:rsidRDefault="00840FF5" w:rsidP="00840FF5">
            <w:pPr>
              <w:pStyle w:val="PPVTableText"/>
            </w:pPr>
            <w:r w:rsidRPr="003059E9">
              <w:t>188</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Tabling letter for Spec Property Development (s202)</w:t>
            </w:r>
          </w:p>
          <w:p w:rsidR="00840FF5" w:rsidRDefault="00840FF5" w:rsidP="00840FF5">
            <w:pPr>
              <w:pStyle w:val="PPVTableText"/>
            </w:pPr>
            <w:r w:rsidRPr="003059E9">
              <w:t>Evidence of Ms Bell</w:t>
            </w:r>
          </w:p>
          <w:p w:rsidR="00840FF5" w:rsidRDefault="00840FF5" w:rsidP="00840FF5">
            <w:pPr>
              <w:pStyle w:val="PPVTableText"/>
            </w:pPr>
            <w:r w:rsidRPr="003059E9">
              <w:t>Evidence of Ms Dunstan</w:t>
            </w:r>
          </w:p>
          <w:p w:rsidR="00840FF5" w:rsidRPr="003059E9" w:rsidRDefault="00840FF5" w:rsidP="00840FF5">
            <w:pPr>
              <w:pStyle w:val="PPVTableText"/>
            </w:pPr>
            <w:r w:rsidRPr="003059E9">
              <w:t>Evidence of Mr Czarny</w:t>
            </w:r>
          </w:p>
        </w:tc>
        <w:tc>
          <w:tcPr>
            <w:tcW w:w="3067" w:type="dxa"/>
          </w:tcPr>
          <w:p w:rsidR="00840FF5" w:rsidRPr="003059E9" w:rsidRDefault="00840FF5" w:rsidP="00840FF5">
            <w:pPr>
              <w:pStyle w:val="PPVTableText"/>
            </w:pPr>
            <w:r w:rsidRPr="003059E9">
              <w:t>Ms Tarasenko, Minter Ellison</w:t>
            </w:r>
          </w:p>
        </w:tc>
      </w:tr>
      <w:tr w:rsidR="00840FF5" w:rsidRPr="003059E9" w:rsidTr="00002386">
        <w:trPr>
          <w:cantSplit/>
        </w:trPr>
        <w:tc>
          <w:tcPr>
            <w:tcW w:w="720" w:type="dxa"/>
          </w:tcPr>
          <w:p w:rsidR="00840FF5" w:rsidRPr="003059E9" w:rsidRDefault="00840FF5" w:rsidP="00840FF5">
            <w:pPr>
              <w:pStyle w:val="PPVTableText"/>
            </w:pPr>
            <w:r w:rsidRPr="003059E9">
              <w:t>189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Addenda to Mr de Keijzer’s evidence</w:t>
            </w:r>
          </w:p>
        </w:tc>
        <w:tc>
          <w:tcPr>
            <w:tcW w:w="3067" w:type="dxa"/>
          </w:tcPr>
          <w:p w:rsidR="00840FF5" w:rsidRPr="003059E9" w:rsidRDefault="00840FF5" w:rsidP="00840FF5">
            <w:pPr>
              <w:pStyle w:val="PPVTableText"/>
            </w:pPr>
            <w:r w:rsidRPr="003059E9">
              <w:t>Ms Ryan, City of Melbourne</w:t>
            </w:r>
          </w:p>
        </w:tc>
      </w:tr>
      <w:tr w:rsidR="00840FF5" w:rsidRPr="003059E9" w:rsidTr="00002386">
        <w:trPr>
          <w:cantSplit/>
        </w:trPr>
        <w:tc>
          <w:tcPr>
            <w:tcW w:w="720" w:type="dxa"/>
          </w:tcPr>
          <w:p w:rsidR="00840FF5" w:rsidRPr="003059E9" w:rsidRDefault="00840FF5" w:rsidP="00840FF5">
            <w:pPr>
              <w:pStyle w:val="PPVTableText"/>
            </w:pPr>
            <w:r w:rsidRPr="003059E9">
              <w:t>190</w:t>
            </w:r>
          </w:p>
        </w:tc>
        <w:tc>
          <w:tcPr>
            <w:tcW w:w="1231" w:type="dxa"/>
          </w:tcPr>
          <w:p w:rsidR="00840FF5" w:rsidRPr="003059E9" w:rsidRDefault="00840FF5" w:rsidP="00840FF5">
            <w:pPr>
              <w:pStyle w:val="PPVTableText"/>
            </w:pPr>
            <w:r w:rsidRPr="003059E9">
              <w:t>10/04/18</w:t>
            </w:r>
          </w:p>
        </w:tc>
        <w:tc>
          <w:tcPr>
            <w:tcW w:w="4253" w:type="dxa"/>
          </w:tcPr>
          <w:p w:rsidR="00840FF5" w:rsidRPr="003059E9" w:rsidRDefault="00840FF5" w:rsidP="00840FF5">
            <w:pPr>
              <w:pStyle w:val="PPVTableText"/>
            </w:pPr>
            <w:r w:rsidRPr="003059E9">
              <w:t>PowerPoint of Mr de Keijzer evidence</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191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Attachment to </w:t>
            </w:r>
            <w:r w:rsidR="00DB79F3">
              <w:t>Melbourne</w:t>
            </w:r>
            <w:r w:rsidRPr="003059E9">
              <w:t xml:space="preserve"> submission</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192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Written Submission, Melbourne </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193</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Track change version of Parking Overlay</w:t>
            </w:r>
          </w:p>
          <w:p w:rsidR="00840FF5" w:rsidRPr="003059E9" w:rsidRDefault="00840FF5" w:rsidP="00840FF5">
            <w:pPr>
              <w:pStyle w:val="PPVTableText"/>
            </w:pPr>
            <w:r w:rsidRPr="003059E9">
              <w:t>(A &amp; B)</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194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Mr Walsh Evidence</w:t>
            </w:r>
          </w:p>
        </w:tc>
        <w:tc>
          <w:tcPr>
            <w:tcW w:w="3067" w:type="dxa"/>
          </w:tcPr>
          <w:p w:rsidR="00840FF5" w:rsidRPr="003059E9" w:rsidRDefault="00840FF5" w:rsidP="00840FF5">
            <w:pPr>
              <w:pStyle w:val="PPVTableText"/>
            </w:pPr>
            <w:r w:rsidRPr="003059E9">
              <w:t>Mr Passarella, Mills Oakley</w:t>
            </w:r>
          </w:p>
        </w:tc>
      </w:tr>
      <w:tr w:rsidR="00840FF5" w:rsidRPr="003059E9" w:rsidTr="00002386">
        <w:trPr>
          <w:cantSplit/>
        </w:trPr>
        <w:tc>
          <w:tcPr>
            <w:tcW w:w="720" w:type="dxa"/>
          </w:tcPr>
          <w:p w:rsidR="00840FF5" w:rsidRPr="003059E9" w:rsidRDefault="00840FF5" w:rsidP="00840FF5">
            <w:pPr>
              <w:pStyle w:val="PPVTableText"/>
            </w:pPr>
            <w:r w:rsidRPr="003059E9">
              <w:t>195</w:t>
            </w:r>
          </w:p>
        </w:tc>
        <w:tc>
          <w:tcPr>
            <w:tcW w:w="1231" w:type="dxa"/>
          </w:tcPr>
          <w:p w:rsidR="00840FF5" w:rsidRPr="003059E9" w:rsidRDefault="00840FF5" w:rsidP="00840FF5">
            <w:pPr>
              <w:pStyle w:val="PPVTableText"/>
            </w:pPr>
            <w:r w:rsidRPr="003059E9">
              <w:t>11/04/18</w:t>
            </w:r>
          </w:p>
        </w:tc>
        <w:tc>
          <w:tcPr>
            <w:tcW w:w="4253" w:type="dxa"/>
          </w:tcPr>
          <w:p w:rsidR="00840FF5" w:rsidRPr="003059E9" w:rsidRDefault="00840FF5" w:rsidP="00840FF5">
            <w:pPr>
              <w:pStyle w:val="PPVTableText"/>
            </w:pPr>
            <w:r w:rsidRPr="003059E9">
              <w:t>Mr Barnes Evidence</w:t>
            </w:r>
          </w:p>
        </w:tc>
        <w:tc>
          <w:tcPr>
            <w:tcW w:w="3067" w:type="dxa"/>
          </w:tcPr>
          <w:p w:rsidR="00840FF5" w:rsidRPr="003059E9" w:rsidRDefault="00840FF5" w:rsidP="00840FF5">
            <w:pPr>
              <w:pStyle w:val="PPVTableText"/>
            </w:pPr>
            <w:r w:rsidRPr="003059E9">
              <w:t>Mr Robinson, Rigby Cooke</w:t>
            </w:r>
          </w:p>
        </w:tc>
      </w:tr>
      <w:tr w:rsidR="00840FF5" w:rsidRPr="003059E9" w:rsidTr="00002386">
        <w:trPr>
          <w:cantSplit/>
        </w:trPr>
        <w:tc>
          <w:tcPr>
            <w:tcW w:w="720" w:type="dxa"/>
          </w:tcPr>
          <w:p w:rsidR="00840FF5" w:rsidRPr="003059E9" w:rsidRDefault="00840FF5" w:rsidP="00840FF5">
            <w:pPr>
              <w:pStyle w:val="PPVTableText"/>
            </w:pPr>
            <w:r w:rsidRPr="003059E9">
              <w:t>196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FC563B" w:rsidP="00840FF5">
            <w:pPr>
              <w:pStyle w:val="PPVTableText"/>
            </w:pPr>
            <w:r>
              <w:t>Fishermans Bend</w:t>
            </w:r>
            <w:r w:rsidR="00840FF5" w:rsidRPr="003059E9">
              <w:t xml:space="preserve"> Retail Assessment Attachments A &amp; B, Essential Economics</w:t>
            </w:r>
          </w:p>
        </w:tc>
        <w:tc>
          <w:tcPr>
            <w:tcW w:w="3067" w:type="dxa"/>
          </w:tcPr>
          <w:p w:rsidR="00840FF5" w:rsidRPr="003059E9" w:rsidRDefault="00840FF5" w:rsidP="00840FF5">
            <w:pPr>
              <w:pStyle w:val="PPVTableText"/>
            </w:pPr>
            <w:r w:rsidRPr="003059E9">
              <w:t>Ms Foley</w:t>
            </w:r>
          </w:p>
        </w:tc>
      </w:tr>
      <w:tr w:rsidR="00840FF5" w:rsidRPr="003059E9" w:rsidTr="00002386">
        <w:trPr>
          <w:cantSplit/>
        </w:trPr>
        <w:tc>
          <w:tcPr>
            <w:tcW w:w="720" w:type="dxa"/>
          </w:tcPr>
          <w:p w:rsidR="00840FF5" w:rsidRPr="003059E9" w:rsidRDefault="00840FF5" w:rsidP="00840FF5">
            <w:pPr>
              <w:pStyle w:val="PPVTableText"/>
            </w:pPr>
            <w:r w:rsidRPr="003059E9">
              <w:t>197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Fishermans Bend Review of Sustainability Strategy, Essential Economics (Detailed model results)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198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Fishermans Bend Net Zero Emissions strategy, Point Advisory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199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Fishermans Bend Climate Readiness Accommodation Strategy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200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Clarification of matters from Mr McPherson</w:t>
            </w:r>
          </w:p>
        </w:tc>
        <w:tc>
          <w:tcPr>
            <w:tcW w:w="3067" w:type="dxa"/>
          </w:tcPr>
          <w:p w:rsidR="00840FF5" w:rsidRPr="003059E9" w:rsidRDefault="00840FF5" w:rsidP="00840FF5">
            <w:pPr>
              <w:pStyle w:val="PPVTableText"/>
            </w:pPr>
            <w:r w:rsidRPr="003059E9">
              <w:t>Ms Eastaugh, Maddocks</w:t>
            </w:r>
          </w:p>
        </w:tc>
      </w:tr>
      <w:tr w:rsidR="00840FF5" w:rsidRPr="003059E9" w:rsidTr="00002386">
        <w:trPr>
          <w:cantSplit/>
        </w:trPr>
        <w:tc>
          <w:tcPr>
            <w:tcW w:w="720" w:type="dxa"/>
          </w:tcPr>
          <w:p w:rsidR="00840FF5" w:rsidRPr="003059E9" w:rsidRDefault="00840FF5" w:rsidP="00840FF5">
            <w:pPr>
              <w:pStyle w:val="PPVTableText"/>
            </w:pPr>
            <w:r w:rsidRPr="003059E9">
              <w:t>201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Review Panel – Statement of Reasons</w:t>
            </w:r>
          </w:p>
        </w:tc>
        <w:tc>
          <w:tcPr>
            <w:tcW w:w="3067" w:type="dxa"/>
          </w:tcPr>
          <w:p w:rsidR="00840FF5" w:rsidRPr="003059E9" w:rsidRDefault="00840FF5" w:rsidP="00840FF5">
            <w:pPr>
              <w:pStyle w:val="PPVTableText"/>
            </w:pPr>
            <w:r w:rsidRPr="003059E9">
              <w:t xml:space="preserve">Ms Mitchell, Chair </w:t>
            </w:r>
          </w:p>
        </w:tc>
      </w:tr>
      <w:tr w:rsidR="00840FF5" w:rsidRPr="003059E9" w:rsidTr="00002386">
        <w:trPr>
          <w:cantSplit/>
        </w:trPr>
        <w:tc>
          <w:tcPr>
            <w:tcW w:w="720" w:type="dxa"/>
          </w:tcPr>
          <w:p w:rsidR="00840FF5" w:rsidRPr="003059E9" w:rsidRDefault="00840FF5" w:rsidP="00840FF5">
            <w:pPr>
              <w:pStyle w:val="PPVTableText"/>
            </w:pPr>
            <w:r w:rsidRPr="003059E9">
              <w:t>202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Presentation</w:t>
            </w:r>
          </w:p>
        </w:tc>
        <w:tc>
          <w:tcPr>
            <w:tcW w:w="3067" w:type="dxa"/>
          </w:tcPr>
          <w:p w:rsidR="00840FF5" w:rsidRPr="003059E9" w:rsidRDefault="00840FF5" w:rsidP="00840FF5">
            <w:pPr>
              <w:pStyle w:val="PPVTableText"/>
            </w:pPr>
            <w:r w:rsidRPr="003059E9">
              <w:t>Ms Dunstan, Traffix Group</w:t>
            </w:r>
          </w:p>
        </w:tc>
      </w:tr>
      <w:tr w:rsidR="00840FF5" w:rsidRPr="003059E9" w:rsidTr="00002386">
        <w:trPr>
          <w:cantSplit/>
        </w:trPr>
        <w:tc>
          <w:tcPr>
            <w:tcW w:w="720" w:type="dxa"/>
          </w:tcPr>
          <w:p w:rsidR="00840FF5" w:rsidRPr="003059E9" w:rsidRDefault="00840FF5" w:rsidP="00840FF5">
            <w:pPr>
              <w:pStyle w:val="PPVTableText"/>
            </w:pPr>
            <w:r w:rsidRPr="003059E9">
              <w:t>203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Infrastructure Victoria 30 year strategy extract</w:t>
            </w:r>
          </w:p>
        </w:tc>
        <w:tc>
          <w:tcPr>
            <w:tcW w:w="3067" w:type="dxa"/>
          </w:tcPr>
          <w:p w:rsidR="00840FF5" w:rsidRPr="003059E9" w:rsidRDefault="00840FF5" w:rsidP="00840FF5">
            <w:pPr>
              <w:pStyle w:val="PPVTableText"/>
            </w:pPr>
            <w:r w:rsidRPr="003059E9">
              <w:t>Ms Foley</w:t>
            </w:r>
          </w:p>
        </w:tc>
      </w:tr>
      <w:tr w:rsidR="00840FF5" w:rsidRPr="003059E9" w:rsidTr="00002386">
        <w:trPr>
          <w:cantSplit/>
        </w:trPr>
        <w:tc>
          <w:tcPr>
            <w:tcW w:w="720" w:type="dxa"/>
          </w:tcPr>
          <w:p w:rsidR="00840FF5" w:rsidRPr="003059E9" w:rsidRDefault="00840FF5" w:rsidP="00840FF5">
            <w:pPr>
              <w:pStyle w:val="PPVTableText"/>
            </w:pPr>
            <w:r w:rsidRPr="003059E9">
              <w:t>204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Addendum to evidence of Mr Sheppard</w:t>
            </w:r>
          </w:p>
        </w:tc>
        <w:tc>
          <w:tcPr>
            <w:tcW w:w="3067" w:type="dxa"/>
          </w:tcPr>
          <w:p w:rsidR="00840FF5" w:rsidRPr="003059E9" w:rsidRDefault="00840FF5" w:rsidP="00840FF5">
            <w:pPr>
              <w:pStyle w:val="PPVTableText"/>
            </w:pPr>
            <w:r w:rsidRPr="003059E9">
              <w:t>Mr Canavan</w:t>
            </w:r>
          </w:p>
        </w:tc>
      </w:tr>
      <w:tr w:rsidR="00840FF5" w:rsidRPr="003059E9" w:rsidTr="00002386">
        <w:trPr>
          <w:cantSplit/>
        </w:trPr>
        <w:tc>
          <w:tcPr>
            <w:tcW w:w="720" w:type="dxa"/>
          </w:tcPr>
          <w:p w:rsidR="00840FF5" w:rsidRPr="003059E9" w:rsidRDefault="00840FF5" w:rsidP="00840FF5">
            <w:pPr>
              <w:pStyle w:val="PPVTableText"/>
            </w:pPr>
            <w:r w:rsidRPr="003059E9">
              <w:t>205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Presentation</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206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Norton Rose Fulbright letter of instructions to Mr Sheppard</w:t>
            </w:r>
          </w:p>
        </w:tc>
        <w:tc>
          <w:tcPr>
            <w:tcW w:w="3067" w:type="dxa"/>
          </w:tcPr>
          <w:p w:rsidR="00840FF5" w:rsidRPr="003059E9" w:rsidRDefault="00840FF5" w:rsidP="00840FF5">
            <w:pPr>
              <w:pStyle w:val="PPVTableText"/>
            </w:pPr>
            <w:r w:rsidRPr="003059E9">
              <w:t>Mr Canavan</w:t>
            </w:r>
          </w:p>
        </w:tc>
      </w:tr>
      <w:tr w:rsidR="00840FF5" w:rsidRPr="003059E9" w:rsidTr="00002386">
        <w:trPr>
          <w:cantSplit/>
        </w:trPr>
        <w:tc>
          <w:tcPr>
            <w:tcW w:w="720" w:type="dxa"/>
          </w:tcPr>
          <w:p w:rsidR="00840FF5" w:rsidRPr="003059E9" w:rsidRDefault="00840FF5" w:rsidP="00840FF5">
            <w:pPr>
              <w:pStyle w:val="PPVTableText"/>
            </w:pPr>
            <w:r w:rsidRPr="003059E9">
              <w:t>207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Russell Kennedy letter of instructions to Mr Sheppard</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208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The effect of zoning on house prices discussion paper, Reserve Bank of Australia</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209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Evidence of Mr Song</w:t>
            </w:r>
          </w:p>
        </w:tc>
        <w:tc>
          <w:tcPr>
            <w:tcW w:w="3067" w:type="dxa"/>
          </w:tcPr>
          <w:p w:rsidR="00840FF5" w:rsidRPr="003059E9" w:rsidRDefault="00840FF5" w:rsidP="00840FF5">
            <w:pPr>
              <w:pStyle w:val="PPVTableText"/>
            </w:pPr>
            <w:r w:rsidRPr="003059E9">
              <w:t>Mr Passarella, Mills Oakley</w:t>
            </w:r>
          </w:p>
        </w:tc>
      </w:tr>
      <w:tr w:rsidR="00840FF5" w:rsidRPr="003059E9" w:rsidTr="00002386">
        <w:trPr>
          <w:cantSplit/>
        </w:trPr>
        <w:tc>
          <w:tcPr>
            <w:tcW w:w="720" w:type="dxa"/>
          </w:tcPr>
          <w:p w:rsidR="00840FF5" w:rsidRPr="003059E9" w:rsidRDefault="00840FF5" w:rsidP="00840FF5">
            <w:pPr>
              <w:pStyle w:val="PPVTableText"/>
            </w:pPr>
            <w:r w:rsidRPr="003059E9">
              <w:t>210</w:t>
            </w:r>
          </w:p>
        </w:tc>
        <w:tc>
          <w:tcPr>
            <w:tcW w:w="1231" w:type="dxa"/>
          </w:tcPr>
          <w:p w:rsidR="00840FF5" w:rsidRPr="003059E9" w:rsidRDefault="00840FF5" w:rsidP="00840FF5">
            <w:pPr>
              <w:pStyle w:val="PPVTableText"/>
            </w:pPr>
            <w:r w:rsidRPr="003059E9">
              <w:t>12/04/18</w:t>
            </w:r>
          </w:p>
        </w:tc>
        <w:tc>
          <w:tcPr>
            <w:tcW w:w="4253" w:type="dxa"/>
          </w:tcPr>
          <w:p w:rsidR="00840FF5" w:rsidRPr="003059E9" w:rsidRDefault="00840FF5" w:rsidP="00840FF5">
            <w:pPr>
              <w:pStyle w:val="PPVTableText"/>
            </w:pPr>
            <w:r w:rsidRPr="003059E9">
              <w:t>Extract of Mr Sheppard’s evidence to Melbourne C270</w:t>
            </w:r>
          </w:p>
        </w:tc>
        <w:tc>
          <w:tcPr>
            <w:tcW w:w="3067" w:type="dxa"/>
          </w:tcPr>
          <w:p w:rsidR="00840FF5" w:rsidRPr="003059E9" w:rsidRDefault="00840FF5" w:rsidP="00840FF5">
            <w:pPr>
              <w:pStyle w:val="PPVTableText"/>
            </w:pPr>
            <w:r w:rsidRPr="003059E9">
              <w:t xml:space="preserve">Ms Brennan </w:t>
            </w:r>
          </w:p>
        </w:tc>
      </w:tr>
      <w:tr w:rsidR="00840FF5" w:rsidRPr="003059E9" w:rsidTr="00002386">
        <w:trPr>
          <w:cantSplit/>
        </w:trPr>
        <w:tc>
          <w:tcPr>
            <w:tcW w:w="720" w:type="dxa"/>
          </w:tcPr>
          <w:p w:rsidR="00840FF5" w:rsidRPr="003059E9" w:rsidRDefault="00840FF5" w:rsidP="00840FF5">
            <w:pPr>
              <w:pStyle w:val="PPVTableText"/>
            </w:pPr>
            <w:r w:rsidRPr="003059E9">
              <w:t>211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Extract of Montague Structure Plan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212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from Future Cities Report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213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from Infrastructure Australia website</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214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from Essentials of Urban Design by Mark Sheppard</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215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Case Study comparative table prepared by Ms Hodyl</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216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Examples of recent developments in </w:t>
            </w:r>
            <w:r w:rsidR="00576336">
              <w:t>C</w:t>
            </w:r>
            <w:r w:rsidRPr="003059E9">
              <w:t xml:space="preserve">entral </w:t>
            </w:r>
            <w:r w:rsidR="00576336">
              <w:t>C</w:t>
            </w:r>
            <w:r w:rsidRPr="003059E9">
              <w:t>ity and suburbs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217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of Planning Permits Data Review Report (2010 – 2015)</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218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Planning Practice Note 59</w:t>
            </w:r>
          </w:p>
        </w:tc>
        <w:tc>
          <w:tcPr>
            <w:tcW w:w="3067" w:type="dxa"/>
          </w:tcPr>
          <w:p w:rsidR="00840FF5" w:rsidRPr="003059E9" w:rsidRDefault="00840FF5" w:rsidP="00840FF5">
            <w:pPr>
              <w:pStyle w:val="PPVTableText"/>
            </w:pPr>
            <w:r w:rsidRPr="003059E9">
              <w:t>Mr Montebello, Maddocks</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219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Extract Better Apartments draft design standards </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220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Better Apartments Consultation Report extract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221</w:t>
            </w:r>
          </w:p>
        </w:tc>
        <w:tc>
          <w:tcPr>
            <w:tcW w:w="1231" w:type="dxa"/>
          </w:tcPr>
          <w:p w:rsidR="00840FF5" w:rsidRPr="003059E9" w:rsidRDefault="00840FF5" w:rsidP="00840FF5">
            <w:pPr>
              <w:pStyle w:val="PPVTableText"/>
            </w:pPr>
            <w:r w:rsidRPr="003059E9">
              <w:t>13/04/18</w:t>
            </w:r>
          </w:p>
        </w:tc>
        <w:tc>
          <w:tcPr>
            <w:tcW w:w="4253" w:type="dxa"/>
          </w:tcPr>
          <w:p w:rsidR="00840FF5" w:rsidRPr="003059E9" w:rsidRDefault="00840FF5" w:rsidP="00840FF5">
            <w:pPr>
              <w:pStyle w:val="PPVTableText"/>
            </w:pPr>
            <w:r w:rsidRPr="003059E9">
              <w:t>Addendum 2 to Mr Sheppard’s Evidence Report</w:t>
            </w:r>
          </w:p>
        </w:tc>
        <w:tc>
          <w:tcPr>
            <w:tcW w:w="3067" w:type="dxa"/>
          </w:tcPr>
          <w:p w:rsidR="00840FF5" w:rsidRPr="003059E9" w:rsidRDefault="00840FF5" w:rsidP="00840FF5">
            <w:pPr>
              <w:pStyle w:val="PPVTableText"/>
            </w:pPr>
            <w:r w:rsidRPr="003059E9">
              <w:t xml:space="preserve">Ms Sharp </w:t>
            </w:r>
          </w:p>
        </w:tc>
      </w:tr>
      <w:tr w:rsidR="00840FF5" w:rsidRPr="003059E9" w:rsidTr="00002386">
        <w:trPr>
          <w:cantSplit/>
        </w:trPr>
        <w:tc>
          <w:tcPr>
            <w:tcW w:w="720" w:type="dxa"/>
          </w:tcPr>
          <w:p w:rsidR="00840FF5" w:rsidRPr="003059E9" w:rsidRDefault="00840FF5" w:rsidP="00840FF5">
            <w:pPr>
              <w:pStyle w:val="PPVTableText"/>
            </w:pPr>
            <w:r w:rsidRPr="003059E9">
              <w:t>222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PowerPoint of Mr Shimmin Evidence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223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Corrections to Mr Shimmin’s Evidence Statement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224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Extract from </w:t>
            </w:r>
            <w:r w:rsidRPr="006236F3">
              <w:rPr>
                <w:i/>
              </w:rPr>
              <w:t>Plan Melbourne</w:t>
            </w:r>
            <w:r w:rsidRPr="003059E9">
              <w:t xml:space="preserve"> </w:t>
            </w:r>
          </w:p>
        </w:tc>
        <w:tc>
          <w:tcPr>
            <w:tcW w:w="3067" w:type="dxa"/>
          </w:tcPr>
          <w:p w:rsidR="00840FF5" w:rsidRPr="003059E9" w:rsidRDefault="00840FF5" w:rsidP="00840FF5">
            <w:pPr>
              <w:pStyle w:val="PPVTableText"/>
            </w:pPr>
            <w:r w:rsidRPr="003059E9">
              <w:t xml:space="preserve">Mr Watters </w:t>
            </w:r>
          </w:p>
        </w:tc>
      </w:tr>
      <w:tr w:rsidR="00840FF5" w:rsidRPr="003059E9" w:rsidTr="00002386">
        <w:trPr>
          <w:cantSplit/>
        </w:trPr>
        <w:tc>
          <w:tcPr>
            <w:tcW w:w="720" w:type="dxa"/>
          </w:tcPr>
          <w:p w:rsidR="00840FF5" w:rsidRPr="003059E9" w:rsidRDefault="00840FF5" w:rsidP="00840FF5">
            <w:pPr>
              <w:pStyle w:val="PPVTableText"/>
            </w:pPr>
            <w:r w:rsidRPr="003059E9">
              <w:t>225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from Global Liveability Report 2017</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226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Extract from State Planning Policy Framework</w:t>
            </w:r>
          </w:p>
        </w:tc>
        <w:tc>
          <w:tcPr>
            <w:tcW w:w="3067" w:type="dxa"/>
          </w:tcPr>
          <w:p w:rsidR="00840FF5" w:rsidRPr="003059E9" w:rsidRDefault="00840FF5" w:rsidP="00840FF5">
            <w:pPr>
              <w:pStyle w:val="PPVTableText"/>
            </w:pPr>
            <w:r w:rsidRPr="003059E9">
              <w:t>Mr Montebello, Maddocks</w:t>
            </w:r>
          </w:p>
        </w:tc>
      </w:tr>
      <w:tr w:rsidR="00840FF5" w:rsidRPr="003059E9" w:rsidTr="00002386">
        <w:trPr>
          <w:cantSplit/>
        </w:trPr>
        <w:tc>
          <w:tcPr>
            <w:tcW w:w="720" w:type="dxa"/>
          </w:tcPr>
          <w:p w:rsidR="00840FF5" w:rsidRPr="003059E9" w:rsidRDefault="00840FF5" w:rsidP="00840FF5">
            <w:pPr>
              <w:pStyle w:val="PPVTableText"/>
            </w:pPr>
            <w:r w:rsidRPr="003059E9">
              <w:t>227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Clause 4 Buildings and Walks draft proposed change </w:t>
            </w:r>
          </w:p>
        </w:tc>
        <w:tc>
          <w:tcPr>
            <w:tcW w:w="3067" w:type="dxa"/>
          </w:tcPr>
          <w:p w:rsidR="00840FF5" w:rsidRPr="003059E9" w:rsidRDefault="00840FF5" w:rsidP="00840FF5">
            <w:pPr>
              <w:pStyle w:val="PPVTableText"/>
            </w:pPr>
            <w:r w:rsidRPr="003059E9">
              <w:t xml:space="preserve">Ms Foley </w:t>
            </w:r>
          </w:p>
        </w:tc>
      </w:tr>
      <w:tr w:rsidR="00840FF5" w:rsidRPr="003059E9" w:rsidTr="00002386">
        <w:trPr>
          <w:cantSplit/>
        </w:trPr>
        <w:tc>
          <w:tcPr>
            <w:tcW w:w="720" w:type="dxa"/>
          </w:tcPr>
          <w:p w:rsidR="00840FF5" w:rsidRPr="003059E9" w:rsidRDefault="00840FF5" w:rsidP="00840FF5">
            <w:pPr>
              <w:pStyle w:val="PPVTableText"/>
            </w:pPr>
            <w:r w:rsidRPr="003059E9">
              <w:t>228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Cop</w:t>
            </w:r>
            <w:r w:rsidR="00A80B82">
              <w:t xml:space="preserve">y of Report by Mr Biacsi for 11 – </w:t>
            </w:r>
            <w:r w:rsidRPr="003059E9">
              <w:t>31 Montague Street in Supreme court proceedings 2017</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229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Addendum to Mr Sheppard's Lorimer evidence</w:t>
            </w:r>
          </w:p>
        </w:tc>
        <w:tc>
          <w:tcPr>
            <w:tcW w:w="3067" w:type="dxa"/>
          </w:tcPr>
          <w:p w:rsidR="00840FF5" w:rsidRPr="003059E9" w:rsidRDefault="00840FF5" w:rsidP="00840FF5">
            <w:pPr>
              <w:pStyle w:val="PPVTableText"/>
            </w:pPr>
            <w:r w:rsidRPr="003059E9">
              <w:t>Ms Sharp</w:t>
            </w:r>
          </w:p>
        </w:tc>
      </w:tr>
      <w:tr w:rsidR="00840FF5" w:rsidRPr="003059E9" w:rsidTr="00002386">
        <w:trPr>
          <w:cantSplit/>
        </w:trPr>
        <w:tc>
          <w:tcPr>
            <w:tcW w:w="720" w:type="dxa"/>
          </w:tcPr>
          <w:p w:rsidR="00840FF5" w:rsidRPr="003059E9" w:rsidRDefault="00840FF5" w:rsidP="00840FF5">
            <w:pPr>
              <w:pStyle w:val="PPVTableText"/>
            </w:pPr>
            <w:r w:rsidRPr="003059E9">
              <w:t>230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Lorimer 3D massing and shadow study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231</w:t>
            </w:r>
          </w:p>
        </w:tc>
        <w:tc>
          <w:tcPr>
            <w:tcW w:w="1231" w:type="dxa"/>
          </w:tcPr>
          <w:p w:rsidR="00840FF5" w:rsidRPr="003059E9" w:rsidRDefault="00840FF5" w:rsidP="00840FF5">
            <w:pPr>
              <w:pStyle w:val="PPVTableText"/>
            </w:pPr>
            <w:r w:rsidRPr="003059E9">
              <w:t>16/04/18</w:t>
            </w:r>
          </w:p>
        </w:tc>
        <w:tc>
          <w:tcPr>
            <w:tcW w:w="4253" w:type="dxa"/>
          </w:tcPr>
          <w:p w:rsidR="00840FF5" w:rsidRPr="003059E9" w:rsidRDefault="00840FF5" w:rsidP="00840FF5">
            <w:pPr>
              <w:pStyle w:val="PPVTableText"/>
            </w:pPr>
            <w:r w:rsidRPr="003059E9">
              <w:t>Submission by APA Group</w:t>
            </w:r>
          </w:p>
        </w:tc>
        <w:tc>
          <w:tcPr>
            <w:tcW w:w="3067" w:type="dxa"/>
          </w:tcPr>
          <w:p w:rsidR="00840FF5" w:rsidRPr="003059E9" w:rsidRDefault="00840FF5" w:rsidP="00840FF5">
            <w:pPr>
              <w:pStyle w:val="PPVTableText"/>
            </w:pPr>
            <w:r w:rsidRPr="003059E9">
              <w:t>Ms Bannister, Hall and Wilcox</w:t>
            </w:r>
          </w:p>
        </w:tc>
      </w:tr>
      <w:tr w:rsidR="00840FF5" w:rsidRPr="003059E9" w:rsidTr="00002386">
        <w:trPr>
          <w:cantSplit/>
        </w:trPr>
        <w:tc>
          <w:tcPr>
            <w:tcW w:w="720" w:type="dxa"/>
          </w:tcPr>
          <w:p w:rsidR="00840FF5" w:rsidRPr="003059E9" w:rsidRDefault="00840FF5" w:rsidP="00840FF5">
            <w:pPr>
              <w:pStyle w:val="PPVTableText"/>
            </w:pPr>
            <w:r w:rsidRPr="003059E9">
              <w:t>232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Submission </w:t>
            </w:r>
          </w:p>
        </w:tc>
        <w:tc>
          <w:tcPr>
            <w:tcW w:w="3067" w:type="dxa"/>
          </w:tcPr>
          <w:p w:rsidR="00840FF5" w:rsidRPr="003059E9" w:rsidRDefault="00840FF5" w:rsidP="00840FF5">
            <w:pPr>
              <w:pStyle w:val="PPVTableText"/>
            </w:pPr>
            <w:r w:rsidRPr="003059E9">
              <w:t>Ms Wagenhoff</w:t>
            </w:r>
          </w:p>
        </w:tc>
      </w:tr>
      <w:tr w:rsidR="00840FF5" w:rsidRPr="003059E9" w:rsidTr="00002386">
        <w:trPr>
          <w:cantSplit/>
        </w:trPr>
        <w:tc>
          <w:tcPr>
            <w:tcW w:w="720" w:type="dxa"/>
          </w:tcPr>
          <w:p w:rsidR="00840FF5" w:rsidRPr="003059E9" w:rsidRDefault="00840FF5" w:rsidP="00840FF5">
            <w:pPr>
              <w:pStyle w:val="PPVTableText"/>
            </w:pPr>
            <w:r w:rsidRPr="003059E9">
              <w:t>233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by Community Alliance of Port Phillip – Ms Small, Ms Byrne &amp; Ms Forbath</w:t>
            </w:r>
          </w:p>
        </w:tc>
        <w:tc>
          <w:tcPr>
            <w:tcW w:w="3067" w:type="dxa"/>
          </w:tcPr>
          <w:p w:rsidR="00840FF5" w:rsidRPr="003059E9" w:rsidRDefault="00840FF5" w:rsidP="00840FF5">
            <w:pPr>
              <w:pStyle w:val="PPVTableText"/>
            </w:pPr>
            <w:r w:rsidRPr="003059E9">
              <w:t>Ms Small</w:t>
            </w:r>
          </w:p>
        </w:tc>
      </w:tr>
      <w:tr w:rsidR="00840FF5" w:rsidRPr="003059E9" w:rsidTr="00002386">
        <w:trPr>
          <w:cantSplit/>
        </w:trPr>
        <w:tc>
          <w:tcPr>
            <w:tcW w:w="720" w:type="dxa"/>
          </w:tcPr>
          <w:p w:rsidR="00840FF5" w:rsidRPr="003059E9" w:rsidRDefault="00840FF5" w:rsidP="00840FF5">
            <w:pPr>
              <w:pStyle w:val="PPVTableText"/>
            </w:pPr>
            <w:r w:rsidRPr="003059E9">
              <w:t>234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presentation by South Port Urban Responsible Renewal (SPURR)</w:t>
            </w:r>
          </w:p>
        </w:tc>
        <w:tc>
          <w:tcPr>
            <w:tcW w:w="3067" w:type="dxa"/>
          </w:tcPr>
          <w:p w:rsidR="00840FF5" w:rsidRPr="003059E9" w:rsidRDefault="00840FF5" w:rsidP="00840FF5">
            <w:pPr>
              <w:pStyle w:val="PPVTableText"/>
            </w:pPr>
            <w:r w:rsidRPr="003059E9">
              <w:t>Mr Groves</w:t>
            </w:r>
          </w:p>
        </w:tc>
      </w:tr>
      <w:tr w:rsidR="00840FF5" w:rsidRPr="003059E9" w:rsidTr="00002386">
        <w:trPr>
          <w:cantSplit/>
        </w:trPr>
        <w:tc>
          <w:tcPr>
            <w:tcW w:w="720" w:type="dxa"/>
          </w:tcPr>
          <w:p w:rsidR="00840FF5" w:rsidRPr="003059E9" w:rsidRDefault="00840FF5" w:rsidP="00840FF5">
            <w:pPr>
              <w:pStyle w:val="PPVTableText"/>
            </w:pPr>
            <w:r w:rsidRPr="003059E9">
              <w:t>235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SPURR – Presentation speaking notes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236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seeking Panel Direction</w:t>
            </w:r>
          </w:p>
        </w:tc>
        <w:tc>
          <w:tcPr>
            <w:tcW w:w="3067" w:type="dxa"/>
          </w:tcPr>
          <w:p w:rsidR="00840FF5" w:rsidRPr="003059E9" w:rsidRDefault="00840FF5" w:rsidP="00840FF5">
            <w:pPr>
              <w:pStyle w:val="PPVTableText"/>
            </w:pPr>
            <w:r w:rsidRPr="003059E9">
              <w:t>Mr Moylan</w:t>
            </w:r>
          </w:p>
        </w:tc>
      </w:tr>
      <w:tr w:rsidR="00840FF5" w:rsidRPr="003059E9" w:rsidTr="00002386">
        <w:trPr>
          <w:cantSplit/>
        </w:trPr>
        <w:tc>
          <w:tcPr>
            <w:tcW w:w="720" w:type="dxa"/>
          </w:tcPr>
          <w:p w:rsidR="00840FF5" w:rsidRPr="003059E9" w:rsidRDefault="00840FF5" w:rsidP="00840FF5">
            <w:pPr>
              <w:pStyle w:val="PPVTableText"/>
            </w:pPr>
            <w:r w:rsidRPr="003059E9">
              <w:t>237</w:t>
            </w:r>
          </w:p>
        </w:tc>
        <w:tc>
          <w:tcPr>
            <w:tcW w:w="1231" w:type="dxa"/>
          </w:tcPr>
          <w:p w:rsidR="00840FF5" w:rsidRPr="003059E9" w:rsidRDefault="00840FF5" w:rsidP="00840FF5">
            <w:pPr>
              <w:pStyle w:val="PPVTableText"/>
            </w:pPr>
            <w:r w:rsidRPr="003059E9">
              <w:t>17/04/18</w:t>
            </w:r>
          </w:p>
        </w:tc>
        <w:tc>
          <w:tcPr>
            <w:tcW w:w="4253" w:type="dxa"/>
          </w:tcPr>
          <w:p w:rsidR="00840FF5" w:rsidRPr="003059E9" w:rsidRDefault="00840FF5" w:rsidP="00840FF5">
            <w:pPr>
              <w:pStyle w:val="PPVTableText"/>
            </w:pPr>
            <w:r w:rsidRPr="003059E9">
              <w:t>Fishermans Bend – Net Zero Carbon Strategy, Point Advisory</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238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Submission by Port of Melbourne Operations </w:t>
            </w:r>
          </w:p>
        </w:tc>
        <w:tc>
          <w:tcPr>
            <w:tcW w:w="3067" w:type="dxa"/>
          </w:tcPr>
          <w:p w:rsidR="00840FF5" w:rsidRPr="003059E9" w:rsidRDefault="00840FF5" w:rsidP="00840FF5">
            <w:pPr>
              <w:pStyle w:val="PPVTableText"/>
            </w:pPr>
            <w:r w:rsidRPr="003059E9">
              <w:t>Mr Vorchheimer, HWL Ebsworth</w:t>
            </w:r>
          </w:p>
        </w:tc>
      </w:tr>
      <w:tr w:rsidR="00840FF5" w:rsidRPr="003059E9" w:rsidTr="00002386">
        <w:trPr>
          <w:cantSplit/>
        </w:trPr>
        <w:tc>
          <w:tcPr>
            <w:tcW w:w="720" w:type="dxa"/>
          </w:tcPr>
          <w:p w:rsidR="00840FF5" w:rsidRPr="003059E9" w:rsidRDefault="00840FF5" w:rsidP="00840FF5">
            <w:pPr>
              <w:pStyle w:val="PPVTableText"/>
            </w:pPr>
            <w:r w:rsidRPr="003059E9">
              <w:t>239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Melbourne Airport Environs Overlay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240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of EPA submission</w:t>
            </w:r>
          </w:p>
        </w:tc>
        <w:tc>
          <w:tcPr>
            <w:tcW w:w="3067" w:type="dxa"/>
          </w:tcPr>
          <w:p w:rsidR="00840FF5" w:rsidRPr="003059E9" w:rsidRDefault="00840FF5" w:rsidP="00840FF5">
            <w:pPr>
              <w:pStyle w:val="PPVTableText"/>
            </w:pPr>
            <w:r w:rsidRPr="003059E9">
              <w:t>Ms Davies, EPA</w:t>
            </w:r>
          </w:p>
        </w:tc>
      </w:tr>
      <w:tr w:rsidR="00840FF5" w:rsidRPr="003059E9" w:rsidTr="00002386">
        <w:trPr>
          <w:cantSplit/>
        </w:trPr>
        <w:tc>
          <w:tcPr>
            <w:tcW w:w="720" w:type="dxa"/>
          </w:tcPr>
          <w:p w:rsidR="00840FF5" w:rsidRPr="003059E9" w:rsidRDefault="00840FF5" w:rsidP="00840FF5">
            <w:pPr>
              <w:pStyle w:val="PPVTableText"/>
            </w:pPr>
            <w:r w:rsidRPr="003059E9">
              <w:t>241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EPA proposed amendments to planning controls A – D</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242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by Fishermans Bend Network</w:t>
            </w:r>
          </w:p>
        </w:tc>
        <w:tc>
          <w:tcPr>
            <w:tcW w:w="3067" w:type="dxa"/>
          </w:tcPr>
          <w:p w:rsidR="00840FF5" w:rsidRPr="003059E9" w:rsidRDefault="00840FF5" w:rsidP="00840FF5">
            <w:pPr>
              <w:pStyle w:val="PPVTableText"/>
            </w:pPr>
            <w:r w:rsidRPr="003059E9">
              <w:t>Ms Stone</w:t>
            </w:r>
          </w:p>
        </w:tc>
      </w:tr>
      <w:tr w:rsidR="00840FF5" w:rsidRPr="003059E9" w:rsidTr="00002386">
        <w:trPr>
          <w:cantSplit/>
        </w:trPr>
        <w:tc>
          <w:tcPr>
            <w:tcW w:w="720" w:type="dxa"/>
          </w:tcPr>
          <w:p w:rsidR="00840FF5" w:rsidRPr="003059E9" w:rsidRDefault="00840FF5" w:rsidP="00840FF5">
            <w:pPr>
              <w:pStyle w:val="PPVTableText"/>
            </w:pPr>
            <w:r w:rsidRPr="003059E9">
              <w:t>243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Submission by Father Bob Maguire Foundation </w:t>
            </w:r>
          </w:p>
        </w:tc>
        <w:tc>
          <w:tcPr>
            <w:tcW w:w="3067" w:type="dxa"/>
          </w:tcPr>
          <w:p w:rsidR="00840FF5" w:rsidRPr="003059E9" w:rsidRDefault="00840FF5" w:rsidP="00840FF5">
            <w:pPr>
              <w:pStyle w:val="PPVTableText"/>
            </w:pPr>
            <w:r w:rsidRPr="003059E9">
              <w:t>Ms Rosen</w:t>
            </w:r>
          </w:p>
        </w:tc>
      </w:tr>
      <w:tr w:rsidR="00840FF5" w:rsidRPr="003059E9" w:rsidTr="00002386">
        <w:trPr>
          <w:cantSplit/>
        </w:trPr>
        <w:tc>
          <w:tcPr>
            <w:tcW w:w="720" w:type="dxa"/>
          </w:tcPr>
          <w:p w:rsidR="00840FF5" w:rsidRPr="003059E9" w:rsidRDefault="00840FF5" w:rsidP="00840FF5">
            <w:pPr>
              <w:pStyle w:val="PPVTableText"/>
            </w:pPr>
            <w:r w:rsidRPr="003059E9">
              <w:t>244</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Further Review Panel Directions 24 and 25</w:t>
            </w:r>
          </w:p>
          <w:p w:rsidR="00840FF5" w:rsidRPr="003059E9" w:rsidRDefault="00840FF5" w:rsidP="00840FF5">
            <w:pPr>
              <w:pStyle w:val="PPVTableText"/>
            </w:pPr>
            <w:r w:rsidRPr="003059E9">
              <w:t>Revised Hearing Timetable (Version 4)</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245</w:t>
            </w:r>
          </w:p>
        </w:tc>
        <w:tc>
          <w:tcPr>
            <w:tcW w:w="1231" w:type="dxa"/>
          </w:tcPr>
          <w:p w:rsidR="00840FF5" w:rsidRPr="003059E9" w:rsidRDefault="00840FF5" w:rsidP="00840FF5">
            <w:pPr>
              <w:pStyle w:val="PPVTableText"/>
            </w:pPr>
            <w:r w:rsidRPr="003059E9">
              <w:t>18/04/18</w:t>
            </w:r>
          </w:p>
        </w:tc>
        <w:tc>
          <w:tcPr>
            <w:tcW w:w="4253" w:type="dxa"/>
          </w:tcPr>
          <w:p w:rsidR="00840FF5" w:rsidRPr="003059E9" w:rsidRDefault="00840FF5" w:rsidP="00840FF5">
            <w:pPr>
              <w:pStyle w:val="PPVTableText"/>
            </w:pPr>
            <w:r w:rsidRPr="003059E9">
              <w:t>Fishermans Bend Current Development Activity</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246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Timelines for providing corrected / updated planning scheme maps and draft controls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247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Section 46 Evidence Act 1995</w:t>
            </w:r>
          </w:p>
        </w:tc>
        <w:tc>
          <w:tcPr>
            <w:tcW w:w="3067" w:type="dxa"/>
          </w:tcPr>
          <w:p w:rsidR="00840FF5" w:rsidRPr="003059E9" w:rsidRDefault="00E5286E" w:rsidP="00840FF5">
            <w:pPr>
              <w:pStyle w:val="PPVTableText"/>
            </w:pPr>
            <w:r>
              <w:t>Counsel assisting</w:t>
            </w:r>
            <w:r w:rsidR="00840FF5" w:rsidRPr="003059E9">
              <w:t xml:space="preserve">, Counsel </w:t>
            </w:r>
            <w:r w:rsidR="00576336">
              <w:t>a</w:t>
            </w:r>
            <w:r w:rsidR="00840FF5" w:rsidRPr="003059E9">
              <w:t>ssisting</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248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Further submission from Property Council of Australia</w:t>
            </w:r>
          </w:p>
        </w:tc>
        <w:tc>
          <w:tcPr>
            <w:tcW w:w="3067" w:type="dxa"/>
          </w:tcPr>
          <w:p w:rsidR="00840FF5" w:rsidRPr="003059E9" w:rsidRDefault="00840FF5" w:rsidP="00840FF5">
            <w:pPr>
              <w:pStyle w:val="PPVTableText"/>
            </w:pPr>
            <w:r w:rsidRPr="003059E9">
              <w:t>Mr Crawford, Property Council of Australia</w:t>
            </w:r>
          </w:p>
        </w:tc>
      </w:tr>
      <w:tr w:rsidR="00840FF5" w:rsidRPr="003059E9" w:rsidTr="00002386">
        <w:trPr>
          <w:cantSplit/>
        </w:trPr>
        <w:tc>
          <w:tcPr>
            <w:tcW w:w="720" w:type="dxa"/>
          </w:tcPr>
          <w:p w:rsidR="00840FF5" w:rsidRPr="003059E9" w:rsidRDefault="00840FF5" w:rsidP="00840FF5">
            <w:pPr>
              <w:pStyle w:val="PPVTableText"/>
            </w:pPr>
            <w:r w:rsidRPr="003059E9">
              <w:t>249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Further submission from Bellamia Nominees and PCLC Investment</w:t>
            </w:r>
          </w:p>
        </w:tc>
        <w:tc>
          <w:tcPr>
            <w:tcW w:w="3067" w:type="dxa"/>
          </w:tcPr>
          <w:p w:rsidR="00840FF5" w:rsidRPr="003059E9" w:rsidRDefault="00840FF5" w:rsidP="00840FF5">
            <w:pPr>
              <w:pStyle w:val="PPVTableText"/>
            </w:pPr>
            <w:r w:rsidRPr="003059E9">
              <w:t xml:space="preserve">Mr </w:t>
            </w:r>
            <w:r w:rsidRPr="00180DA1">
              <w:t>Weinmann</w:t>
            </w:r>
            <w:r w:rsidRPr="003059E9">
              <w:t>, Bellamia Nominees P/L and PCLC Investment</w:t>
            </w:r>
          </w:p>
        </w:tc>
      </w:tr>
      <w:tr w:rsidR="00840FF5" w:rsidRPr="003059E9" w:rsidTr="00002386">
        <w:trPr>
          <w:cantSplit/>
        </w:trPr>
        <w:tc>
          <w:tcPr>
            <w:tcW w:w="720" w:type="dxa"/>
          </w:tcPr>
          <w:p w:rsidR="00840FF5" w:rsidRPr="003059E9" w:rsidRDefault="00840FF5" w:rsidP="00840FF5">
            <w:pPr>
              <w:pStyle w:val="PPVTableText"/>
            </w:pPr>
            <w:r w:rsidRPr="003059E9">
              <w:t>250</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Norton Rose Fulbright letter of instruction to Mr Biacsi</w:t>
            </w:r>
          </w:p>
          <w:p w:rsidR="00840FF5" w:rsidRDefault="00840FF5" w:rsidP="00840FF5">
            <w:pPr>
              <w:pStyle w:val="PPVTableText"/>
            </w:pPr>
            <w:r w:rsidRPr="003059E9">
              <w:t>Russel</w:t>
            </w:r>
            <w:r w:rsidR="00836F74">
              <w:t>l</w:t>
            </w:r>
            <w:r w:rsidRPr="003059E9">
              <w:t xml:space="preserve"> Ken</w:t>
            </w:r>
            <w:r w:rsidR="00836F74">
              <w:t>n</w:t>
            </w:r>
            <w:r w:rsidRPr="003059E9">
              <w:t>edy letter of instruction to Mr Biacsi</w:t>
            </w:r>
          </w:p>
          <w:p w:rsidR="00840FF5" w:rsidRDefault="00840FF5" w:rsidP="00840FF5">
            <w:pPr>
              <w:pStyle w:val="PPVTableText"/>
            </w:pPr>
            <w:r w:rsidRPr="003059E9">
              <w:t>List of documents referred to by Mr Biacsi</w:t>
            </w:r>
          </w:p>
          <w:p w:rsidR="00840FF5" w:rsidRPr="003059E9" w:rsidRDefault="00840FF5" w:rsidP="00840FF5">
            <w:pPr>
              <w:pStyle w:val="PPVTableText"/>
            </w:pPr>
            <w:r w:rsidRPr="003059E9">
              <w:t xml:space="preserve">List of properties in </w:t>
            </w:r>
            <w:r w:rsidR="00FC563B">
              <w:t xml:space="preserve">Fishermans Bend </w:t>
            </w:r>
            <w:r w:rsidRPr="003059E9">
              <w:t>with which Mr Biacsi has had involvement</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251</w:t>
            </w:r>
          </w:p>
        </w:tc>
        <w:tc>
          <w:tcPr>
            <w:tcW w:w="1231" w:type="dxa"/>
          </w:tcPr>
          <w:p w:rsidR="00840FF5" w:rsidRPr="003059E9" w:rsidRDefault="00840FF5" w:rsidP="00840FF5">
            <w:pPr>
              <w:pStyle w:val="PPVTableText"/>
            </w:pPr>
            <w:r w:rsidRPr="003059E9">
              <w:t>19/04/18</w:t>
            </w:r>
          </w:p>
        </w:tc>
        <w:tc>
          <w:tcPr>
            <w:tcW w:w="4253" w:type="dxa"/>
          </w:tcPr>
          <w:p w:rsidR="00840FF5" w:rsidRPr="003059E9" w:rsidRDefault="00840FF5" w:rsidP="00840FF5">
            <w:pPr>
              <w:pStyle w:val="PPVTableText"/>
            </w:pPr>
            <w:r w:rsidRPr="003059E9">
              <w:t>Correspondence in response to the request to recall witnesses</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252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on matters for consideration by the Review Panel, Landowners Group</w:t>
            </w:r>
          </w:p>
        </w:tc>
        <w:tc>
          <w:tcPr>
            <w:tcW w:w="3067" w:type="dxa"/>
          </w:tcPr>
          <w:p w:rsidR="00840FF5" w:rsidRPr="003059E9" w:rsidRDefault="00840FF5" w:rsidP="00840FF5">
            <w:pPr>
              <w:pStyle w:val="PPVTableText"/>
            </w:pPr>
            <w:r w:rsidRPr="003059E9">
              <w:t>Mr Tweedie</w:t>
            </w:r>
          </w:p>
        </w:tc>
      </w:tr>
      <w:tr w:rsidR="00840FF5" w:rsidRPr="003059E9" w:rsidTr="00002386">
        <w:trPr>
          <w:cantSplit/>
        </w:trPr>
        <w:tc>
          <w:tcPr>
            <w:tcW w:w="720" w:type="dxa"/>
          </w:tcPr>
          <w:p w:rsidR="00840FF5" w:rsidRPr="003059E9" w:rsidRDefault="00840FF5" w:rsidP="00840FF5">
            <w:pPr>
              <w:pStyle w:val="PPVTableText"/>
            </w:pPr>
            <w:r w:rsidRPr="003059E9">
              <w:t>253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Outline of submissions, Landowners Group</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254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Memorandum of Advice, re amendment C270 to Melbourne Planning Scheme, Mr Morris QC</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255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Equity Trustees Executors and Agency Co Ltd and ORS V Melbourne and Metropolitan Board of Works [1993] 81 LGERA 86</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256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Meriton Apartments Pty Ltd v Minister for Urban Affairs and Planning [2000] NSWLEC20</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257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Seventh Columbo Pty Ltd v Melbourne City Council [1998] VSC 7</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258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Mainline Investments V City of Whittlesea [2005] VCAT 1917</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259</w:t>
            </w:r>
          </w:p>
        </w:tc>
        <w:tc>
          <w:tcPr>
            <w:tcW w:w="1231" w:type="dxa"/>
          </w:tcPr>
          <w:p w:rsidR="00840FF5" w:rsidRPr="003059E9" w:rsidRDefault="00840FF5" w:rsidP="00840FF5">
            <w:pPr>
              <w:pStyle w:val="PPVTableText"/>
            </w:pPr>
            <w:r w:rsidRPr="003059E9">
              <w:t>20/04/18</w:t>
            </w:r>
          </w:p>
        </w:tc>
        <w:tc>
          <w:tcPr>
            <w:tcW w:w="4253" w:type="dxa"/>
          </w:tcPr>
          <w:p w:rsidR="00840FF5" w:rsidRPr="003059E9" w:rsidRDefault="00840FF5" w:rsidP="00840FF5">
            <w:pPr>
              <w:pStyle w:val="PPVTableText"/>
            </w:pPr>
            <w:r w:rsidRPr="003059E9">
              <w:t>Further submission – response to matters taken on notice (version 2)</w:t>
            </w:r>
          </w:p>
        </w:tc>
        <w:tc>
          <w:tcPr>
            <w:tcW w:w="3067" w:type="dxa"/>
          </w:tcPr>
          <w:p w:rsidR="00840FF5" w:rsidRPr="003059E9" w:rsidRDefault="00840FF5" w:rsidP="00840FF5">
            <w:pPr>
              <w:pStyle w:val="PPVTableText"/>
            </w:pPr>
            <w:r w:rsidRPr="003059E9">
              <w:t>Ms White, Architects Institute of Australia (Victorian Chapter)</w:t>
            </w:r>
          </w:p>
        </w:tc>
      </w:tr>
      <w:tr w:rsidR="00840FF5" w:rsidRPr="003059E9" w:rsidTr="00002386">
        <w:trPr>
          <w:cantSplit/>
        </w:trPr>
        <w:tc>
          <w:tcPr>
            <w:tcW w:w="720" w:type="dxa"/>
          </w:tcPr>
          <w:p w:rsidR="00840FF5" w:rsidRPr="003059E9" w:rsidRDefault="00840FF5" w:rsidP="00840FF5">
            <w:pPr>
              <w:pStyle w:val="PPVTableText"/>
            </w:pPr>
            <w:r w:rsidRPr="003059E9">
              <w:t>260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List of property owners and occupants notified of proposed open space recommendations within the City of Melbourne</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261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List of property owners and occupants notified of proposed open space recommendations within the City of Port Phillip</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262</w:t>
            </w:r>
          </w:p>
        </w:tc>
        <w:tc>
          <w:tcPr>
            <w:tcW w:w="1231" w:type="dxa"/>
          </w:tcPr>
          <w:p w:rsidR="00840FF5" w:rsidRPr="003059E9" w:rsidRDefault="00840FF5" w:rsidP="00840FF5">
            <w:pPr>
              <w:pStyle w:val="PPVTableText"/>
            </w:pPr>
          </w:p>
        </w:tc>
        <w:tc>
          <w:tcPr>
            <w:tcW w:w="4253" w:type="dxa"/>
          </w:tcPr>
          <w:p w:rsidR="00840FF5" w:rsidRDefault="00840FF5" w:rsidP="00840FF5">
            <w:pPr>
              <w:pStyle w:val="PPVTableText"/>
            </w:pPr>
            <w:r w:rsidRPr="003059E9">
              <w:t>Revised DDO, Part C (clean version)</w:t>
            </w:r>
          </w:p>
          <w:p w:rsidR="00840FF5" w:rsidRPr="003059E9" w:rsidRDefault="00840FF5" w:rsidP="00840FF5">
            <w:pPr>
              <w:pStyle w:val="PPVTableText"/>
            </w:pPr>
            <w:r w:rsidRPr="003059E9">
              <w:t>Revised DDO, Part C (marked up)</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263</w:t>
            </w:r>
          </w:p>
        </w:tc>
        <w:tc>
          <w:tcPr>
            <w:tcW w:w="1231" w:type="dxa"/>
          </w:tcPr>
          <w:p w:rsidR="00840FF5" w:rsidRPr="003059E9" w:rsidRDefault="00840FF5" w:rsidP="00840FF5">
            <w:pPr>
              <w:pStyle w:val="PPVTableText"/>
            </w:pPr>
            <w:r w:rsidRPr="003059E9">
              <w:t>23/03/14</w:t>
            </w:r>
          </w:p>
        </w:tc>
        <w:tc>
          <w:tcPr>
            <w:tcW w:w="4253" w:type="dxa"/>
          </w:tcPr>
          <w:p w:rsidR="00840FF5" w:rsidRPr="003059E9" w:rsidRDefault="00840FF5" w:rsidP="00840FF5">
            <w:pPr>
              <w:pStyle w:val="PPVTableText"/>
            </w:pPr>
            <w:r w:rsidRPr="003059E9">
              <w:t>Written submission</w:t>
            </w:r>
          </w:p>
        </w:tc>
        <w:tc>
          <w:tcPr>
            <w:tcW w:w="3067" w:type="dxa"/>
          </w:tcPr>
          <w:p w:rsidR="00840FF5" w:rsidRPr="003059E9" w:rsidRDefault="00840FF5" w:rsidP="00840FF5">
            <w:pPr>
              <w:pStyle w:val="PPVTableText"/>
            </w:pPr>
            <w:r w:rsidRPr="003059E9">
              <w:t>Mr Wren</w:t>
            </w:r>
          </w:p>
        </w:tc>
      </w:tr>
      <w:tr w:rsidR="00840FF5" w:rsidRPr="003059E9" w:rsidTr="00002386">
        <w:trPr>
          <w:cantSplit/>
        </w:trPr>
        <w:tc>
          <w:tcPr>
            <w:tcW w:w="720" w:type="dxa"/>
          </w:tcPr>
          <w:p w:rsidR="00840FF5" w:rsidRPr="003059E9" w:rsidRDefault="00840FF5" w:rsidP="00840FF5">
            <w:pPr>
              <w:pStyle w:val="PPVTableText"/>
            </w:pPr>
            <w:r w:rsidRPr="003059E9">
              <w:t>264</w:t>
            </w:r>
          </w:p>
        </w:tc>
        <w:tc>
          <w:tcPr>
            <w:tcW w:w="1231" w:type="dxa"/>
          </w:tcPr>
          <w:p w:rsidR="00840FF5" w:rsidRPr="003059E9" w:rsidRDefault="00840FF5" w:rsidP="00840FF5">
            <w:pPr>
              <w:pStyle w:val="PPVTableText"/>
            </w:pPr>
            <w:r w:rsidRPr="003059E9">
              <w:t>20/04/18</w:t>
            </w:r>
          </w:p>
        </w:tc>
        <w:tc>
          <w:tcPr>
            <w:tcW w:w="4253" w:type="dxa"/>
          </w:tcPr>
          <w:p w:rsidR="00840FF5" w:rsidRPr="003059E9" w:rsidRDefault="00840FF5" w:rsidP="00840FF5">
            <w:pPr>
              <w:pStyle w:val="PPVTableText"/>
            </w:pPr>
            <w:r w:rsidRPr="003059E9">
              <w:t>Revised Hearing Timetable (Version 5)</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265</w:t>
            </w:r>
          </w:p>
        </w:tc>
        <w:tc>
          <w:tcPr>
            <w:tcW w:w="1231" w:type="dxa"/>
          </w:tcPr>
          <w:p w:rsidR="00840FF5" w:rsidRPr="003059E9" w:rsidRDefault="00840FF5" w:rsidP="00840FF5">
            <w:pPr>
              <w:pStyle w:val="PPVTableText"/>
            </w:pPr>
            <w:r w:rsidRPr="003059E9">
              <w:t>23/04/18</w:t>
            </w:r>
          </w:p>
        </w:tc>
        <w:tc>
          <w:tcPr>
            <w:tcW w:w="4253" w:type="dxa"/>
          </w:tcPr>
          <w:p w:rsidR="00840FF5" w:rsidRPr="003059E9" w:rsidRDefault="00840FF5" w:rsidP="00840FF5">
            <w:pPr>
              <w:pStyle w:val="PPVTableText"/>
            </w:pPr>
            <w:r w:rsidRPr="003059E9">
              <w:t>Mr Shimmin Response to Review Panel questions on notice</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266</w:t>
            </w:r>
          </w:p>
        </w:tc>
        <w:tc>
          <w:tcPr>
            <w:tcW w:w="1231" w:type="dxa"/>
          </w:tcPr>
          <w:p w:rsidR="00840FF5" w:rsidRPr="003059E9" w:rsidRDefault="00840FF5" w:rsidP="00840FF5">
            <w:pPr>
              <w:pStyle w:val="PPVTableText"/>
            </w:pPr>
            <w:r w:rsidRPr="003059E9">
              <w:t>24/04/18</w:t>
            </w:r>
          </w:p>
        </w:tc>
        <w:tc>
          <w:tcPr>
            <w:tcW w:w="4253" w:type="dxa"/>
          </w:tcPr>
          <w:p w:rsidR="00840FF5" w:rsidRDefault="00840FF5" w:rsidP="00840FF5">
            <w:pPr>
              <w:pStyle w:val="PPVTableText"/>
            </w:pPr>
            <w:r w:rsidRPr="003059E9">
              <w:t>Resolution of Future Melbourne Committee 170418</w:t>
            </w:r>
          </w:p>
          <w:p w:rsidR="00840FF5" w:rsidRPr="003059E9" w:rsidRDefault="00840FF5" w:rsidP="00840FF5">
            <w:pPr>
              <w:pStyle w:val="PPVTableText"/>
            </w:pPr>
            <w:r w:rsidRPr="003059E9">
              <w:t>Report of the Future Melbourne (planning) Committee dated 17 April 2018 re Amendment C309</w:t>
            </w:r>
          </w:p>
        </w:tc>
        <w:tc>
          <w:tcPr>
            <w:tcW w:w="3067" w:type="dxa"/>
          </w:tcPr>
          <w:p w:rsidR="00840FF5" w:rsidRPr="003059E9" w:rsidRDefault="00840FF5" w:rsidP="00840FF5">
            <w:pPr>
              <w:pStyle w:val="PPVTableText"/>
            </w:pPr>
            <w:r w:rsidRPr="003059E9">
              <w:t>Ms Ryan, City of Melbourne</w:t>
            </w:r>
          </w:p>
        </w:tc>
      </w:tr>
      <w:tr w:rsidR="00840FF5" w:rsidRPr="003059E9" w:rsidTr="00002386">
        <w:trPr>
          <w:cantSplit/>
        </w:trPr>
        <w:tc>
          <w:tcPr>
            <w:tcW w:w="720" w:type="dxa"/>
          </w:tcPr>
          <w:p w:rsidR="00840FF5" w:rsidRPr="003059E9" w:rsidRDefault="00840FF5" w:rsidP="00840FF5">
            <w:pPr>
              <w:pStyle w:val="PPVTableText"/>
            </w:pPr>
            <w:r w:rsidRPr="003059E9">
              <w:t>267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Addenda 6 to Ms Hodyl evidence (TO BE RESUBMITTED ON 30/04)</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268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from Inchcape and attachments</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269</w:t>
            </w:r>
          </w:p>
        </w:tc>
        <w:tc>
          <w:tcPr>
            <w:tcW w:w="1231" w:type="dxa"/>
          </w:tcPr>
          <w:p w:rsidR="00840FF5" w:rsidRPr="003059E9" w:rsidRDefault="00840FF5" w:rsidP="00840FF5">
            <w:pPr>
              <w:pStyle w:val="PPVTableText"/>
            </w:pPr>
            <w:r w:rsidRPr="003059E9">
              <w:t>26/04/18</w:t>
            </w:r>
          </w:p>
        </w:tc>
        <w:tc>
          <w:tcPr>
            <w:tcW w:w="4253" w:type="dxa"/>
          </w:tcPr>
          <w:p w:rsidR="00840FF5" w:rsidRPr="003059E9" w:rsidRDefault="00840FF5" w:rsidP="00840FF5">
            <w:pPr>
              <w:pStyle w:val="PPVTableText"/>
            </w:pPr>
            <w:r w:rsidRPr="003059E9">
              <w:t>Correspondence in relation to Ms Hodyl Addenda 6</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270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Presentation for Goodman Limited</w:t>
            </w:r>
          </w:p>
        </w:tc>
        <w:tc>
          <w:tcPr>
            <w:tcW w:w="3067" w:type="dxa"/>
          </w:tcPr>
          <w:p w:rsidR="00840FF5" w:rsidRPr="003059E9" w:rsidRDefault="00840FF5" w:rsidP="00840FF5">
            <w:pPr>
              <w:pStyle w:val="PPVTableText"/>
            </w:pPr>
            <w:r w:rsidRPr="003059E9">
              <w:t>Ms Heggen, Message Consultants</w:t>
            </w:r>
          </w:p>
        </w:tc>
      </w:tr>
      <w:tr w:rsidR="00840FF5" w:rsidRPr="003059E9" w:rsidTr="00002386">
        <w:trPr>
          <w:cantSplit/>
        </w:trPr>
        <w:tc>
          <w:tcPr>
            <w:tcW w:w="720" w:type="dxa"/>
          </w:tcPr>
          <w:p w:rsidR="00840FF5" w:rsidRPr="003059E9" w:rsidRDefault="00840FF5" w:rsidP="00840FF5">
            <w:pPr>
              <w:pStyle w:val="PPVTableText"/>
            </w:pPr>
            <w:r w:rsidRPr="003059E9">
              <w:t>271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on behalf of Goodman</w:t>
            </w:r>
          </w:p>
        </w:tc>
        <w:tc>
          <w:tcPr>
            <w:tcW w:w="3067" w:type="dxa"/>
          </w:tcPr>
          <w:p w:rsidR="00840FF5" w:rsidRPr="003059E9" w:rsidRDefault="00840FF5" w:rsidP="00840FF5">
            <w:pPr>
              <w:pStyle w:val="PPVTableText"/>
            </w:pPr>
            <w:r w:rsidRPr="003059E9">
              <w:t>Mr Tweedie</w:t>
            </w:r>
          </w:p>
        </w:tc>
      </w:tr>
      <w:tr w:rsidR="00840FF5" w:rsidRPr="003059E9" w:rsidTr="00002386">
        <w:trPr>
          <w:cantSplit/>
        </w:trPr>
        <w:tc>
          <w:tcPr>
            <w:tcW w:w="720" w:type="dxa"/>
          </w:tcPr>
          <w:p w:rsidR="00840FF5" w:rsidRPr="003059E9" w:rsidRDefault="00840FF5" w:rsidP="00840FF5">
            <w:pPr>
              <w:pStyle w:val="PPVTableText"/>
            </w:pPr>
            <w:r w:rsidRPr="003059E9">
              <w:t>272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A80B82" w:rsidP="00840FF5">
            <w:pPr>
              <w:pStyle w:val="PPVTableText"/>
            </w:pPr>
            <w:r>
              <w:t xml:space="preserve">850 – </w:t>
            </w:r>
            <w:r w:rsidR="00840FF5" w:rsidRPr="003059E9">
              <w:t>868 Lorimer Street, Port Melbourne Development Plans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273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Letter requesting Panel issue direction on CCZ controls for Lorimer </w:t>
            </w:r>
            <w:r w:rsidR="006C32DA">
              <w:t>P</w:t>
            </w:r>
            <w:r w:rsidRPr="003059E9">
              <w:t xml:space="preserve">recinct </w:t>
            </w:r>
          </w:p>
        </w:tc>
        <w:tc>
          <w:tcPr>
            <w:tcW w:w="3067" w:type="dxa"/>
          </w:tcPr>
          <w:p w:rsidR="00840FF5" w:rsidRPr="003059E9" w:rsidRDefault="00840FF5" w:rsidP="00840FF5">
            <w:pPr>
              <w:pStyle w:val="PPVTableText"/>
            </w:pPr>
            <w:r w:rsidRPr="003059E9">
              <w:t>Mr Memmolo, Ponte Lawyers</w:t>
            </w:r>
          </w:p>
        </w:tc>
      </w:tr>
      <w:tr w:rsidR="00840FF5" w:rsidRPr="003059E9" w:rsidTr="00002386">
        <w:trPr>
          <w:cantSplit/>
        </w:trPr>
        <w:tc>
          <w:tcPr>
            <w:tcW w:w="720" w:type="dxa"/>
          </w:tcPr>
          <w:p w:rsidR="00840FF5" w:rsidRPr="003059E9" w:rsidRDefault="00840FF5" w:rsidP="00840FF5">
            <w:pPr>
              <w:pStyle w:val="PPVTableText"/>
            </w:pPr>
            <w:r w:rsidRPr="003059E9">
              <w:t>274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Correspondence advising of APN DF2 Project 1 Pty Ltd’s withdrawal from the </w:t>
            </w:r>
            <w:r w:rsidR="00821670">
              <w:t>H</w:t>
            </w:r>
            <w:r w:rsidRPr="003059E9">
              <w:t>earing</w:t>
            </w:r>
          </w:p>
        </w:tc>
        <w:tc>
          <w:tcPr>
            <w:tcW w:w="3067" w:type="dxa"/>
          </w:tcPr>
          <w:p w:rsidR="00840FF5" w:rsidRPr="003059E9" w:rsidRDefault="00840FF5" w:rsidP="00840FF5">
            <w:pPr>
              <w:pStyle w:val="PPVTableText"/>
            </w:pPr>
            <w:r w:rsidRPr="003059E9">
              <w:t>Mr Passarella, Mills Oakley Lawyers</w:t>
            </w:r>
          </w:p>
        </w:tc>
      </w:tr>
      <w:tr w:rsidR="00840FF5" w:rsidRPr="003059E9" w:rsidTr="00002386">
        <w:trPr>
          <w:cantSplit/>
        </w:trPr>
        <w:tc>
          <w:tcPr>
            <w:tcW w:w="720" w:type="dxa"/>
          </w:tcPr>
          <w:p w:rsidR="00840FF5" w:rsidRPr="003059E9" w:rsidRDefault="00840FF5" w:rsidP="00840FF5">
            <w:pPr>
              <w:pStyle w:val="PPVTableText"/>
            </w:pPr>
            <w:r w:rsidRPr="003059E9">
              <w:t>275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from Industry Business Hub Plan No. 607275B</w:t>
            </w:r>
          </w:p>
        </w:tc>
        <w:tc>
          <w:tcPr>
            <w:tcW w:w="3067" w:type="dxa"/>
          </w:tcPr>
          <w:p w:rsidR="00840FF5" w:rsidRPr="003059E9" w:rsidRDefault="00840FF5" w:rsidP="00840FF5">
            <w:pPr>
              <w:pStyle w:val="PPVTableText"/>
            </w:pPr>
            <w:r w:rsidRPr="003059E9">
              <w:t>Mr Pitt, Best Hooper Lawyers</w:t>
            </w:r>
          </w:p>
        </w:tc>
      </w:tr>
      <w:tr w:rsidR="00840FF5" w:rsidRPr="003059E9" w:rsidTr="00002386">
        <w:trPr>
          <w:cantSplit/>
        </w:trPr>
        <w:tc>
          <w:tcPr>
            <w:tcW w:w="720" w:type="dxa"/>
          </w:tcPr>
          <w:p w:rsidR="00840FF5" w:rsidRPr="003059E9" w:rsidRDefault="00840FF5" w:rsidP="00840FF5">
            <w:pPr>
              <w:pStyle w:val="PPVTableText"/>
            </w:pPr>
            <w:r w:rsidRPr="003059E9">
              <w:t>276</w:t>
            </w:r>
          </w:p>
        </w:tc>
        <w:tc>
          <w:tcPr>
            <w:tcW w:w="1231" w:type="dxa"/>
          </w:tcPr>
          <w:p w:rsidR="00840FF5" w:rsidRPr="003059E9" w:rsidRDefault="00840FF5" w:rsidP="00840FF5">
            <w:pPr>
              <w:pStyle w:val="PPVTableText"/>
            </w:pPr>
            <w:r w:rsidRPr="003059E9">
              <w:t>30/04/18</w:t>
            </w:r>
          </w:p>
        </w:tc>
        <w:tc>
          <w:tcPr>
            <w:tcW w:w="4253" w:type="dxa"/>
          </w:tcPr>
          <w:p w:rsidR="00840FF5" w:rsidRPr="003059E9" w:rsidRDefault="00840FF5" w:rsidP="00840FF5">
            <w:pPr>
              <w:pStyle w:val="PPVTableText"/>
            </w:pPr>
            <w:r w:rsidRPr="003059E9">
              <w:t>General submission</w:t>
            </w:r>
          </w:p>
        </w:tc>
        <w:tc>
          <w:tcPr>
            <w:tcW w:w="3067" w:type="dxa"/>
          </w:tcPr>
          <w:p w:rsidR="00840FF5" w:rsidRPr="003059E9" w:rsidRDefault="00840FF5" w:rsidP="00840FF5">
            <w:pPr>
              <w:pStyle w:val="PPVTableText"/>
            </w:pPr>
            <w:r w:rsidRPr="003059E9">
              <w:t>Ms Collingwood of Counsel</w:t>
            </w:r>
          </w:p>
        </w:tc>
      </w:tr>
      <w:tr w:rsidR="00840FF5" w:rsidRPr="003059E9" w:rsidTr="00002386">
        <w:trPr>
          <w:cantSplit/>
        </w:trPr>
        <w:tc>
          <w:tcPr>
            <w:tcW w:w="720" w:type="dxa"/>
          </w:tcPr>
          <w:p w:rsidR="00840FF5" w:rsidRPr="003059E9" w:rsidRDefault="00840FF5" w:rsidP="00840FF5">
            <w:pPr>
              <w:pStyle w:val="PPVTableText"/>
            </w:pPr>
            <w:r w:rsidRPr="003059E9">
              <w:t>277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Revised version of Hodyl Addenda 6 (Document 267)</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278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Response from Harwood Andrews to Barro Group request for documents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279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Revised Hearing Timetable (version 6) </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280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Addenda to EPA submission</w:t>
            </w:r>
          </w:p>
        </w:tc>
        <w:tc>
          <w:tcPr>
            <w:tcW w:w="3067" w:type="dxa"/>
          </w:tcPr>
          <w:p w:rsidR="00840FF5" w:rsidRPr="003059E9" w:rsidRDefault="00840FF5" w:rsidP="00840FF5">
            <w:pPr>
              <w:pStyle w:val="PPVTableText"/>
            </w:pPr>
            <w:r w:rsidRPr="003059E9">
              <w:t>Ms Davies, EPA</w:t>
            </w:r>
          </w:p>
        </w:tc>
      </w:tr>
      <w:tr w:rsidR="00840FF5" w:rsidRPr="003059E9" w:rsidTr="00002386">
        <w:trPr>
          <w:cantSplit/>
        </w:trPr>
        <w:tc>
          <w:tcPr>
            <w:tcW w:w="720" w:type="dxa"/>
          </w:tcPr>
          <w:p w:rsidR="00840FF5" w:rsidRPr="003059E9" w:rsidRDefault="00840FF5" w:rsidP="00840FF5">
            <w:pPr>
              <w:pStyle w:val="PPVTableText"/>
            </w:pPr>
            <w:r w:rsidRPr="003059E9">
              <w:t>281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Note of budget measures of Fishermans Bend</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282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Replacement page 17 for Hodyl Addenda 6 (Document 277)</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283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Addendum to evidence statement of Mr Williamson</w:t>
            </w:r>
          </w:p>
        </w:tc>
        <w:tc>
          <w:tcPr>
            <w:tcW w:w="3067" w:type="dxa"/>
          </w:tcPr>
          <w:p w:rsidR="00840FF5" w:rsidRPr="003059E9" w:rsidRDefault="00840FF5" w:rsidP="00840FF5">
            <w:pPr>
              <w:pStyle w:val="PPVTableText"/>
            </w:pPr>
            <w:r w:rsidRPr="003059E9">
              <w:t>Ms Ryan, City of Melbourne</w:t>
            </w:r>
          </w:p>
        </w:tc>
      </w:tr>
      <w:tr w:rsidR="00840FF5" w:rsidRPr="003059E9" w:rsidTr="00002386">
        <w:trPr>
          <w:cantSplit/>
        </w:trPr>
        <w:tc>
          <w:tcPr>
            <w:tcW w:w="720" w:type="dxa"/>
          </w:tcPr>
          <w:p w:rsidR="00840FF5" w:rsidRPr="003059E9" w:rsidRDefault="00840FF5" w:rsidP="00840FF5">
            <w:pPr>
              <w:pStyle w:val="PPVTableText"/>
            </w:pPr>
            <w:r w:rsidRPr="003059E9">
              <w:t>284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regarding notification of 87 Gladstone Street</w:t>
            </w:r>
          </w:p>
        </w:tc>
        <w:tc>
          <w:tcPr>
            <w:tcW w:w="3067" w:type="dxa"/>
          </w:tcPr>
          <w:p w:rsidR="00840FF5" w:rsidRPr="003059E9" w:rsidRDefault="00840FF5" w:rsidP="00840FF5">
            <w:pPr>
              <w:pStyle w:val="PPVTableText"/>
            </w:pPr>
            <w:r w:rsidRPr="003059E9">
              <w:t>Ms Goodall, DELWP Taskforce</w:t>
            </w:r>
          </w:p>
        </w:tc>
      </w:tr>
      <w:tr w:rsidR="00840FF5" w:rsidRPr="003059E9" w:rsidTr="00002386">
        <w:trPr>
          <w:cantSplit/>
        </w:trPr>
        <w:tc>
          <w:tcPr>
            <w:tcW w:w="720" w:type="dxa"/>
          </w:tcPr>
          <w:p w:rsidR="00840FF5" w:rsidRPr="003059E9" w:rsidRDefault="00840FF5" w:rsidP="00840FF5">
            <w:pPr>
              <w:pStyle w:val="PPVTableText"/>
            </w:pPr>
            <w:r w:rsidRPr="003059E9">
              <w:t>285</w:t>
            </w:r>
          </w:p>
        </w:tc>
        <w:tc>
          <w:tcPr>
            <w:tcW w:w="1231" w:type="dxa"/>
          </w:tcPr>
          <w:p w:rsidR="00840FF5" w:rsidRPr="003059E9" w:rsidRDefault="005C1A55" w:rsidP="00840FF5">
            <w:pPr>
              <w:pStyle w:val="PPVTableText"/>
            </w:pPr>
            <w:r>
              <w:t>03/0</w:t>
            </w:r>
            <w:r w:rsidR="00840FF5" w:rsidRPr="003059E9">
              <w:t>5/18</w:t>
            </w:r>
          </w:p>
        </w:tc>
        <w:tc>
          <w:tcPr>
            <w:tcW w:w="4253" w:type="dxa"/>
          </w:tcPr>
          <w:p w:rsidR="00840FF5" w:rsidRPr="003059E9" w:rsidRDefault="00840FF5" w:rsidP="00840FF5">
            <w:pPr>
              <w:pStyle w:val="PPVTableText"/>
            </w:pPr>
            <w:r w:rsidRPr="003059E9">
              <w:t>Land acquisition and compensation paper by Mr Morris</w:t>
            </w:r>
          </w:p>
        </w:tc>
        <w:tc>
          <w:tcPr>
            <w:tcW w:w="3067" w:type="dxa"/>
          </w:tcPr>
          <w:p w:rsidR="00840FF5" w:rsidRPr="003059E9" w:rsidRDefault="00840FF5" w:rsidP="00840FF5">
            <w:pPr>
              <w:pStyle w:val="PPVTableText"/>
            </w:pPr>
            <w:r w:rsidRPr="003059E9">
              <w:t xml:space="preserve">Mr Morris </w:t>
            </w:r>
          </w:p>
        </w:tc>
      </w:tr>
      <w:tr w:rsidR="00840FF5" w:rsidRPr="003059E9" w:rsidTr="00002386">
        <w:trPr>
          <w:cantSplit/>
        </w:trPr>
        <w:tc>
          <w:tcPr>
            <w:tcW w:w="720" w:type="dxa"/>
          </w:tcPr>
          <w:p w:rsidR="00840FF5" w:rsidRPr="003059E9" w:rsidRDefault="00840FF5" w:rsidP="00840FF5">
            <w:pPr>
              <w:pStyle w:val="PPVTableText"/>
            </w:pPr>
            <w:r w:rsidRPr="003059E9">
              <w:t>286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Whelan Kartaway v Minister for Planning</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287</w:t>
            </w:r>
          </w:p>
        </w:tc>
        <w:tc>
          <w:tcPr>
            <w:tcW w:w="1231" w:type="dxa"/>
          </w:tcPr>
          <w:p w:rsidR="00840FF5" w:rsidRPr="003059E9" w:rsidRDefault="00ED603F" w:rsidP="00840FF5">
            <w:pPr>
              <w:pStyle w:val="PPVTableText"/>
            </w:pPr>
            <w:r>
              <w:t>“</w:t>
            </w:r>
          </w:p>
        </w:tc>
        <w:tc>
          <w:tcPr>
            <w:tcW w:w="4253" w:type="dxa"/>
          </w:tcPr>
          <w:p w:rsidR="00840FF5" w:rsidRPr="003059E9" w:rsidRDefault="00840FF5" w:rsidP="00840FF5">
            <w:pPr>
              <w:pStyle w:val="PPVTableText"/>
            </w:pPr>
            <w:r w:rsidRPr="003059E9">
              <w:t>Extracts from Planning &amp; Environment Act</w:t>
            </w:r>
          </w:p>
        </w:tc>
        <w:tc>
          <w:tcPr>
            <w:tcW w:w="3067" w:type="dxa"/>
          </w:tcPr>
          <w:p w:rsidR="00840FF5" w:rsidRPr="003059E9" w:rsidRDefault="00840FF5" w:rsidP="00840FF5">
            <w:pPr>
              <w:pStyle w:val="PPVTableText"/>
            </w:pPr>
            <w:r w:rsidRPr="003059E9">
              <w:t>Mr Canavan</w:t>
            </w:r>
          </w:p>
        </w:tc>
      </w:tr>
      <w:tr w:rsidR="00840FF5" w:rsidRPr="003059E9" w:rsidTr="00002386">
        <w:trPr>
          <w:cantSplit/>
        </w:trPr>
        <w:tc>
          <w:tcPr>
            <w:tcW w:w="720" w:type="dxa"/>
          </w:tcPr>
          <w:p w:rsidR="00840FF5" w:rsidRPr="003059E9" w:rsidRDefault="00840FF5" w:rsidP="00840FF5">
            <w:pPr>
              <w:pStyle w:val="PPVTableText"/>
            </w:pPr>
            <w:r w:rsidRPr="003059E9">
              <w:t>288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Clause 22.13 Environmentally Sustainable Development, Port Phillip Planning Scheme</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289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PowerPoint Mr Williamson, Sustainability</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290</w:t>
            </w:r>
          </w:p>
        </w:tc>
        <w:tc>
          <w:tcPr>
            <w:tcW w:w="1231" w:type="dxa"/>
          </w:tcPr>
          <w:p w:rsidR="00840FF5" w:rsidRPr="003059E9" w:rsidRDefault="00840FF5" w:rsidP="00840FF5">
            <w:pPr>
              <w:pStyle w:val="PPVTableText"/>
            </w:pPr>
            <w:r w:rsidRPr="003059E9">
              <w:t>04/05/18</w:t>
            </w:r>
          </w:p>
        </w:tc>
        <w:tc>
          <w:tcPr>
            <w:tcW w:w="4253" w:type="dxa"/>
          </w:tcPr>
          <w:p w:rsidR="00840FF5" w:rsidRPr="003059E9" w:rsidRDefault="00840FF5" w:rsidP="00840FF5">
            <w:pPr>
              <w:pStyle w:val="PPVTableText"/>
            </w:pPr>
            <w:r w:rsidRPr="003059E9">
              <w:t>Correspondence to Mr Morris and Mr Canavan requesting submissions in writing</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291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Correspondence to all parties advising the Review Panel will seek legal opinion from Counsel </w:t>
            </w:r>
            <w:r w:rsidR="00576336">
              <w:t>a</w:t>
            </w:r>
            <w:r w:rsidRPr="003059E9">
              <w:t>ssisting</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292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Correspondence requesting a copy of the Review Panel’s request to Counsel assisting for advice </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293</w:t>
            </w:r>
          </w:p>
        </w:tc>
        <w:tc>
          <w:tcPr>
            <w:tcW w:w="1231" w:type="dxa"/>
          </w:tcPr>
          <w:p w:rsidR="00840FF5" w:rsidRPr="003059E9" w:rsidRDefault="00840FF5" w:rsidP="00840FF5">
            <w:pPr>
              <w:pStyle w:val="PPVTableText"/>
            </w:pPr>
            <w:r w:rsidRPr="003059E9">
              <w:t>07/05/18</w:t>
            </w:r>
          </w:p>
        </w:tc>
        <w:tc>
          <w:tcPr>
            <w:tcW w:w="4253" w:type="dxa"/>
          </w:tcPr>
          <w:p w:rsidR="00840FF5" w:rsidRPr="003059E9" w:rsidRDefault="00840FF5" w:rsidP="00840FF5">
            <w:pPr>
              <w:pStyle w:val="PPVTableText"/>
            </w:pPr>
            <w:r w:rsidRPr="003059E9">
              <w:t>Correspondence from Mr Morris QC on application of PAO to major projects</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294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Requests for clarifications and approaches from the </w:t>
            </w:r>
            <w:r w:rsidR="006C32DA">
              <w:t>R</w:t>
            </w:r>
            <w:r w:rsidRPr="003059E9">
              <w:t xml:space="preserve">eview </w:t>
            </w:r>
            <w:r w:rsidR="006C32DA">
              <w:t>P</w:t>
            </w:r>
            <w:r w:rsidRPr="003059E9">
              <w:t>anel</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295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Planning approval processes for recent major projects in Victoria </w:t>
            </w:r>
            <w:r w:rsidR="00492A43">
              <w:t>–</w:t>
            </w:r>
            <w:r w:rsidRPr="003059E9">
              <w:t xml:space="preserve"> SIN 14</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296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to Mr Morris and Mr Canavan directing submissions in writing</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297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Accompanied Site Inspection of the Port of Melbourne, Expression of Interest</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298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Revised Hearing Timetable version 7</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299</w:t>
            </w:r>
          </w:p>
        </w:tc>
        <w:tc>
          <w:tcPr>
            <w:tcW w:w="1231" w:type="dxa"/>
          </w:tcPr>
          <w:p w:rsidR="00840FF5" w:rsidRPr="003059E9" w:rsidRDefault="00840FF5" w:rsidP="00840FF5">
            <w:pPr>
              <w:pStyle w:val="PPVTableText"/>
            </w:pPr>
            <w:r w:rsidRPr="003059E9">
              <w:t>9/05/18</w:t>
            </w:r>
          </w:p>
        </w:tc>
        <w:tc>
          <w:tcPr>
            <w:tcW w:w="4253" w:type="dxa"/>
          </w:tcPr>
          <w:p w:rsidR="00840FF5" w:rsidRPr="003059E9" w:rsidRDefault="00840FF5" w:rsidP="00840FF5">
            <w:pPr>
              <w:pStyle w:val="PPVTableText"/>
            </w:pPr>
            <w:r w:rsidRPr="003059E9">
              <w:t xml:space="preserve">Letter of instructions to Counsel </w:t>
            </w:r>
            <w:r w:rsidR="00576336">
              <w:t>a</w:t>
            </w:r>
            <w:r w:rsidRPr="003059E9">
              <w:t>ssisting</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300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Addendum 3 of Mr Sheppard’s Overarching evidence</w:t>
            </w:r>
          </w:p>
        </w:tc>
        <w:tc>
          <w:tcPr>
            <w:tcW w:w="3067" w:type="dxa"/>
          </w:tcPr>
          <w:p w:rsidR="00840FF5" w:rsidRPr="003059E9" w:rsidRDefault="00840FF5" w:rsidP="00840FF5">
            <w:pPr>
              <w:pStyle w:val="PPVTableText"/>
            </w:pPr>
            <w:r w:rsidRPr="003059E9">
              <w:t>Mr Sheppard</w:t>
            </w:r>
          </w:p>
        </w:tc>
      </w:tr>
      <w:tr w:rsidR="00840FF5" w:rsidRPr="003059E9" w:rsidTr="00002386">
        <w:trPr>
          <w:cantSplit/>
        </w:trPr>
        <w:tc>
          <w:tcPr>
            <w:tcW w:w="720" w:type="dxa"/>
          </w:tcPr>
          <w:p w:rsidR="00840FF5" w:rsidRPr="003059E9" w:rsidRDefault="00840FF5" w:rsidP="00840FF5">
            <w:pPr>
              <w:pStyle w:val="PPVTableText"/>
            </w:pPr>
            <w:r w:rsidRPr="003059E9">
              <w:t>301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Aide</w:t>
            </w:r>
            <w:r w:rsidR="00272660">
              <w:t>-</w:t>
            </w:r>
            <w:r w:rsidRPr="003059E9">
              <w:t>M</w:t>
            </w:r>
            <w:r w:rsidR="00272660">
              <w:t>é</w:t>
            </w:r>
            <w:r w:rsidRPr="003059E9">
              <w:t>moire to Oral Submission by Mr Canavan on 3 May 2018</w:t>
            </w:r>
          </w:p>
        </w:tc>
        <w:tc>
          <w:tcPr>
            <w:tcW w:w="3067" w:type="dxa"/>
          </w:tcPr>
          <w:p w:rsidR="00840FF5" w:rsidRPr="003059E9" w:rsidRDefault="00840FF5" w:rsidP="00840FF5">
            <w:pPr>
              <w:pStyle w:val="PPVTableText"/>
            </w:pPr>
            <w:r w:rsidRPr="003059E9">
              <w:t>Mr Canavan</w:t>
            </w:r>
          </w:p>
        </w:tc>
      </w:tr>
      <w:tr w:rsidR="00840FF5" w:rsidRPr="003059E9" w:rsidTr="00002386">
        <w:trPr>
          <w:cantSplit/>
        </w:trPr>
        <w:tc>
          <w:tcPr>
            <w:tcW w:w="720" w:type="dxa"/>
          </w:tcPr>
          <w:p w:rsidR="00840FF5" w:rsidRPr="003059E9" w:rsidRDefault="00840FF5" w:rsidP="00840FF5">
            <w:pPr>
              <w:pStyle w:val="PPVTableText"/>
            </w:pPr>
            <w:r w:rsidRPr="003059E9">
              <w:t>302</w:t>
            </w:r>
          </w:p>
        </w:tc>
        <w:tc>
          <w:tcPr>
            <w:tcW w:w="1231" w:type="dxa"/>
          </w:tcPr>
          <w:p w:rsidR="00840FF5" w:rsidRPr="003059E9" w:rsidRDefault="00840FF5" w:rsidP="00840FF5">
            <w:pPr>
              <w:pStyle w:val="PPVTableText"/>
            </w:pPr>
            <w:r w:rsidRPr="003059E9">
              <w:t>10/05/18</w:t>
            </w:r>
          </w:p>
        </w:tc>
        <w:tc>
          <w:tcPr>
            <w:tcW w:w="4253" w:type="dxa"/>
          </w:tcPr>
          <w:p w:rsidR="00840FF5" w:rsidRDefault="00346B0A" w:rsidP="00840FF5">
            <w:pPr>
              <w:pStyle w:val="PPVTableText"/>
            </w:pPr>
            <w:r>
              <w:t>Letter to PPV from Russell Kennedy</w:t>
            </w:r>
            <w:r w:rsidR="00840FF5" w:rsidRPr="003059E9">
              <w:t xml:space="preserve"> enclosing Mr Eaddy’s further evidence and letter from Harwood Andrews</w:t>
            </w:r>
          </w:p>
          <w:p w:rsidR="00840FF5" w:rsidRDefault="00840FF5" w:rsidP="00840FF5">
            <w:pPr>
              <w:pStyle w:val="PPVTableText"/>
            </w:pPr>
            <w:r w:rsidRPr="003059E9">
              <w:t>Addendum to Mr Eaddy’s evidence</w:t>
            </w:r>
          </w:p>
          <w:p w:rsidR="00840FF5" w:rsidRPr="003059E9" w:rsidRDefault="00840FF5" w:rsidP="00840FF5">
            <w:pPr>
              <w:pStyle w:val="PPVTableText"/>
            </w:pPr>
            <w:r w:rsidRPr="003059E9">
              <w:t xml:space="preserve">Letter from Harwood Andrews to </w:t>
            </w:r>
            <w:r w:rsidR="00FC563B">
              <w:t>Russell Kennedy</w:t>
            </w:r>
            <w:r w:rsidRPr="003059E9">
              <w:t xml:space="preserve"> requesting proposed revision to evidence</w:t>
            </w:r>
          </w:p>
        </w:tc>
        <w:tc>
          <w:tcPr>
            <w:tcW w:w="3067" w:type="dxa"/>
          </w:tcPr>
          <w:p w:rsidR="00840FF5" w:rsidRPr="003059E9" w:rsidRDefault="00840FF5" w:rsidP="00840FF5">
            <w:pPr>
              <w:pStyle w:val="PPVTableText"/>
            </w:pPr>
          </w:p>
        </w:tc>
      </w:tr>
      <w:tr w:rsidR="00840FF5" w:rsidRPr="003059E9" w:rsidTr="00002386">
        <w:trPr>
          <w:cantSplit/>
        </w:trPr>
        <w:tc>
          <w:tcPr>
            <w:tcW w:w="720" w:type="dxa"/>
          </w:tcPr>
          <w:p w:rsidR="00840FF5" w:rsidRPr="003059E9" w:rsidRDefault="00840FF5" w:rsidP="00840FF5">
            <w:pPr>
              <w:pStyle w:val="PPVTableText"/>
            </w:pPr>
            <w:r w:rsidRPr="003059E9">
              <w:t>303</w:t>
            </w:r>
          </w:p>
        </w:tc>
        <w:tc>
          <w:tcPr>
            <w:tcW w:w="1231" w:type="dxa"/>
          </w:tcPr>
          <w:p w:rsidR="00840FF5" w:rsidRPr="003059E9" w:rsidRDefault="00840FF5" w:rsidP="00840FF5">
            <w:pPr>
              <w:pStyle w:val="PPVTableText"/>
            </w:pPr>
            <w:r w:rsidRPr="003059E9">
              <w:t>11/05/18</w:t>
            </w:r>
          </w:p>
        </w:tc>
        <w:tc>
          <w:tcPr>
            <w:tcW w:w="4253" w:type="dxa"/>
          </w:tcPr>
          <w:p w:rsidR="00840FF5" w:rsidRPr="003059E9" w:rsidRDefault="00840FF5" w:rsidP="00840FF5">
            <w:pPr>
              <w:pStyle w:val="PPVTableText"/>
            </w:pPr>
            <w:r w:rsidRPr="003059E9">
              <w:t xml:space="preserve">Fishermans Bend MAC </w:t>
            </w:r>
            <w:r w:rsidR="00492A43">
              <w:t>–</w:t>
            </w:r>
            <w:r w:rsidRPr="003059E9">
              <w:t xml:space="preserve"> Further submission</w:t>
            </w:r>
          </w:p>
        </w:tc>
        <w:tc>
          <w:tcPr>
            <w:tcW w:w="3067" w:type="dxa"/>
          </w:tcPr>
          <w:p w:rsidR="00840FF5" w:rsidRPr="003059E9" w:rsidRDefault="00840FF5" w:rsidP="00840FF5">
            <w:pPr>
              <w:pStyle w:val="PPVTableText"/>
            </w:pPr>
            <w:r w:rsidRPr="003059E9">
              <w:t>Ms Sussex, Fishermans Bend MAC</w:t>
            </w:r>
          </w:p>
        </w:tc>
      </w:tr>
      <w:tr w:rsidR="00840FF5" w:rsidRPr="003059E9" w:rsidTr="00002386">
        <w:trPr>
          <w:cantSplit/>
        </w:trPr>
        <w:tc>
          <w:tcPr>
            <w:tcW w:w="720" w:type="dxa"/>
          </w:tcPr>
          <w:p w:rsidR="00840FF5" w:rsidRPr="003059E9" w:rsidRDefault="00840FF5" w:rsidP="00840FF5">
            <w:pPr>
              <w:pStyle w:val="PPVTableText"/>
            </w:pPr>
            <w:r w:rsidRPr="003059E9">
              <w:t>304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advising of late circulation of submission by Mr Morris</w:t>
            </w:r>
          </w:p>
        </w:tc>
        <w:tc>
          <w:tcPr>
            <w:tcW w:w="3067" w:type="dxa"/>
          </w:tcPr>
          <w:p w:rsidR="00840FF5" w:rsidRPr="003059E9" w:rsidRDefault="00840FF5" w:rsidP="00840FF5">
            <w:pPr>
              <w:pStyle w:val="PPVTableText"/>
            </w:pPr>
            <w:r w:rsidRPr="003059E9">
              <w:t>Mr Passarella, Mills Oakley</w:t>
            </w:r>
          </w:p>
        </w:tc>
      </w:tr>
      <w:tr w:rsidR="00840FF5" w:rsidRPr="003059E9" w:rsidTr="00002386">
        <w:trPr>
          <w:cantSplit/>
        </w:trPr>
        <w:tc>
          <w:tcPr>
            <w:tcW w:w="720" w:type="dxa"/>
          </w:tcPr>
          <w:p w:rsidR="00840FF5" w:rsidRPr="003059E9" w:rsidRDefault="00840FF5" w:rsidP="00840FF5">
            <w:pPr>
              <w:pStyle w:val="PPVTableText"/>
            </w:pPr>
            <w:r w:rsidRPr="003059E9">
              <w:t>305</w:t>
            </w:r>
          </w:p>
        </w:tc>
        <w:tc>
          <w:tcPr>
            <w:tcW w:w="1231" w:type="dxa"/>
          </w:tcPr>
          <w:p w:rsidR="00840FF5" w:rsidRPr="003059E9" w:rsidRDefault="00840FF5" w:rsidP="00840FF5">
            <w:pPr>
              <w:pStyle w:val="PPVTableText"/>
            </w:pPr>
            <w:r w:rsidRPr="003059E9">
              <w:t>14/05/18</w:t>
            </w:r>
          </w:p>
        </w:tc>
        <w:tc>
          <w:tcPr>
            <w:tcW w:w="4253" w:type="dxa"/>
          </w:tcPr>
          <w:p w:rsidR="00840FF5" w:rsidRPr="003059E9" w:rsidRDefault="00840FF5" w:rsidP="00840FF5">
            <w:pPr>
              <w:pStyle w:val="PPVTableText"/>
            </w:pPr>
            <w:r w:rsidRPr="003059E9">
              <w:t xml:space="preserve">Response to the Panel’s Request -SIN 15 </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306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Revised maps as requested through Document 294</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307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Revised Draft Part C Amendment Documents with attachments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308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Submission in relation to Infrastructure Contributions Plan (Public Land Contributions) on behalf of the Minister for Planning</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309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Further information regarding recent legislation on Infrastructure Contribution Plans in Victoria </w:t>
            </w:r>
            <w:r w:rsidR="00492A43">
              <w:t>–</w:t>
            </w:r>
            <w:r w:rsidRPr="003059E9">
              <w:t xml:space="preserve"> SIN 16</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310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Planning and Environment Act (Public Land Contributions) Act 2018, No. 7 2018</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311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Record of Submissions made by Mr Morris QC</w:t>
            </w:r>
          </w:p>
        </w:tc>
        <w:tc>
          <w:tcPr>
            <w:tcW w:w="3067" w:type="dxa"/>
          </w:tcPr>
          <w:p w:rsidR="00840FF5" w:rsidRPr="003059E9" w:rsidRDefault="00840FF5" w:rsidP="00840FF5">
            <w:pPr>
              <w:pStyle w:val="PPVTableText"/>
            </w:pPr>
            <w:r w:rsidRPr="003059E9">
              <w:t>Mr Passarella, Mills Oakley</w:t>
            </w:r>
          </w:p>
        </w:tc>
      </w:tr>
      <w:tr w:rsidR="00840FF5" w:rsidRPr="003059E9" w:rsidTr="00002386">
        <w:trPr>
          <w:cantSplit/>
        </w:trPr>
        <w:tc>
          <w:tcPr>
            <w:tcW w:w="720" w:type="dxa"/>
          </w:tcPr>
          <w:p w:rsidR="00840FF5" w:rsidRPr="003059E9" w:rsidRDefault="00840FF5" w:rsidP="00840FF5">
            <w:pPr>
              <w:pStyle w:val="PPVTableText"/>
            </w:pPr>
            <w:r w:rsidRPr="003059E9">
              <w:t>312</w:t>
            </w:r>
          </w:p>
        </w:tc>
        <w:tc>
          <w:tcPr>
            <w:tcW w:w="1231" w:type="dxa"/>
          </w:tcPr>
          <w:p w:rsidR="00840FF5" w:rsidRPr="003059E9" w:rsidRDefault="00840FF5" w:rsidP="00840FF5">
            <w:pPr>
              <w:pStyle w:val="PPVTableText"/>
            </w:pPr>
            <w:r w:rsidRPr="003059E9">
              <w:t>15/05/2018</w:t>
            </w:r>
          </w:p>
        </w:tc>
        <w:tc>
          <w:tcPr>
            <w:tcW w:w="4253" w:type="dxa"/>
          </w:tcPr>
          <w:p w:rsidR="00840FF5" w:rsidRPr="003059E9" w:rsidRDefault="00840FF5" w:rsidP="00840FF5">
            <w:pPr>
              <w:pStyle w:val="PPVTableText"/>
            </w:pPr>
            <w:r w:rsidRPr="003059E9">
              <w:t>Revised map D requested through Doc 294 (heights and overshadowing)</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313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from Norton Rose Fulbright in response to the tabling on the Minister for Planning’s Part C submission</w:t>
            </w:r>
          </w:p>
        </w:tc>
        <w:tc>
          <w:tcPr>
            <w:tcW w:w="3067" w:type="dxa"/>
          </w:tcPr>
          <w:p w:rsidR="00840FF5" w:rsidRPr="003059E9" w:rsidRDefault="00840FF5" w:rsidP="00840FF5">
            <w:pPr>
              <w:pStyle w:val="PPVTableText"/>
            </w:pPr>
            <w:r w:rsidRPr="003059E9">
              <w:t>Ms Choi</w:t>
            </w:r>
          </w:p>
        </w:tc>
      </w:tr>
      <w:tr w:rsidR="00840FF5" w:rsidRPr="003059E9" w:rsidTr="00002386">
        <w:trPr>
          <w:cantSplit/>
        </w:trPr>
        <w:tc>
          <w:tcPr>
            <w:tcW w:w="720" w:type="dxa"/>
          </w:tcPr>
          <w:p w:rsidR="00840FF5" w:rsidRPr="003059E9" w:rsidRDefault="00840FF5" w:rsidP="00840FF5">
            <w:pPr>
              <w:pStyle w:val="PPVTableText"/>
            </w:pPr>
            <w:r w:rsidRPr="003059E9">
              <w:t>314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from Maddocks in response to Norton Rose Fulbright letter and the tabling of Part C submission documents</w:t>
            </w:r>
          </w:p>
        </w:tc>
        <w:tc>
          <w:tcPr>
            <w:tcW w:w="3067" w:type="dxa"/>
          </w:tcPr>
          <w:p w:rsidR="00840FF5" w:rsidRPr="003059E9" w:rsidRDefault="00840FF5" w:rsidP="00840FF5">
            <w:pPr>
              <w:pStyle w:val="PPVTableText"/>
            </w:pPr>
            <w:r w:rsidRPr="003059E9">
              <w:t>Mr Montebello, Maddocks</w:t>
            </w:r>
          </w:p>
        </w:tc>
      </w:tr>
      <w:tr w:rsidR="00840FF5" w:rsidRPr="003059E9" w:rsidTr="00002386">
        <w:trPr>
          <w:cantSplit/>
        </w:trPr>
        <w:tc>
          <w:tcPr>
            <w:tcW w:w="720" w:type="dxa"/>
          </w:tcPr>
          <w:p w:rsidR="00840FF5" w:rsidRPr="003059E9" w:rsidRDefault="00840FF5" w:rsidP="00840FF5">
            <w:pPr>
              <w:pStyle w:val="PPVTableText"/>
            </w:pPr>
            <w:r w:rsidRPr="003059E9">
              <w:t>315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Correspondence from Harwood Andrews in response to Norton Rose Fulbright letter and the tabling of Part C submission documents</w:t>
            </w:r>
          </w:p>
        </w:tc>
        <w:tc>
          <w:tcPr>
            <w:tcW w:w="3067" w:type="dxa"/>
          </w:tcPr>
          <w:p w:rsidR="00840FF5" w:rsidRPr="003059E9" w:rsidRDefault="00840FF5" w:rsidP="00840FF5">
            <w:pPr>
              <w:pStyle w:val="PPVTableText"/>
            </w:pPr>
            <w:r w:rsidRPr="003059E9">
              <w:t>Mr Morris, Harwood Andrews</w:t>
            </w:r>
          </w:p>
        </w:tc>
      </w:tr>
      <w:tr w:rsidR="00840FF5" w:rsidRPr="003059E9" w:rsidTr="00002386">
        <w:trPr>
          <w:cantSplit/>
        </w:trPr>
        <w:tc>
          <w:tcPr>
            <w:tcW w:w="720" w:type="dxa"/>
          </w:tcPr>
          <w:p w:rsidR="00840FF5" w:rsidRPr="003059E9" w:rsidRDefault="00840FF5" w:rsidP="00840FF5">
            <w:pPr>
              <w:pStyle w:val="PPVTableText"/>
            </w:pPr>
            <w:r w:rsidRPr="003059E9">
              <w:t>316</w:t>
            </w:r>
          </w:p>
        </w:tc>
        <w:tc>
          <w:tcPr>
            <w:tcW w:w="1231" w:type="dxa"/>
          </w:tcPr>
          <w:p w:rsidR="00840FF5" w:rsidRPr="003059E9" w:rsidRDefault="00840FF5" w:rsidP="00840FF5">
            <w:pPr>
              <w:pStyle w:val="PPVTableText"/>
            </w:pPr>
            <w:r w:rsidRPr="003059E9">
              <w:t>16/05/18</w:t>
            </w:r>
          </w:p>
        </w:tc>
        <w:tc>
          <w:tcPr>
            <w:tcW w:w="4253" w:type="dxa"/>
          </w:tcPr>
          <w:p w:rsidR="00840FF5" w:rsidRPr="003059E9" w:rsidRDefault="00840FF5" w:rsidP="00840FF5">
            <w:pPr>
              <w:pStyle w:val="PPVTableText"/>
            </w:pPr>
            <w:r w:rsidRPr="003059E9">
              <w:t>Melbourne Water Submission</w:t>
            </w:r>
          </w:p>
        </w:tc>
        <w:tc>
          <w:tcPr>
            <w:tcW w:w="3067" w:type="dxa"/>
          </w:tcPr>
          <w:p w:rsidR="00840FF5" w:rsidRPr="003059E9" w:rsidRDefault="00840FF5" w:rsidP="00840FF5">
            <w:pPr>
              <w:pStyle w:val="PPVTableText"/>
            </w:pPr>
            <w:r w:rsidRPr="003059E9">
              <w:t>Mr Considine, Melbourne Water</w:t>
            </w:r>
          </w:p>
        </w:tc>
      </w:tr>
      <w:tr w:rsidR="00840FF5" w:rsidRPr="003059E9" w:rsidTr="00002386">
        <w:trPr>
          <w:cantSplit/>
        </w:trPr>
        <w:tc>
          <w:tcPr>
            <w:tcW w:w="720" w:type="dxa"/>
          </w:tcPr>
          <w:p w:rsidR="00840FF5" w:rsidRPr="003059E9" w:rsidRDefault="00840FF5" w:rsidP="00840FF5">
            <w:pPr>
              <w:pStyle w:val="PPVTableText"/>
            </w:pPr>
            <w:r w:rsidRPr="003059E9">
              <w:t>317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Replacement maps for Document 307</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318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Explanatory report and controls for VC146 (new </w:t>
            </w:r>
            <w:r w:rsidR="00821670">
              <w:t>I</w:t>
            </w:r>
            <w:r w:rsidRPr="003059E9">
              <w:t xml:space="preserve">nfrastructure </w:t>
            </w:r>
            <w:r w:rsidR="00821670">
              <w:t>C</w:t>
            </w:r>
            <w:r w:rsidRPr="003059E9">
              <w:t xml:space="preserve">ontributions </w:t>
            </w:r>
            <w:r w:rsidR="00821670">
              <w:t>O</w:t>
            </w:r>
            <w:r w:rsidRPr="003059E9">
              <w:t>verlay)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319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City of Melbourne proposed changes to referral authority provisions </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320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City of Melbourne changes to the FAU guidance note</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321</w:t>
            </w:r>
          </w:p>
        </w:tc>
        <w:tc>
          <w:tcPr>
            <w:tcW w:w="1231" w:type="dxa"/>
          </w:tcPr>
          <w:p w:rsidR="00840FF5" w:rsidRPr="003059E9" w:rsidRDefault="00840FF5" w:rsidP="00840FF5">
            <w:pPr>
              <w:pStyle w:val="PPVTableText"/>
            </w:pPr>
            <w:r w:rsidRPr="003059E9">
              <w:t>17/05/18</w:t>
            </w:r>
          </w:p>
        </w:tc>
        <w:tc>
          <w:tcPr>
            <w:tcW w:w="4253" w:type="dxa"/>
          </w:tcPr>
          <w:p w:rsidR="00840FF5" w:rsidRPr="003059E9" w:rsidRDefault="00840FF5" w:rsidP="00840FF5">
            <w:pPr>
              <w:pStyle w:val="PPVTableText"/>
            </w:pPr>
            <w:r w:rsidRPr="003059E9">
              <w:t>Review Panel’s Direction 26</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322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Correction to paragraphs 10 &amp; 11 in SIN15, dwelling numbers in current permit applications</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323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Mr Sheppard’s response to Document 294</w:t>
            </w:r>
          </w:p>
        </w:tc>
        <w:tc>
          <w:tcPr>
            <w:tcW w:w="3067" w:type="dxa"/>
          </w:tcPr>
          <w:p w:rsidR="00840FF5" w:rsidRPr="003059E9" w:rsidRDefault="00840FF5" w:rsidP="00840FF5">
            <w:pPr>
              <w:pStyle w:val="PPVTableText"/>
            </w:pPr>
            <w:r w:rsidRPr="003059E9">
              <w:t>Mr Sheppard, David Lock and Associates</w:t>
            </w:r>
          </w:p>
        </w:tc>
      </w:tr>
      <w:tr w:rsidR="00840FF5" w:rsidRPr="003059E9" w:rsidTr="00002386">
        <w:trPr>
          <w:cantSplit/>
        </w:trPr>
        <w:tc>
          <w:tcPr>
            <w:tcW w:w="720" w:type="dxa"/>
          </w:tcPr>
          <w:p w:rsidR="00840FF5" w:rsidRPr="003059E9" w:rsidRDefault="00840FF5" w:rsidP="00840FF5">
            <w:pPr>
              <w:pStyle w:val="PPVTableText"/>
            </w:pPr>
            <w:r w:rsidRPr="003059E9">
              <w:t>324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UDIA Presentation</w:t>
            </w:r>
          </w:p>
        </w:tc>
        <w:tc>
          <w:tcPr>
            <w:tcW w:w="3067" w:type="dxa"/>
          </w:tcPr>
          <w:p w:rsidR="00840FF5" w:rsidRPr="003059E9" w:rsidRDefault="00840FF5" w:rsidP="00840FF5">
            <w:pPr>
              <w:pStyle w:val="PPVTableText"/>
            </w:pPr>
            <w:r w:rsidRPr="003059E9">
              <w:t>Ms Addison, UDIA</w:t>
            </w:r>
          </w:p>
        </w:tc>
      </w:tr>
      <w:tr w:rsidR="00840FF5" w:rsidRPr="003059E9" w:rsidTr="00002386">
        <w:trPr>
          <w:cantSplit/>
        </w:trPr>
        <w:tc>
          <w:tcPr>
            <w:tcW w:w="720" w:type="dxa"/>
          </w:tcPr>
          <w:p w:rsidR="00840FF5" w:rsidRPr="003059E9" w:rsidRDefault="00840FF5" w:rsidP="00840FF5">
            <w:pPr>
              <w:pStyle w:val="PPVTableText"/>
            </w:pPr>
            <w:r w:rsidRPr="003059E9">
              <w:t>325</w:t>
            </w:r>
          </w:p>
        </w:tc>
        <w:tc>
          <w:tcPr>
            <w:tcW w:w="1231" w:type="dxa"/>
          </w:tcPr>
          <w:p w:rsidR="00840FF5" w:rsidRPr="003059E9" w:rsidRDefault="00840FF5" w:rsidP="00840FF5">
            <w:pPr>
              <w:pStyle w:val="PPVTableText"/>
            </w:pPr>
            <w:r w:rsidRPr="003059E9">
              <w:t>18/05/18</w:t>
            </w:r>
          </w:p>
        </w:tc>
        <w:tc>
          <w:tcPr>
            <w:tcW w:w="4253" w:type="dxa"/>
          </w:tcPr>
          <w:p w:rsidR="00840FF5" w:rsidRPr="003059E9" w:rsidRDefault="009274FB" w:rsidP="00840FF5">
            <w:pPr>
              <w:pStyle w:val="PPVTableText"/>
            </w:pPr>
            <w:r>
              <w:t>Visual representation of FARs</w:t>
            </w:r>
            <w:r w:rsidR="00840FF5" w:rsidRPr="003059E9">
              <w:t xml:space="preserve"> and height controls</w:t>
            </w:r>
          </w:p>
        </w:tc>
        <w:tc>
          <w:tcPr>
            <w:tcW w:w="3067" w:type="dxa"/>
          </w:tcPr>
          <w:p w:rsidR="00840FF5" w:rsidRPr="003059E9" w:rsidRDefault="00840FF5" w:rsidP="00840FF5">
            <w:pPr>
              <w:pStyle w:val="PPVTableText"/>
            </w:pPr>
            <w:r w:rsidRPr="003059E9">
              <w:t>Ms Mitchell, Chair</w:t>
            </w:r>
          </w:p>
        </w:tc>
      </w:tr>
      <w:tr w:rsidR="00840FF5" w:rsidRPr="003059E9" w:rsidTr="00002386">
        <w:trPr>
          <w:cantSplit/>
        </w:trPr>
        <w:tc>
          <w:tcPr>
            <w:tcW w:w="720" w:type="dxa"/>
          </w:tcPr>
          <w:p w:rsidR="00840FF5" w:rsidRPr="003059E9" w:rsidRDefault="00840FF5" w:rsidP="00840FF5">
            <w:pPr>
              <w:pStyle w:val="PPVTableText"/>
            </w:pPr>
            <w:r w:rsidRPr="003059E9">
              <w:t>326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General submission on Minister’s Part C submission</w:t>
            </w:r>
          </w:p>
        </w:tc>
        <w:tc>
          <w:tcPr>
            <w:tcW w:w="3067" w:type="dxa"/>
          </w:tcPr>
          <w:p w:rsidR="00840FF5" w:rsidRPr="003059E9" w:rsidRDefault="00840FF5" w:rsidP="00840FF5">
            <w:pPr>
              <w:pStyle w:val="PPVTableText"/>
            </w:pPr>
            <w:r w:rsidRPr="003059E9">
              <w:t>Mr Morris</w:t>
            </w:r>
          </w:p>
        </w:tc>
      </w:tr>
      <w:tr w:rsidR="00840FF5" w:rsidRPr="003059E9" w:rsidTr="00002386">
        <w:trPr>
          <w:cantSplit/>
        </w:trPr>
        <w:tc>
          <w:tcPr>
            <w:tcW w:w="720" w:type="dxa"/>
          </w:tcPr>
          <w:p w:rsidR="00840FF5" w:rsidRPr="003059E9" w:rsidRDefault="00840FF5" w:rsidP="00840FF5">
            <w:pPr>
              <w:pStyle w:val="PPVTableText"/>
            </w:pPr>
            <w:r w:rsidRPr="003059E9">
              <w:t>327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Second reading speech, Public Land Contributions Act</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328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Port of Melbourne Closing Submission</w:t>
            </w:r>
          </w:p>
        </w:tc>
        <w:tc>
          <w:tcPr>
            <w:tcW w:w="3067" w:type="dxa"/>
          </w:tcPr>
          <w:p w:rsidR="00840FF5" w:rsidRPr="003059E9" w:rsidRDefault="00840FF5" w:rsidP="00840FF5">
            <w:pPr>
              <w:pStyle w:val="PPVTableText"/>
            </w:pPr>
            <w:r w:rsidRPr="003059E9">
              <w:t xml:space="preserve">Mr Vorchheimer, HWL Ebsworth </w:t>
            </w:r>
          </w:p>
        </w:tc>
      </w:tr>
      <w:tr w:rsidR="00840FF5" w:rsidRPr="003059E9" w:rsidTr="00002386">
        <w:trPr>
          <w:cantSplit/>
        </w:trPr>
        <w:tc>
          <w:tcPr>
            <w:tcW w:w="720" w:type="dxa"/>
          </w:tcPr>
          <w:p w:rsidR="00840FF5" w:rsidRPr="003059E9" w:rsidRDefault="00840FF5" w:rsidP="00840FF5">
            <w:pPr>
              <w:pStyle w:val="PPVTableText"/>
            </w:pPr>
            <w:r w:rsidRPr="003059E9">
              <w:t>329</w:t>
            </w:r>
          </w:p>
        </w:tc>
        <w:tc>
          <w:tcPr>
            <w:tcW w:w="1231" w:type="dxa"/>
          </w:tcPr>
          <w:p w:rsidR="00840FF5" w:rsidRPr="003059E9" w:rsidRDefault="00840FF5" w:rsidP="00840FF5">
            <w:pPr>
              <w:pStyle w:val="PPVTableText"/>
            </w:pPr>
            <w:r w:rsidRPr="003059E9">
              <w:t>19/05/18</w:t>
            </w:r>
          </w:p>
        </w:tc>
        <w:tc>
          <w:tcPr>
            <w:tcW w:w="4253" w:type="dxa"/>
          </w:tcPr>
          <w:p w:rsidR="00840FF5" w:rsidRPr="003059E9" w:rsidRDefault="00840FF5" w:rsidP="00840FF5">
            <w:pPr>
              <w:pStyle w:val="PPVTableText"/>
            </w:pPr>
            <w:r w:rsidRPr="003059E9">
              <w:t>Submission on the release of Jacobs reports</w:t>
            </w:r>
          </w:p>
        </w:tc>
        <w:tc>
          <w:tcPr>
            <w:tcW w:w="3067" w:type="dxa"/>
          </w:tcPr>
          <w:p w:rsidR="00840FF5" w:rsidRPr="003059E9" w:rsidRDefault="00840FF5" w:rsidP="00840FF5">
            <w:pPr>
              <w:pStyle w:val="PPVTableText"/>
            </w:pPr>
            <w:r w:rsidRPr="003059E9">
              <w:t>Ms Brown, DEDJTR</w:t>
            </w:r>
          </w:p>
        </w:tc>
      </w:tr>
      <w:tr w:rsidR="00840FF5" w:rsidRPr="003059E9" w:rsidTr="00002386">
        <w:trPr>
          <w:cantSplit/>
        </w:trPr>
        <w:tc>
          <w:tcPr>
            <w:tcW w:w="720" w:type="dxa"/>
          </w:tcPr>
          <w:p w:rsidR="00840FF5" w:rsidRPr="003059E9" w:rsidRDefault="00840FF5" w:rsidP="00840FF5">
            <w:pPr>
              <w:pStyle w:val="PPVTableText"/>
            </w:pPr>
            <w:r w:rsidRPr="003059E9">
              <w:t>330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Melbourne Water Submission</w:t>
            </w:r>
          </w:p>
        </w:tc>
        <w:tc>
          <w:tcPr>
            <w:tcW w:w="3067" w:type="dxa"/>
          </w:tcPr>
          <w:p w:rsidR="00840FF5" w:rsidRPr="003059E9" w:rsidRDefault="00840FF5" w:rsidP="00840FF5">
            <w:pPr>
              <w:pStyle w:val="PPVTableText"/>
            </w:pPr>
            <w:r w:rsidRPr="003059E9">
              <w:t>Mr Considine, Melbourne Water</w:t>
            </w:r>
          </w:p>
        </w:tc>
      </w:tr>
      <w:tr w:rsidR="00840FF5" w:rsidRPr="003059E9" w:rsidTr="00002386">
        <w:trPr>
          <w:cantSplit/>
        </w:trPr>
        <w:tc>
          <w:tcPr>
            <w:tcW w:w="720" w:type="dxa"/>
          </w:tcPr>
          <w:p w:rsidR="00840FF5" w:rsidRPr="003059E9" w:rsidRDefault="00840FF5" w:rsidP="00840FF5">
            <w:pPr>
              <w:pStyle w:val="PPVTableText"/>
            </w:pPr>
            <w:r w:rsidRPr="003059E9">
              <w:t>331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Barro Group closing submission including revised controls</w:t>
            </w:r>
          </w:p>
        </w:tc>
        <w:tc>
          <w:tcPr>
            <w:tcW w:w="3067" w:type="dxa"/>
          </w:tcPr>
          <w:p w:rsidR="00840FF5" w:rsidRPr="003059E9" w:rsidRDefault="00840FF5" w:rsidP="00840FF5">
            <w:pPr>
              <w:pStyle w:val="PPVTableText"/>
            </w:pPr>
            <w:r w:rsidRPr="003059E9">
              <w:t>Mr Memmolo, Ponte Lawyers</w:t>
            </w:r>
          </w:p>
        </w:tc>
      </w:tr>
      <w:tr w:rsidR="00840FF5" w:rsidRPr="003059E9" w:rsidTr="00002386">
        <w:trPr>
          <w:cantSplit/>
        </w:trPr>
        <w:tc>
          <w:tcPr>
            <w:tcW w:w="720" w:type="dxa"/>
          </w:tcPr>
          <w:p w:rsidR="00840FF5" w:rsidRPr="003059E9" w:rsidRDefault="00840FF5" w:rsidP="00840FF5">
            <w:pPr>
              <w:pStyle w:val="PPVTableText"/>
            </w:pPr>
            <w:r w:rsidRPr="003059E9">
              <w:t>332</w:t>
            </w:r>
          </w:p>
        </w:tc>
        <w:tc>
          <w:tcPr>
            <w:tcW w:w="1231" w:type="dxa"/>
          </w:tcPr>
          <w:p w:rsidR="00840FF5" w:rsidRPr="003059E9" w:rsidRDefault="00840FF5" w:rsidP="00840FF5">
            <w:pPr>
              <w:pStyle w:val="PPVTableText"/>
            </w:pPr>
            <w:r w:rsidRPr="003059E9">
              <w:t>22/05/2018</w:t>
            </w:r>
          </w:p>
        </w:tc>
        <w:tc>
          <w:tcPr>
            <w:tcW w:w="4253" w:type="dxa"/>
          </w:tcPr>
          <w:p w:rsidR="00840FF5" w:rsidRPr="003059E9" w:rsidRDefault="00840FF5" w:rsidP="00840FF5">
            <w:pPr>
              <w:pStyle w:val="PPVTableText"/>
            </w:pPr>
            <w:r w:rsidRPr="003059E9">
              <w:t>Port of Melbourne site visit materials</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333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Revised Hearing Timetable </w:t>
            </w:r>
            <w:r w:rsidR="00492A43">
              <w:t>–</w:t>
            </w:r>
            <w:r w:rsidRPr="003059E9">
              <w:t xml:space="preserve"> Version 8</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334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Correspondence tabling electronic copies of various documents and advising on drafting error </w:t>
            </w:r>
          </w:p>
        </w:tc>
        <w:tc>
          <w:tcPr>
            <w:tcW w:w="3067" w:type="dxa"/>
          </w:tcPr>
          <w:p w:rsidR="00840FF5" w:rsidRPr="003059E9" w:rsidRDefault="00840FF5" w:rsidP="00840FF5">
            <w:pPr>
              <w:pStyle w:val="PPVTableText"/>
            </w:pPr>
            <w:r w:rsidRPr="003059E9">
              <w:t>Ms Morris, Harwood Andrews</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335</w:t>
            </w:r>
          </w:p>
        </w:tc>
        <w:tc>
          <w:tcPr>
            <w:tcW w:w="1231" w:type="dxa"/>
          </w:tcPr>
          <w:p w:rsidR="00840FF5" w:rsidRPr="003059E9" w:rsidRDefault="00840FF5" w:rsidP="00840FF5">
            <w:pPr>
              <w:pStyle w:val="PPVTableText"/>
            </w:pPr>
            <w:r w:rsidRPr="003059E9">
              <w:t>23/05/18</w:t>
            </w:r>
          </w:p>
        </w:tc>
        <w:tc>
          <w:tcPr>
            <w:tcW w:w="4253" w:type="dxa"/>
          </w:tcPr>
          <w:p w:rsidR="00840FF5" w:rsidRPr="003059E9" w:rsidRDefault="00840FF5" w:rsidP="00840FF5">
            <w:pPr>
              <w:pStyle w:val="PPVTableText"/>
            </w:pPr>
            <w:r w:rsidRPr="003059E9">
              <w:t>Table outlining corrections to planning documents from Document 307</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336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Clean copy, CCZ</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337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 xml:space="preserve">Clean copy, Port Phillip MSS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338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Clean copy, Melbourne MSS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339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Clean copy, Fishermans Bend local policy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340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Clean copy, Parking Overlay</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341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City of Melbourne’s closing version of the controls</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342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Revised maps showing adjustments and sub</w:t>
            </w:r>
            <w:r w:rsidR="007C1417">
              <w:t>precinct</w:t>
            </w:r>
            <w:r w:rsidRPr="003059E9">
              <w:t xml:space="preserve"> boundaries</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343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City of Port Phillip closing version of the controls</w:t>
            </w:r>
          </w:p>
        </w:tc>
        <w:tc>
          <w:tcPr>
            <w:tcW w:w="3067" w:type="dxa"/>
          </w:tcPr>
          <w:p w:rsidR="00840FF5" w:rsidRPr="003059E9" w:rsidRDefault="00840FF5" w:rsidP="00840FF5">
            <w:pPr>
              <w:pStyle w:val="PPVTableText"/>
            </w:pPr>
            <w:r w:rsidRPr="003059E9">
              <w:t>Mr Montebello, Maddocks</w:t>
            </w:r>
          </w:p>
        </w:tc>
      </w:tr>
      <w:tr w:rsidR="00840FF5" w:rsidRPr="003059E9" w:rsidTr="00002386">
        <w:trPr>
          <w:cantSplit/>
        </w:trPr>
        <w:tc>
          <w:tcPr>
            <w:tcW w:w="720" w:type="dxa"/>
          </w:tcPr>
          <w:p w:rsidR="00840FF5" w:rsidRPr="003059E9" w:rsidRDefault="00840FF5" w:rsidP="00840FF5">
            <w:pPr>
              <w:pStyle w:val="PPVTableText"/>
            </w:pPr>
            <w:r w:rsidRPr="003059E9">
              <w:t>344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City of Melbourne’s mapping of street wall heights</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345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Power</w:t>
            </w:r>
            <w:r w:rsidR="00836F74">
              <w:t>P</w:t>
            </w:r>
            <w:r w:rsidRPr="003059E9">
              <w:t>oint presentation, Transport for Victoria</w:t>
            </w:r>
          </w:p>
        </w:tc>
        <w:tc>
          <w:tcPr>
            <w:tcW w:w="3067" w:type="dxa"/>
          </w:tcPr>
          <w:p w:rsidR="00840FF5" w:rsidRPr="003059E9" w:rsidRDefault="00840FF5" w:rsidP="00840FF5">
            <w:pPr>
              <w:pStyle w:val="PPVTableText"/>
            </w:pPr>
            <w:r w:rsidRPr="003059E9">
              <w:t>Mr Button, Transport for Victoria</w:t>
            </w:r>
          </w:p>
        </w:tc>
      </w:tr>
      <w:tr w:rsidR="00840FF5" w:rsidRPr="003059E9" w:rsidTr="00002386">
        <w:trPr>
          <w:cantSplit/>
        </w:trPr>
        <w:tc>
          <w:tcPr>
            <w:tcW w:w="720" w:type="dxa"/>
          </w:tcPr>
          <w:p w:rsidR="00840FF5" w:rsidRPr="003059E9" w:rsidRDefault="00840FF5" w:rsidP="00840FF5">
            <w:pPr>
              <w:pStyle w:val="PPVTableText"/>
            </w:pPr>
            <w:r w:rsidRPr="003059E9">
              <w:t>346</w:t>
            </w:r>
          </w:p>
        </w:tc>
        <w:tc>
          <w:tcPr>
            <w:tcW w:w="1231" w:type="dxa"/>
          </w:tcPr>
          <w:p w:rsidR="00840FF5" w:rsidRPr="003059E9" w:rsidRDefault="00840FF5" w:rsidP="00840FF5">
            <w:pPr>
              <w:pStyle w:val="PPVTableText"/>
            </w:pPr>
            <w:r w:rsidRPr="003059E9">
              <w:t>24/05/18</w:t>
            </w:r>
          </w:p>
        </w:tc>
        <w:tc>
          <w:tcPr>
            <w:tcW w:w="4253" w:type="dxa"/>
          </w:tcPr>
          <w:p w:rsidR="00840FF5" w:rsidRPr="003059E9" w:rsidRDefault="00840FF5" w:rsidP="00840FF5">
            <w:pPr>
              <w:pStyle w:val="PPVTableText"/>
            </w:pPr>
            <w:r w:rsidRPr="003059E9">
              <w:t>Confidential</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347</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City of Port Phillip closing submissions</w:t>
            </w:r>
          </w:p>
        </w:tc>
        <w:tc>
          <w:tcPr>
            <w:tcW w:w="3067" w:type="dxa"/>
          </w:tcPr>
          <w:p w:rsidR="00840FF5" w:rsidRPr="003059E9" w:rsidRDefault="00840FF5" w:rsidP="00840FF5">
            <w:pPr>
              <w:pStyle w:val="PPVTableText"/>
            </w:pPr>
            <w:r w:rsidRPr="003059E9">
              <w:t>Mr Montebello</w:t>
            </w:r>
          </w:p>
        </w:tc>
      </w:tr>
      <w:tr w:rsidR="00840FF5" w:rsidRPr="003059E9" w:rsidTr="00002386">
        <w:trPr>
          <w:cantSplit/>
        </w:trPr>
        <w:tc>
          <w:tcPr>
            <w:tcW w:w="720" w:type="dxa"/>
          </w:tcPr>
          <w:p w:rsidR="00840FF5" w:rsidRPr="003059E9" w:rsidRDefault="00840FF5" w:rsidP="00840FF5">
            <w:pPr>
              <w:pStyle w:val="PPVTableText"/>
            </w:pPr>
            <w:r w:rsidRPr="003059E9">
              <w:t>348</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Closing submission for City of Melbourne</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349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Attachments to Document 348</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350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Closing submission for Minister for Planning</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351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w:t>
            </w:r>
            <w:r w:rsidR="00F34EE4">
              <w:t>IN</w:t>
            </w:r>
            <w:r w:rsidR="00A80B82">
              <w:t>s 17–</w:t>
            </w:r>
            <w:r w:rsidRPr="003059E9">
              <w:t>22</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352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Section 20, Planning and Environment Act 1987</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353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Lorimer Urban Structure Plan for inclusion in CCZ</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354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Further submission – ANZ response to matters taken on notice</w:t>
            </w:r>
          </w:p>
        </w:tc>
        <w:tc>
          <w:tcPr>
            <w:tcW w:w="3067" w:type="dxa"/>
          </w:tcPr>
          <w:p w:rsidR="00840FF5" w:rsidRPr="003059E9" w:rsidRDefault="00840FF5" w:rsidP="00840FF5">
            <w:pPr>
              <w:pStyle w:val="PPVTableText"/>
            </w:pPr>
            <w:r w:rsidRPr="003059E9">
              <w:t>Ms Anderson, Rigby Cooke Lawyers</w:t>
            </w:r>
          </w:p>
        </w:tc>
      </w:tr>
      <w:tr w:rsidR="00840FF5" w:rsidRPr="003059E9" w:rsidTr="00002386">
        <w:trPr>
          <w:cantSplit/>
        </w:trPr>
        <w:tc>
          <w:tcPr>
            <w:tcW w:w="720" w:type="dxa"/>
          </w:tcPr>
          <w:p w:rsidR="00840FF5" w:rsidRPr="003059E9" w:rsidRDefault="00840FF5" w:rsidP="00840FF5">
            <w:pPr>
              <w:pStyle w:val="PPVTableText"/>
            </w:pPr>
            <w:r w:rsidRPr="003059E9">
              <w:t>355</w:t>
            </w:r>
          </w:p>
        </w:tc>
        <w:tc>
          <w:tcPr>
            <w:tcW w:w="1231" w:type="dxa"/>
          </w:tcPr>
          <w:p w:rsidR="00840FF5" w:rsidRPr="003059E9" w:rsidRDefault="00840FF5" w:rsidP="00840FF5">
            <w:pPr>
              <w:pStyle w:val="PPVTableText"/>
            </w:pPr>
            <w:r w:rsidRPr="003059E9">
              <w:t>25/05/18</w:t>
            </w:r>
          </w:p>
        </w:tc>
        <w:tc>
          <w:tcPr>
            <w:tcW w:w="4253" w:type="dxa"/>
          </w:tcPr>
          <w:p w:rsidR="00840FF5" w:rsidRPr="003059E9" w:rsidRDefault="00840FF5" w:rsidP="00840FF5">
            <w:pPr>
              <w:pStyle w:val="PPVTableText"/>
            </w:pPr>
            <w:r w:rsidRPr="003059E9">
              <w:t>Further submission from APN Property Group</w:t>
            </w:r>
          </w:p>
        </w:tc>
        <w:tc>
          <w:tcPr>
            <w:tcW w:w="3067" w:type="dxa"/>
          </w:tcPr>
          <w:p w:rsidR="00840FF5" w:rsidRPr="003059E9" w:rsidRDefault="00840FF5" w:rsidP="00840FF5">
            <w:pPr>
              <w:pStyle w:val="PPVTableText"/>
            </w:pPr>
            <w:r w:rsidRPr="003059E9">
              <w:t>Mr Passarella, Mills Oakley</w:t>
            </w:r>
          </w:p>
        </w:tc>
      </w:tr>
      <w:tr w:rsidR="00840FF5" w:rsidRPr="003059E9" w:rsidTr="00002386">
        <w:trPr>
          <w:cantSplit/>
        </w:trPr>
        <w:tc>
          <w:tcPr>
            <w:tcW w:w="720" w:type="dxa"/>
          </w:tcPr>
          <w:p w:rsidR="00840FF5" w:rsidRPr="003059E9" w:rsidRDefault="00840FF5" w:rsidP="00840FF5">
            <w:pPr>
              <w:pStyle w:val="PPVTableText"/>
            </w:pPr>
            <w:r w:rsidRPr="003059E9">
              <w:t>356</w:t>
            </w:r>
          </w:p>
        </w:tc>
        <w:tc>
          <w:tcPr>
            <w:tcW w:w="1231" w:type="dxa"/>
          </w:tcPr>
          <w:p w:rsidR="00840FF5" w:rsidRPr="003059E9" w:rsidRDefault="00840FF5" w:rsidP="00840FF5">
            <w:pPr>
              <w:pStyle w:val="PPVTableText"/>
            </w:pPr>
            <w:r w:rsidRPr="003059E9">
              <w:t>31/05/18</w:t>
            </w:r>
          </w:p>
        </w:tc>
        <w:tc>
          <w:tcPr>
            <w:tcW w:w="4253" w:type="dxa"/>
          </w:tcPr>
          <w:p w:rsidR="00840FF5" w:rsidRPr="003059E9" w:rsidRDefault="00840FF5" w:rsidP="00840FF5">
            <w:pPr>
              <w:pStyle w:val="PPVTableText"/>
            </w:pPr>
            <w:r w:rsidRPr="003059E9">
              <w:t>Correspondence in response to further submission from APN Group</w:t>
            </w:r>
          </w:p>
        </w:tc>
        <w:tc>
          <w:tcPr>
            <w:tcW w:w="3067" w:type="dxa"/>
          </w:tcPr>
          <w:p w:rsidR="00840FF5" w:rsidRPr="003059E9" w:rsidRDefault="00840FF5" w:rsidP="00840FF5">
            <w:pPr>
              <w:pStyle w:val="PPVTableText"/>
            </w:pPr>
            <w:r w:rsidRPr="003059E9">
              <w:t>Mr Montebello</w:t>
            </w:r>
          </w:p>
        </w:tc>
      </w:tr>
      <w:tr w:rsidR="00840FF5" w:rsidRPr="003059E9" w:rsidTr="00002386">
        <w:trPr>
          <w:cantSplit/>
        </w:trPr>
        <w:tc>
          <w:tcPr>
            <w:tcW w:w="720" w:type="dxa"/>
          </w:tcPr>
          <w:p w:rsidR="00840FF5" w:rsidRPr="003059E9" w:rsidRDefault="00840FF5" w:rsidP="00840FF5">
            <w:pPr>
              <w:pStyle w:val="PPVTableText"/>
            </w:pPr>
            <w:r w:rsidRPr="003059E9">
              <w:t>357</w:t>
            </w:r>
          </w:p>
        </w:tc>
        <w:tc>
          <w:tcPr>
            <w:tcW w:w="1231" w:type="dxa"/>
          </w:tcPr>
          <w:p w:rsidR="00840FF5" w:rsidRPr="003059E9" w:rsidRDefault="00840FF5" w:rsidP="00840FF5">
            <w:pPr>
              <w:pStyle w:val="PPVTableText"/>
            </w:pPr>
            <w:r w:rsidRPr="003059E9">
              <w:t>06/06/18</w:t>
            </w:r>
          </w:p>
        </w:tc>
        <w:tc>
          <w:tcPr>
            <w:tcW w:w="4253" w:type="dxa"/>
          </w:tcPr>
          <w:p w:rsidR="00840FF5" w:rsidRDefault="00840FF5" w:rsidP="00840FF5">
            <w:pPr>
              <w:pStyle w:val="PPVTableText"/>
            </w:pPr>
            <w:r w:rsidRPr="003059E9">
              <w:t>Closing Submission for the APA Group</w:t>
            </w:r>
          </w:p>
          <w:p w:rsidR="00840FF5" w:rsidRPr="003059E9" w:rsidRDefault="00840FF5" w:rsidP="00840FF5">
            <w:pPr>
              <w:pStyle w:val="PPVTableText"/>
            </w:pPr>
            <w:r w:rsidRPr="003059E9">
              <w:t>Revised CCZ APA</w:t>
            </w:r>
          </w:p>
        </w:tc>
        <w:tc>
          <w:tcPr>
            <w:tcW w:w="3067" w:type="dxa"/>
          </w:tcPr>
          <w:p w:rsidR="00840FF5" w:rsidRPr="003059E9" w:rsidRDefault="00840FF5" w:rsidP="00840FF5">
            <w:pPr>
              <w:pStyle w:val="PPVTableText"/>
            </w:pPr>
            <w:r w:rsidRPr="003059E9">
              <w:t>Ms Bannister, Hall &amp; Willcox</w:t>
            </w:r>
          </w:p>
        </w:tc>
      </w:tr>
      <w:tr w:rsidR="00840FF5" w:rsidRPr="003059E9" w:rsidTr="00002386">
        <w:trPr>
          <w:cantSplit/>
        </w:trPr>
        <w:tc>
          <w:tcPr>
            <w:tcW w:w="720" w:type="dxa"/>
          </w:tcPr>
          <w:p w:rsidR="00840FF5" w:rsidRPr="003059E9" w:rsidRDefault="00840FF5" w:rsidP="00840FF5">
            <w:pPr>
              <w:pStyle w:val="PPVTableText"/>
            </w:pPr>
            <w:r w:rsidRPr="003059E9">
              <w:t>358</w:t>
            </w:r>
          </w:p>
        </w:tc>
        <w:tc>
          <w:tcPr>
            <w:tcW w:w="1231" w:type="dxa"/>
          </w:tcPr>
          <w:p w:rsidR="00840FF5" w:rsidRPr="003059E9" w:rsidRDefault="00840FF5" w:rsidP="00840FF5">
            <w:pPr>
              <w:pStyle w:val="PPVTableText"/>
            </w:pPr>
            <w:r w:rsidRPr="003059E9">
              <w:t>13/06/18</w:t>
            </w:r>
          </w:p>
        </w:tc>
        <w:tc>
          <w:tcPr>
            <w:tcW w:w="4253" w:type="dxa"/>
          </w:tcPr>
          <w:p w:rsidR="00840FF5" w:rsidRPr="003059E9" w:rsidRDefault="00840FF5" w:rsidP="00840FF5">
            <w:pPr>
              <w:pStyle w:val="PPVTableText"/>
            </w:pPr>
            <w:r w:rsidRPr="003059E9">
              <w:t>Closing Submission for SM253</w:t>
            </w:r>
          </w:p>
        </w:tc>
        <w:tc>
          <w:tcPr>
            <w:tcW w:w="3067" w:type="dxa"/>
          </w:tcPr>
          <w:p w:rsidR="00840FF5" w:rsidRPr="003059E9" w:rsidRDefault="00840FF5" w:rsidP="00840FF5">
            <w:pPr>
              <w:pStyle w:val="PPVTableText"/>
            </w:pPr>
            <w:r w:rsidRPr="003059E9">
              <w:t>Ms Somerville, Herbert Smith Freehills</w:t>
            </w:r>
          </w:p>
        </w:tc>
      </w:tr>
      <w:tr w:rsidR="00840FF5" w:rsidRPr="003059E9" w:rsidTr="00002386">
        <w:trPr>
          <w:cantSplit/>
        </w:trPr>
        <w:tc>
          <w:tcPr>
            <w:tcW w:w="720" w:type="dxa"/>
          </w:tcPr>
          <w:p w:rsidR="00840FF5" w:rsidRPr="003059E9" w:rsidRDefault="00840FF5" w:rsidP="00840FF5">
            <w:pPr>
              <w:pStyle w:val="PPVTableText"/>
            </w:pPr>
            <w:r w:rsidRPr="003059E9">
              <w:t>359</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Closing Submission for NRF Landowners</w:t>
            </w:r>
          </w:p>
          <w:p w:rsidR="00840FF5" w:rsidRPr="003059E9" w:rsidRDefault="00840FF5" w:rsidP="00840FF5">
            <w:pPr>
              <w:pStyle w:val="PPVTableText"/>
            </w:pPr>
            <w:r w:rsidRPr="003059E9">
              <w:t>Track change version of controls</w:t>
            </w:r>
          </w:p>
        </w:tc>
        <w:tc>
          <w:tcPr>
            <w:tcW w:w="3067" w:type="dxa"/>
          </w:tcPr>
          <w:p w:rsidR="00840FF5" w:rsidRPr="003059E9" w:rsidRDefault="00840FF5" w:rsidP="00840FF5">
            <w:pPr>
              <w:pStyle w:val="PPVTableText"/>
            </w:pPr>
            <w:r w:rsidRPr="003059E9">
              <w:t>Ms Choi, Norton Rose Fulbright</w:t>
            </w:r>
          </w:p>
        </w:tc>
      </w:tr>
      <w:tr w:rsidR="00840FF5" w:rsidRPr="003059E9" w:rsidTr="00002386">
        <w:trPr>
          <w:cantSplit/>
        </w:trPr>
        <w:tc>
          <w:tcPr>
            <w:tcW w:w="720" w:type="dxa"/>
          </w:tcPr>
          <w:p w:rsidR="00840FF5" w:rsidRPr="003059E9" w:rsidRDefault="00840FF5" w:rsidP="00840FF5">
            <w:pPr>
              <w:pStyle w:val="PPVTableText"/>
            </w:pPr>
            <w:r w:rsidRPr="003059E9">
              <w:t>360</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Closing Submission for Delta Group, Kador Group Holdings &amp; Wadhawan Holdings</w:t>
            </w:r>
          </w:p>
        </w:tc>
        <w:tc>
          <w:tcPr>
            <w:tcW w:w="3067" w:type="dxa"/>
          </w:tcPr>
          <w:p w:rsidR="00840FF5" w:rsidRPr="003059E9" w:rsidRDefault="00840FF5" w:rsidP="00840FF5">
            <w:pPr>
              <w:pStyle w:val="PPVTableText"/>
            </w:pPr>
            <w:r w:rsidRPr="003059E9">
              <w:t>Ms Wilson, Mills Oakley</w:t>
            </w:r>
          </w:p>
        </w:tc>
      </w:tr>
      <w:tr w:rsidR="00840FF5" w:rsidRPr="003059E9" w:rsidTr="00002386">
        <w:trPr>
          <w:cantSplit/>
        </w:trPr>
        <w:tc>
          <w:tcPr>
            <w:tcW w:w="720" w:type="dxa"/>
          </w:tcPr>
          <w:p w:rsidR="00840FF5" w:rsidRPr="003059E9" w:rsidRDefault="00840FF5" w:rsidP="00840FF5">
            <w:pPr>
              <w:pStyle w:val="PPVTableText"/>
            </w:pPr>
            <w:r w:rsidRPr="003059E9">
              <w:t>361</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Closing Submission for Claric Ninety Nine Pty Ltd</w:t>
            </w:r>
          </w:p>
        </w:tc>
        <w:tc>
          <w:tcPr>
            <w:tcW w:w="3067" w:type="dxa"/>
          </w:tcPr>
          <w:p w:rsidR="00840FF5" w:rsidRPr="003059E9" w:rsidRDefault="00840FF5" w:rsidP="00840FF5">
            <w:pPr>
              <w:pStyle w:val="PPVTableText"/>
            </w:pPr>
            <w:r w:rsidRPr="003059E9">
              <w:t>Mr Msonda-Johnson, Roberts Day</w:t>
            </w:r>
          </w:p>
        </w:tc>
      </w:tr>
      <w:tr w:rsidR="00840FF5" w:rsidRPr="003059E9" w:rsidTr="00002386">
        <w:trPr>
          <w:cantSplit/>
        </w:trPr>
        <w:tc>
          <w:tcPr>
            <w:tcW w:w="720" w:type="dxa"/>
          </w:tcPr>
          <w:p w:rsidR="00840FF5" w:rsidRPr="003059E9" w:rsidRDefault="00840FF5" w:rsidP="00840FF5">
            <w:pPr>
              <w:pStyle w:val="PPVTableText"/>
            </w:pPr>
            <w:r w:rsidRPr="003059E9">
              <w:t>362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Closing submission for various owners represented by Planning &amp; Property Partners</w:t>
            </w:r>
          </w:p>
        </w:tc>
        <w:tc>
          <w:tcPr>
            <w:tcW w:w="3067" w:type="dxa"/>
          </w:tcPr>
          <w:p w:rsidR="00840FF5" w:rsidRPr="003059E9" w:rsidRDefault="00840FF5" w:rsidP="00840FF5">
            <w:pPr>
              <w:pStyle w:val="PPVTableText"/>
            </w:pPr>
            <w:r w:rsidRPr="003059E9">
              <w:t>Mr Moylan, Planning &amp; Property Partners</w:t>
            </w:r>
          </w:p>
        </w:tc>
      </w:tr>
      <w:tr w:rsidR="00840FF5" w:rsidRPr="003059E9" w:rsidTr="00002386">
        <w:trPr>
          <w:cantSplit/>
        </w:trPr>
        <w:tc>
          <w:tcPr>
            <w:tcW w:w="720" w:type="dxa"/>
          </w:tcPr>
          <w:p w:rsidR="00840FF5" w:rsidRPr="003059E9" w:rsidRDefault="00840FF5" w:rsidP="00840FF5">
            <w:pPr>
              <w:pStyle w:val="PPVTableText"/>
            </w:pPr>
            <w:r w:rsidRPr="003059E9">
              <w:lastRenderedPageBreak/>
              <w:t>363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Letter from Russell Kennedy Lawyers advising Sel Reklaw Pty Ltd adopts and supports Document 359</w:t>
            </w:r>
          </w:p>
        </w:tc>
        <w:tc>
          <w:tcPr>
            <w:tcW w:w="3067" w:type="dxa"/>
          </w:tcPr>
          <w:p w:rsidR="00840FF5" w:rsidRPr="003059E9" w:rsidRDefault="00840FF5" w:rsidP="00840FF5">
            <w:pPr>
              <w:pStyle w:val="PPVTableText"/>
            </w:pPr>
            <w:r w:rsidRPr="003059E9">
              <w:t>Ms Colsell, Russel Kennedy Lawyers</w:t>
            </w:r>
          </w:p>
        </w:tc>
      </w:tr>
      <w:tr w:rsidR="00840FF5" w:rsidRPr="003059E9" w:rsidTr="00002386">
        <w:trPr>
          <w:cantSplit/>
        </w:trPr>
        <w:tc>
          <w:tcPr>
            <w:tcW w:w="720" w:type="dxa"/>
          </w:tcPr>
          <w:p w:rsidR="00840FF5" w:rsidRPr="003059E9" w:rsidRDefault="00840FF5" w:rsidP="00840FF5">
            <w:pPr>
              <w:pStyle w:val="PPVTableText"/>
            </w:pPr>
            <w:r w:rsidRPr="003059E9">
              <w:t>364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Closing Submission for Hanson Construction Materials Pty Ltd</w:t>
            </w:r>
          </w:p>
        </w:tc>
        <w:tc>
          <w:tcPr>
            <w:tcW w:w="3067" w:type="dxa"/>
          </w:tcPr>
          <w:p w:rsidR="00840FF5" w:rsidRPr="003059E9" w:rsidRDefault="00840FF5" w:rsidP="00840FF5">
            <w:pPr>
              <w:pStyle w:val="PPVTableText"/>
            </w:pPr>
            <w:r w:rsidRPr="003059E9">
              <w:t>Mr Katz, Cornwall Stodart</w:t>
            </w:r>
          </w:p>
        </w:tc>
      </w:tr>
      <w:tr w:rsidR="00840FF5" w:rsidRPr="003059E9" w:rsidTr="00002386">
        <w:trPr>
          <w:cantSplit/>
        </w:trPr>
        <w:tc>
          <w:tcPr>
            <w:tcW w:w="720" w:type="dxa"/>
          </w:tcPr>
          <w:p w:rsidR="00840FF5" w:rsidRPr="003059E9" w:rsidRDefault="00840FF5" w:rsidP="00840FF5">
            <w:pPr>
              <w:pStyle w:val="PPVTableText"/>
            </w:pPr>
            <w:r w:rsidRPr="003059E9">
              <w:t>365</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Closing Submission for UDIA</w:t>
            </w:r>
          </w:p>
          <w:p w:rsidR="00840FF5" w:rsidRPr="003059E9" w:rsidRDefault="00840FF5" w:rsidP="00840FF5">
            <w:pPr>
              <w:pStyle w:val="PPVTableText"/>
            </w:pPr>
            <w:r w:rsidRPr="003059E9">
              <w:t>Attachments to submission</w:t>
            </w:r>
          </w:p>
        </w:tc>
        <w:tc>
          <w:tcPr>
            <w:tcW w:w="3067" w:type="dxa"/>
          </w:tcPr>
          <w:p w:rsidR="00840FF5" w:rsidRPr="003059E9" w:rsidRDefault="00840FF5" w:rsidP="00840FF5">
            <w:pPr>
              <w:pStyle w:val="PPVTableText"/>
            </w:pPr>
            <w:r w:rsidRPr="003059E9">
              <w:t>Ms O’Connor, UDIA</w:t>
            </w:r>
          </w:p>
        </w:tc>
      </w:tr>
      <w:tr w:rsidR="00840FF5" w:rsidRPr="003059E9" w:rsidTr="00002386">
        <w:trPr>
          <w:cantSplit/>
        </w:trPr>
        <w:tc>
          <w:tcPr>
            <w:tcW w:w="720" w:type="dxa"/>
          </w:tcPr>
          <w:p w:rsidR="00840FF5" w:rsidRPr="003059E9" w:rsidRDefault="00840FF5" w:rsidP="00840FF5">
            <w:pPr>
              <w:pStyle w:val="PPVTableText"/>
            </w:pPr>
            <w:r w:rsidRPr="003059E9">
              <w:t>366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Closing Submission for EPA</w:t>
            </w:r>
          </w:p>
        </w:tc>
        <w:tc>
          <w:tcPr>
            <w:tcW w:w="3067" w:type="dxa"/>
          </w:tcPr>
          <w:p w:rsidR="00840FF5" w:rsidRPr="003059E9" w:rsidRDefault="00840FF5" w:rsidP="00840FF5">
            <w:pPr>
              <w:pStyle w:val="PPVTableText"/>
            </w:pPr>
            <w:r w:rsidRPr="003059E9">
              <w:t>Ms Davies, Environment Protection Authority</w:t>
            </w:r>
          </w:p>
        </w:tc>
      </w:tr>
      <w:tr w:rsidR="00840FF5" w:rsidRPr="003059E9" w:rsidTr="00002386">
        <w:trPr>
          <w:cantSplit/>
        </w:trPr>
        <w:tc>
          <w:tcPr>
            <w:tcW w:w="720" w:type="dxa"/>
          </w:tcPr>
          <w:p w:rsidR="00840FF5" w:rsidRPr="003059E9" w:rsidRDefault="00840FF5" w:rsidP="00840FF5">
            <w:pPr>
              <w:pStyle w:val="PPVTableText"/>
            </w:pPr>
            <w:r w:rsidRPr="003059E9">
              <w:t>367</w:t>
            </w:r>
          </w:p>
        </w:tc>
        <w:tc>
          <w:tcPr>
            <w:tcW w:w="1231" w:type="dxa"/>
          </w:tcPr>
          <w:p w:rsidR="00840FF5" w:rsidRPr="003059E9" w:rsidRDefault="00840FF5" w:rsidP="00840FF5">
            <w:pPr>
              <w:pStyle w:val="PPVTableText"/>
            </w:pPr>
            <w:r w:rsidRPr="003059E9">
              <w:t>14/06/18</w:t>
            </w:r>
          </w:p>
        </w:tc>
        <w:tc>
          <w:tcPr>
            <w:tcW w:w="4253" w:type="dxa"/>
          </w:tcPr>
          <w:p w:rsidR="00840FF5" w:rsidRPr="003059E9" w:rsidRDefault="00840FF5" w:rsidP="00840FF5">
            <w:pPr>
              <w:pStyle w:val="PPVTableText"/>
            </w:pPr>
            <w:r w:rsidRPr="003059E9">
              <w:t>Revised Hearing Timetable version 9</w:t>
            </w:r>
          </w:p>
        </w:tc>
        <w:tc>
          <w:tcPr>
            <w:tcW w:w="3067" w:type="dxa"/>
          </w:tcPr>
          <w:p w:rsidR="00840FF5" w:rsidRPr="003059E9" w:rsidRDefault="00840FF5" w:rsidP="00840FF5">
            <w:pPr>
              <w:pStyle w:val="PPVTableText"/>
            </w:pPr>
            <w:r w:rsidRPr="003059E9">
              <w:t>Ms Harwood, P</w:t>
            </w:r>
            <w:r w:rsidR="00DD1F54">
              <w:t>PV</w:t>
            </w:r>
          </w:p>
        </w:tc>
      </w:tr>
      <w:tr w:rsidR="00840FF5" w:rsidRPr="003059E9" w:rsidTr="00002386">
        <w:trPr>
          <w:cantSplit/>
        </w:trPr>
        <w:tc>
          <w:tcPr>
            <w:tcW w:w="720" w:type="dxa"/>
          </w:tcPr>
          <w:p w:rsidR="00840FF5" w:rsidRPr="003059E9" w:rsidRDefault="00840FF5" w:rsidP="00840FF5">
            <w:pPr>
              <w:pStyle w:val="PPVTableText"/>
            </w:pPr>
            <w:r w:rsidRPr="003059E9">
              <w:t>368</w:t>
            </w:r>
          </w:p>
        </w:tc>
        <w:tc>
          <w:tcPr>
            <w:tcW w:w="1231" w:type="dxa"/>
          </w:tcPr>
          <w:p w:rsidR="00840FF5" w:rsidRPr="003059E9" w:rsidRDefault="00840FF5" w:rsidP="00840FF5">
            <w:pPr>
              <w:pStyle w:val="PPVTableText"/>
            </w:pPr>
            <w:r w:rsidRPr="003059E9">
              <w:t>20/06/18</w:t>
            </w:r>
          </w:p>
        </w:tc>
        <w:tc>
          <w:tcPr>
            <w:tcW w:w="4253" w:type="dxa"/>
          </w:tcPr>
          <w:p w:rsidR="00840FF5" w:rsidRPr="003059E9" w:rsidRDefault="00840FF5" w:rsidP="00840FF5">
            <w:pPr>
              <w:pStyle w:val="PPVTableText"/>
            </w:pPr>
            <w:r w:rsidRPr="003059E9">
              <w:t xml:space="preserve">Marked up CCZ </w:t>
            </w:r>
            <w:r w:rsidR="00576336">
              <w:t>S</w:t>
            </w:r>
            <w:r w:rsidRPr="003059E9">
              <w:t xml:space="preserve">chedule (NRF Changes) </w:t>
            </w:r>
          </w:p>
        </w:tc>
        <w:tc>
          <w:tcPr>
            <w:tcW w:w="3067" w:type="dxa"/>
          </w:tcPr>
          <w:p w:rsidR="00840FF5" w:rsidRPr="003059E9" w:rsidRDefault="00840FF5" w:rsidP="00840FF5">
            <w:pPr>
              <w:pStyle w:val="PPVTableText"/>
            </w:pPr>
            <w:r w:rsidRPr="003059E9">
              <w:t>Mr Tweedie</w:t>
            </w:r>
          </w:p>
        </w:tc>
      </w:tr>
      <w:tr w:rsidR="00840FF5" w:rsidRPr="003059E9" w:rsidTr="00002386">
        <w:trPr>
          <w:cantSplit/>
        </w:trPr>
        <w:tc>
          <w:tcPr>
            <w:tcW w:w="720" w:type="dxa"/>
          </w:tcPr>
          <w:p w:rsidR="00840FF5" w:rsidRPr="003059E9" w:rsidRDefault="00840FF5" w:rsidP="00840FF5">
            <w:pPr>
              <w:pStyle w:val="PPVTableText"/>
            </w:pPr>
            <w:r w:rsidRPr="003059E9">
              <w:t>369</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Marked up Clause 22</w:t>
            </w:r>
            <w:r w:rsidR="00D5469E">
              <w:t>.XX</w:t>
            </w:r>
            <w:r w:rsidRPr="003059E9">
              <w:t xml:space="preserve"> (NRF Changes) </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370</w:t>
            </w:r>
          </w:p>
        </w:tc>
        <w:tc>
          <w:tcPr>
            <w:tcW w:w="1231" w:type="dxa"/>
          </w:tcPr>
          <w:p w:rsidR="00840FF5" w:rsidRPr="003059E9" w:rsidRDefault="00840FF5" w:rsidP="00840FF5">
            <w:pPr>
              <w:pStyle w:val="PPVTableText"/>
            </w:pPr>
            <w:r w:rsidRPr="003059E9">
              <w:t>“</w:t>
            </w:r>
          </w:p>
        </w:tc>
        <w:tc>
          <w:tcPr>
            <w:tcW w:w="4253" w:type="dxa"/>
          </w:tcPr>
          <w:p w:rsidR="00840FF5" w:rsidRDefault="00840FF5" w:rsidP="00840FF5">
            <w:pPr>
              <w:pStyle w:val="PPVTableText"/>
            </w:pPr>
            <w:r w:rsidRPr="003059E9">
              <w:t>Marked up DDOs (NRF changes)</w:t>
            </w:r>
          </w:p>
          <w:p w:rsidR="00840FF5" w:rsidRDefault="00840FF5" w:rsidP="00840FF5">
            <w:pPr>
              <w:pStyle w:val="PPVTableText"/>
            </w:pPr>
            <w:r w:rsidRPr="003059E9">
              <w:t>Lorimer</w:t>
            </w:r>
          </w:p>
          <w:p w:rsidR="00840FF5" w:rsidRDefault="00840FF5" w:rsidP="00840FF5">
            <w:pPr>
              <w:pStyle w:val="PPVTableText"/>
            </w:pPr>
            <w:r w:rsidRPr="003059E9">
              <w:t>Montague</w:t>
            </w:r>
          </w:p>
          <w:p w:rsidR="00840FF5" w:rsidRDefault="00840FF5" w:rsidP="00840FF5">
            <w:pPr>
              <w:pStyle w:val="PPVTableText"/>
            </w:pPr>
            <w:r w:rsidRPr="003059E9">
              <w:t>Wirraway</w:t>
            </w:r>
          </w:p>
          <w:p w:rsidR="00840FF5" w:rsidRPr="003059E9" w:rsidRDefault="00840FF5" w:rsidP="00840FF5">
            <w:pPr>
              <w:pStyle w:val="PPVTableText"/>
            </w:pPr>
            <w:r w:rsidRPr="003059E9">
              <w:t>Sandridge</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371</w:t>
            </w:r>
          </w:p>
        </w:tc>
        <w:tc>
          <w:tcPr>
            <w:tcW w:w="1231" w:type="dxa"/>
          </w:tcPr>
          <w:p w:rsidR="00840FF5" w:rsidRPr="003059E9" w:rsidRDefault="00840FF5" w:rsidP="00840FF5">
            <w:pPr>
              <w:pStyle w:val="PPVTableText"/>
            </w:pPr>
            <w:r w:rsidRPr="003059E9">
              <w:t>22/06/18</w:t>
            </w:r>
          </w:p>
        </w:tc>
        <w:tc>
          <w:tcPr>
            <w:tcW w:w="4253" w:type="dxa"/>
          </w:tcPr>
          <w:p w:rsidR="00840FF5" w:rsidRPr="003059E9" w:rsidRDefault="00840FF5" w:rsidP="00840FF5">
            <w:pPr>
              <w:pStyle w:val="PPVTableText"/>
            </w:pPr>
            <w:r w:rsidRPr="003059E9">
              <w:t>Addendum to EPA closing</w:t>
            </w:r>
          </w:p>
        </w:tc>
        <w:tc>
          <w:tcPr>
            <w:tcW w:w="3067" w:type="dxa"/>
          </w:tcPr>
          <w:p w:rsidR="00840FF5" w:rsidRPr="003059E9" w:rsidRDefault="00840FF5" w:rsidP="00840FF5">
            <w:pPr>
              <w:pStyle w:val="PPVTableText"/>
            </w:pPr>
            <w:r w:rsidRPr="003059E9">
              <w:t>Ms Davies, Environment Protection Authority</w:t>
            </w:r>
          </w:p>
        </w:tc>
      </w:tr>
      <w:tr w:rsidR="00840FF5" w:rsidRPr="003059E9" w:rsidTr="00002386">
        <w:trPr>
          <w:cantSplit/>
        </w:trPr>
        <w:tc>
          <w:tcPr>
            <w:tcW w:w="720" w:type="dxa"/>
          </w:tcPr>
          <w:p w:rsidR="00840FF5" w:rsidRPr="003059E9" w:rsidRDefault="00840FF5" w:rsidP="00840FF5">
            <w:pPr>
              <w:pStyle w:val="PPVTableText"/>
            </w:pPr>
            <w:r w:rsidRPr="003059E9">
              <w:t>372</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Melbourne final closing submission</w:t>
            </w:r>
          </w:p>
        </w:tc>
        <w:tc>
          <w:tcPr>
            <w:tcW w:w="3067" w:type="dxa"/>
          </w:tcPr>
          <w:p w:rsidR="00840FF5" w:rsidRPr="003059E9" w:rsidRDefault="00840FF5" w:rsidP="00840FF5">
            <w:pPr>
              <w:pStyle w:val="PPVTableText"/>
            </w:pPr>
            <w:r w:rsidRPr="003059E9">
              <w:t>Ms Forsyth</w:t>
            </w:r>
          </w:p>
        </w:tc>
      </w:tr>
      <w:tr w:rsidR="00840FF5" w:rsidRPr="003059E9" w:rsidTr="00002386">
        <w:trPr>
          <w:cantSplit/>
        </w:trPr>
        <w:tc>
          <w:tcPr>
            <w:tcW w:w="720" w:type="dxa"/>
          </w:tcPr>
          <w:p w:rsidR="00840FF5" w:rsidRPr="003059E9" w:rsidRDefault="00840FF5" w:rsidP="00840FF5">
            <w:pPr>
              <w:pStyle w:val="PPVTableText"/>
            </w:pPr>
            <w:r w:rsidRPr="003059E9">
              <w:t>373</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Port Phillip final closing submission</w:t>
            </w:r>
          </w:p>
        </w:tc>
        <w:tc>
          <w:tcPr>
            <w:tcW w:w="3067" w:type="dxa"/>
          </w:tcPr>
          <w:p w:rsidR="00840FF5" w:rsidRPr="003059E9" w:rsidRDefault="00840FF5" w:rsidP="00840FF5">
            <w:pPr>
              <w:pStyle w:val="PPVTableText"/>
            </w:pPr>
            <w:r w:rsidRPr="003059E9">
              <w:t>Mr Montebello</w:t>
            </w:r>
          </w:p>
        </w:tc>
      </w:tr>
      <w:tr w:rsidR="00840FF5" w:rsidRPr="003059E9" w:rsidTr="00002386">
        <w:trPr>
          <w:cantSplit/>
        </w:trPr>
        <w:tc>
          <w:tcPr>
            <w:tcW w:w="720" w:type="dxa"/>
          </w:tcPr>
          <w:p w:rsidR="00840FF5" w:rsidRPr="003059E9" w:rsidRDefault="00840FF5" w:rsidP="00840FF5">
            <w:pPr>
              <w:pStyle w:val="PPVTableText"/>
            </w:pPr>
            <w:r w:rsidRPr="003059E9">
              <w:t>374</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Minister for Planning final closing submission</w:t>
            </w:r>
          </w:p>
        </w:tc>
        <w:tc>
          <w:tcPr>
            <w:tcW w:w="3067" w:type="dxa"/>
          </w:tcPr>
          <w:p w:rsidR="00840FF5" w:rsidRPr="003059E9" w:rsidRDefault="00840FF5" w:rsidP="00840FF5">
            <w:pPr>
              <w:pStyle w:val="PPVTableText"/>
            </w:pPr>
            <w:r w:rsidRPr="003059E9">
              <w:t>Ms Brennan</w:t>
            </w:r>
          </w:p>
        </w:tc>
      </w:tr>
      <w:tr w:rsidR="00840FF5" w:rsidRPr="003059E9" w:rsidTr="00002386">
        <w:trPr>
          <w:cantSplit/>
        </w:trPr>
        <w:tc>
          <w:tcPr>
            <w:tcW w:w="720" w:type="dxa"/>
          </w:tcPr>
          <w:p w:rsidR="00840FF5" w:rsidRPr="003059E9" w:rsidRDefault="00840FF5" w:rsidP="00840FF5">
            <w:pPr>
              <w:pStyle w:val="PPVTableText"/>
            </w:pPr>
            <w:r w:rsidRPr="003059E9">
              <w:t>375</w:t>
            </w:r>
          </w:p>
        </w:tc>
        <w:tc>
          <w:tcPr>
            <w:tcW w:w="1231" w:type="dxa"/>
          </w:tcPr>
          <w:p w:rsidR="00840FF5" w:rsidRPr="003059E9" w:rsidRDefault="00840FF5" w:rsidP="00840FF5">
            <w:pPr>
              <w:pStyle w:val="PPVTableText"/>
            </w:pPr>
            <w:r w:rsidRPr="003059E9">
              <w:t>“</w:t>
            </w:r>
          </w:p>
        </w:tc>
        <w:tc>
          <w:tcPr>
            <w:tcW w:w="4253" w:type="dxa"/>
          </w:tcPr>
          <w:p w:rsidR="00840FF5" w:rsidRPr="003059E9" w:rsidRDefault="00840FF5" w:rsidP="00840FF5">
            <w:pPr>
              <w:pStyle w:val="PPVTableText"/>
            </w:pPr>
            <w:r w:rsidRPr="003059E9">
              <w:t>Minister’s response to the Councils proposed changes to the controls</w:t>
            </w:r>
          </w:p>
        </w:tc>
        <w:tc>
          <w:tcPr>
            <w:tcW w:w="3067" w:type="dxa"/>
          </w:tcPr>
          <w:p w:rsidR="00840FF5" w:rsidRPr="003059E9" w:rsidRDefault="00840FF5" w:rsidP="00840FF5">
            <w:pPr>
              <w:pStyle w:val="PPVTableText"/>
            </w:pPr>
            <w:r w:rsidRPr="003059E9">
              <w:t>“</w:t>
            </w:r>
          </w:p>
        </w:tc>
      </w:tr>
      <w:tr w:rsidR="00840FF5" w:rsidRPr="003059E9" w:rsidTr="00002386">
        <w:trPr>
          <w:cantSplit/>
        </w:trPr>
        <w:tc>
          <w:tcPr>
            <w:tcW w:w="720" w:type="dxa"/>
          </w:tcPr>
          <w:p w:rsidR="00840FF5" w:rsidRPr="003059E9" w:rsidRDefault="00840FF5" w:rsidP="00840FF5">
            <w:pPr>
              <w:pStyle w:val="PPVTableText"/>
            </w:pPr>
            <w:r w:rsidRPr="003059E9">
              <w:t>376</w:t>
            </w:r>
          </w:p>
        </w:tc>
        <w:tc>
          <w:tcPr>
            <w:tcW w:w="1231" w:type="dxa"/>
          </w:tcPr>
          <w:p w:rsidR="00840FF5" w:rsidRPr="003059E9" w:rsidRDefault="00840FF5" w:rsidP="00840FF5">
            <w:pPr>
              <w:pStyle w:val="PPVTableText"/>
            </w:pPr>
            <w:r w:rsidRPr="003059E9">
              <w:t>“</w:t>
            </w:r>
          </w:p>
        </w:tc>
        <w:tc>
          <w:tcPr>
            <w:tcW w:w="4253" w:type="dxa"/>
          </w:tcPr>
          <w:p w:rsidR="00840FF5" w:rsidRPr="003059E9" w:rsidRDefault="00A80B82" w:rsidP="00840FF5">
            <w:pPr>
              <w:pStyle w:val="PPVTableText"/>
            </w:pPr>
            <w:r>
              <w:t xml:space="preserve">SIN 23 Modelling of 13 – </w:t>
            </w:r>
            <w:r w:rsidR="00840FF5" w:rsidRPr="003059E9">
              <w:t xml:space="preserve">33 Hartley St (Lorimer Precinct) </w:t>
            </w:r>
          </w:p>
        </w:tc>
        <w:tc>
          <w:tcPr>
            <w:tcW w:w="3067" w:type="dxa"/>
          </w:tcPr>
          <w:p w:rsidR="00840FF5" w:rsidRPr="003059E9" w:rsidRDefault="00840FF5" w:rsidP="00840FF5">
            <w:pPr>
              <w:pStyle w:val="PPVTableText"/>
            </w:pPr>
            <w:r w:rsidRPr="003059E9">
              <w:t>“</w:t>
            </w:r>
          </w:p>
        </w:tc>
      </w:tr>
    </w:tbl>
    <w:p w:rsidR="00F97818" w:rsidRPr="00A90F8A" w:rsidRDefault="00F97818" w:rsidP="00180DA1">
      <w:pPr>
        <w:pStyle w:val="PPVBody"/>
        <w:rPr>
          <w:rFonts w:asciiTheme="minorHAnsi" w:hAnsiTheme="minorHAnsi"/>
        </w:rPr>
      </w:pPr>
    </w:p>
    <w:sectPr w:rsidR="00F97818" w:rsidRPr="00A90F8A" w:rsidSect="00B11559">
      <w:footerReference w:type="default" r:id="rId55"/>
      <w:pgSz w:w="11906" w:h="16838"/>
      <w:pgMar w:top="1701" w:right="1418" w:bottom="1135" w:left="1418" w:header="720" w:footer="44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833A5" w:rsidRDefault="00E833A5" w:rsidP="00F236E4">
      <w:r>
        <w:separator/>
      </w:r>
    </w:p>
    <w:p w:rsidR="00E833A5" w:rsidRDefault="00E833A5" w:rsidP="00F236E4"/>
  </w:endnote>
  <w:endnote w:type="continuationSeparator" w:id="0">
    <w:p w:rsidR="00E833A5" w:rsidRDefault="00E833A5" w:rsidP="00F236E4">
      <w:r>
        <w:continuationSeparator/>
      </w:r>
    </w:p>
    <w:p w:rsidR="00E833A5" w:rsidRDefault="00E833A5" w:rsidP="00F236E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Dotum">
    <w:altName w:val="돋움"/>
    <w:panose1 w:val="020B0600000101010101"/>
    <w:charset w:val="81"/>
    <w:family w:val="swiss"/>
    <w:pitch w:val="variable"/>
    <w:sig w:usb0="B00002AF" w:usb1="69D77CFB" w:usb2="00000030" w:usb3="00000000" w:csb0="0008009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DIN-Regular">
    <w:altName w:val="Lucida Sans Typewriter"/>
    <w:charset w:val="00"/>
    <w:family w:val="swiss"/>
    <w:pitch w:val="variable"/>
    <w:sig w:usb0="80000027" w:usb1="00000000" w:usb2="00000000" w:usb3="00000000" w:csb0="00000001" w:csb1="00000000"/>
  </w:font>
  <w:font w:name="Helvetica-Bold">
    <w:altName w:val="Arial"/>
    <w:charset w:val="00"/>
    <w:family w:val="auto"/>
    <w:pitch w:val="variable"/>
    <w:sig w:usb0="E00002FF" w:usb1="5000785B" w:usb2="00000000" w:usb3="00000000" w:csb0="0000019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761F" w:rsidRDefault="00A9761F" w:rsidP="00F4133B">
    <w:pPr>
      <w:pStyle w:val="Footer"/>
    </w:pPr>
    <w:r>
      <w:rPr>
        <w:noProof/>
      </w:rPr>
      <w:drawing>
        <wp:anchor distT="0" distB="0" distL="114300" distR="114300" simplePos="0" relativeHeight="251657216" behindDoc="1" locked="0" layoutInCell="1" allowOverlap="1" wp14:anchorId="064956D1" wp14:editId="4694359D">
          <wp:simplePos x="0" y="0"/>
          <wp:positionH relativeFrom="column">
            <wp:posOffset>4471035</wp:posOffset>
          </wp:positionH>
          <wp:positionV relativeFrom="paragraph">
            <wp:posOffset>-244302</wp:posOffset>
          </wp:positionV>
          <wp:extent cx="1670541" cy="571500"/>
          <wp:effectExtent l="0" t="0" r="635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V Logo New Mediu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0541"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761F" w:rsidRDefault="00A9761F" w:rsidP="000C5DD2">
    <w:pPr>
      <w:pStyle w:val="PPVBody"/>
    </w:pPr>
  </w:p>
  <w:p w:rsidR="00A9761F" w:rsidRDefault="00A9761F" w:rsidP="000C5DD2">
    <w:pPr>
      <w:pStyle w:val="PPVBody"/>
    </w:pPr>
  </w:p>
  <w:p w:rsidR="00A9761F" w:rsidRDefault="00A9761F" w:rsidP="000C5DD2">
    <w:pPr>
      <w:pStyle w:val="PPVBody"/>
    </w:pPr>
    <w:r>
      <w:rPr>
        <w:noProof/>
      </w:rPr>
      <w:drawing>
        <wp:anchor distT="0" distB="0" distL="114300" distR="114300" simplePos="0" relativeHeight="251663360" behindDoc="1" locked="0" layoutInCell="1" allowOverlap="1" wp14:anchorId="3ED9AFE3" wp14:editId="403D67DD">
          <wp:simplePos x="0" y="0"/>
          <wp:positionH relativeFrom="column">
            <wp:posOffset>4138295</wp:posOffset>
          </wp:positionH>
          <wp:positionV relativeFrom="paragraph">
            <wp:posOffset>-372745</wp:posOffset>
          </wp:positionV>
          <wp:extent cx="1670541" cy="571500"/>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PV Logo New Mediu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70541" cy="5715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761F" w:rsidRPr="00F4133B" w:rsidRDefault="00A9761F" w:rsidP="00F4133B">
    <w:pPr>
      <w:pStyle w:val="Footer"/>
    </w:pPr>
    <w:r w:rsidRPr="00195496">
      <w:t xml:space="preserve">Page </w:t>
    </w:r>
    <w:r w:rsidRPr="00195496">
      <w:fldChar w:fldCharType="begin"/>
    </w:r>
    <w:r w:rsidRPr="00195496">
      <w:instrText xml:space="preserve"> PAGE </w:instrText>
    </w:r>
    <w:r w:rsidRPr="00195496">
      <w:fldChar w:fldCharType="separate"/>
    </w:r>
    <w:r w:rsidR="00A307EC">
      <w:rPr>
        <w:noProof/>
      </w:rPr>
      <w:t>vi</w:t>
    </w:r>
    <w:r w:rsidRPr="00195496">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761F" w:rsidRPr="00F4133B" w:rsidRDefault="00A9761F" w:rsidP="00726576">
    <w:pPr>
      <w:pStyle w:val="Footer"/>
    </w:pPr>
    <w:r w:rsidRPr="00F4133B">
      <w:t xml:space="preserve">Page </w:t>
    </w:r>
    <w:r w:rsidRPr="00F4133B">
      <w:fldChar w:fldCharType="begin"/>
    </w:r>
    <w:r w:rsidRPr="00F4133B">
      <w:instrText xml:space="preserve"> PAGE </w:instrText>
    </w:r>
    <w:r w:rsidRPr="00F4133B">
      <w:fldChar w:fldCharType="separate"/>
    </w:r>
    <w:r w:rsidR="00A307EC">
      <w:rPr>
        <w:noProof/>
      </w:rPr>
      <w:t>29</w:t>
    </w:r>
    <w:r w:rsidRPr="00F4133B">
      <w:fldChar w:fldCharType="end"/>
    </w:r>
    <w:r w:rsidRPr="00F4133B">
      <w:t xml:space="preserve"> of </w:t>
    </w:r>
    <w:r>
      <w:t>231</w:t>
    </w:r>
  </w:p>
  <w:p w:rsidR="00A9761F" w:rsidRPr="00726576" w:rsidRDefault="00A9761F" w:rsidP="0072657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761F" w:rsidRPr="00F4133B" w:rsidRDefault="00A9761F" w:rsidP="00F4133B">
    <w:pPr>
      <w:pStyle w:val="Footer"/>
    </w:pPr>
    <w:r w:rsidRPr="00F4133B">
      <w:t xml:space="preserve">Page </w:t>
    </w:r>
    <w:r w:rsidRPr="00F4133B">
      <w:fldChar w:fldCharType="begin"/>
    </w:r>
    <w:r w:rsidRPr="00F4133B">
      <w:instrText xml:space="preserve"> PAGE </w:instrText>
    </w:r>
    <w:r w:rsidRPr="00F4133B">
      <w:fldChar w:fldCharType="separate"/>
    </w:r>
    <w:r w:rsidR="00A307EC">
      <w:rPr>
        <w:noProof/>
      </w:rPr>
      <w:t>231</w:t>
    </w:r>
    <w:r w:rsidRPr="00F4133B">
      <w:fldChar w:fldCharType="end"/>
    </w:r>
    <w:r w:rsidRPr="00F4133B">
      <w:t xml:space="preserve"> of</w:t>
    </w:r>
    <w:r>
      <w:t xml:space="preserve"> 231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833A5" w:rsidRDefault="00E833A5" w:rsidP="00F236E4">
      <w:r>
        <w:separator/>
      </w:r>
    </w:p>
  </w:footnote>
  <w:footnote w:type="continuationSeparator" w:id="0">
    <w:p w:rsidR="00E833A5" w:rsidRDefault="00E833A5" w:rsidP="00F236E4">
      <w:r>
        <w:continuationSeparator/>
      </w:r>
    </w:p>
  </w:footnote>
  <w:footnote w:type="continuationNotice" w:id="1">
    <w:p w:rsidR="00E833A5" w:rsidRDefault="00E833A5" w:rsidP="00A112F1">
      <w:pPr>
        <w:pStyle w:val="FootnoteText"/>
      </w:pPr>
    </w:p>
  </w:footnote>
  <w:footnote w:id="2">
    <w:p w:rsidR="00A9761F" w:rsidRDefault="00A9761F" w:rsidP="00387F7C">
      <w:pPr>
        <w:pStyle w:val="FootnoteText"/>
      </w:pPr>
      <w:r>
        <w:rPr>
          <w:rStyle w:val="FootnoteReference"/>
        </w:rPr>
        <w:footnoteRef/>
      </w:r>
      <w:r>
        <w:t xml:space="preserve"> </w:t>
      </w:r>
      <w:r>
        <w:tab/>
        <w:t>SIN 1 (D151), [1].</w:t>
      </w:r>
    </w:p>
  </w:footnote>
  <w:footnote w:id="3">
    <w:p w:rsidR="00A9761F" w:rsidRDefault="00A9761F" w:rsidP="003D3896">
      <w:pPr>
        <w:pStyle w:val="FootnoteText"/>
      </w:pPr>
      <w:r w:rsidRPr="00820B43">
        <w:rPr>
          <w:rStyle w:val="FootnoteReference"/>
        </w:rPr>
        <w:footnoteRef/>
      </w:r>
      <w:r>
        <w:tab/>
        <w:t>Affidavit of Ms Brezzi (D19c), [16].</w:t>
      </w:r>
    </w:p>
  </w:footnote>
  <w:footnote w:id="4">
    <w:p w:rsidR="00A9761F" w:rsidRDefault="00A9761F" w:rsidP="003D3896">
      <w:pPr>
        <w:pStyle w:val="FootnoteText"/>
      </w:pPr>
      <w:r>
        <w:rPr>
          <w:rStyle w:val="FootnoteReference"/>
        </w:rPr>
        <w:footnoteRef/>
      </w:r>
      <w:r>
        <w:t xml:space="preserve"> </w:t>
      </w:r>
      <w:r>
        <w:tab/>
        <w:t>Directions sought from Mr Morris QC (D19b), [6].</w:t>
      </w:r>
    </w:p>
  </w:footnote>
  <w:footnote w:id="5">
    <w:p w:rsidR="00A9761F" w:rsidRDefault="00A9761F" w:rsidP="003D3896">
      <w:pPr>
        <w:pStyle w:val="FootnoteText"/>
      </w:pPr>
      <w:r>
        <w:rPr>
          <w:rStyle w:val="FootnoteReference"/>
        </w:rPr>
        <w:footnoteRef/>
      </w:r>
      <w:r>
        <w:t xml:space="preserve"> </w:t>
      </w:r>
      <w:r>
        <w:tab/>
        <w:t>Correspondence from Harwood Andrews (D29), page 1.</w:t>
      </w:r>
    </w:p>
  </w:footnote>
  <w:footnote w:id="6">
    <w:p w:rsidR="00A9761F" w:rsidRDefault="00A9761F">
      <w:pPr>
        <w:pStyle w:val="FootnoteText"/>
      </w:pPr>
      <w:r>
        <w:rPr>
          <w:rStyle w:val="FootnoteReference"/>
        </w:rPr>
        <w:footnoteRef/>
      </w:r>
      <w:r>
        <w:t xml:space="preserve"> </w:t>
      </w:r>
      <w:r>
        <w:tab/>
        <w:t>D151.</w:t>
      </w:r>
    </w:p>
  </w:footnote>
  <w:footnote w:id="7">
    <w:p w:rsidR="00A9761F" w:rsidRDefault="00A9761F" w:rsidP="00E4382F">
      <w:pPr>
        <w:pStyle w:val="FootnoteText"/>
      </w:pPr>
      <w:r w:rsidRPr="00820B43">
        <w:rPr>
          <w:rStyle w:val="FootnoteReference"/>
        </w:rPr>
        <w:footnoteRef/>
      </w:r>
      <w:r>
        <w:tab/>
      </w:r>
      <w:bookmarkStart w:id="42" w:name="_Hlk519585352"/>
      <w:r w:rsidRPr="00E045DB">
        <w:t>Fishermans Bend Draft Vision</w:t>
      </w:r>
      <w:r>
        <w:t xml:space="preserve"> 2013, page 7</w:t>
      </w:r>
      <w:bookmarkEnd w:id="42"/>
      <w:r>
        <w:t>.</w:t>
      </w:r>
    </w:p>
  </w:footnote>
  <w:footnote w:id="8">
    <w:p w:rsidR="00A9761F" w:rsidRDefault="00A9761F" w:rsidP="00E4382F">
      <w:pPr>
        <w:pStyle w:val="FootnoteText"/>
      </w:pPr>
      <w:r w:rsidRPr="00820B43">
        <w:rPr>
          <w:rStyle w:val="FootnoteReference"/>
        </w:rPr>
        <w:footnoteRef/>
      </w:r>
      <w:r>
        <w:tab/>
        <w:t>Ibid, page 7.</w:t>
      </w:r>
    </w:p>
  </w:footnote>
  <w:footnote w:id="9">
    <w:p w:rsidR="00A9761F" w:rsidRDefault="00A9761F" w:rsidP="00E4382F">
      <w:pPr>
        <w:pStyle w:val="FootnoteText"/>
      </w:pPr>
      <w:r w:rsidRPr="00820B43">
        <w:rPr>
          <w:rStyle w:val="FootnoteReference"/>
        </w:rPr>
        <w:footnoteRef/>
      </w:r>
      <w:r>
        <w:tab/>
      </w:r>
      <w:bookmarkStart w:id="47" w:name="_Hlk519585376"/>
      <w:r>
        <w:t>Minister for Planning ‘Part A Submission’ (D49b), page 6</w:t>
      </w:r>
      <w:bookmarkEnd w:id="47"/>
      <w:r>
        <w:t>.</w:t>
      </w:r>
    </w:p>
  </w:footnote>
  <w:footnote w:id="10">
    <w:p w:rsidR="00A9761F" w:rsidRDefault="00A9761F" w:rsidP="0095776E">
      <w:pPr>
        <w:pStyle w:val="FootnoteText"/>
      </w:pPr>
      <w:r w:rsidRPr="00820B43">
        <w:rPr>
          <w:rStyle w:val="FootnoteReference"/>
        </w:rPr>
        <w:footnoteRef/>
      </w:r>
      <w:r>
        <w:tab/>
        <w:t>Order in Council made under section 3AB of the Act dated 29 May 2018.</w:t>
      </w:r>
    </w:p>
  </w:footnote>
  <w:footnote w:id="11">
    <w:p w:rsidR="00A9761F" w:rsidRDefault="00A9761F" w:rsidP="0095776E">
      <w:pPr>
        <w:pStyle w:val="FootnoteText"/>
      </w:pPr>
      <w:r w:rsidRPr="00820B43">
        <w:rPr>
          <w:rStyle w:val="FootnoteReference"/>
        </w:rPr>
        <w:footnoteRef/>
      </w:r>
      <w:r>
        <w:tab/>
        <w:t xml:space="preserve">Available at </w:t>
      </w:r>
      <w:hyperlink r:id="rId1" w:history="1">
        <w:r w:rsidRPr="002D2FBB">
          <w:rPr>
            <w:rStyle w:val="Hyperlink"/>
          </w:rPr>
          <w:t>https://www.planning.vic.gov.au/policy-and-strategy/affordable-housing</w:t>
        </w:r>
      </w:hyperlink>
      <w:r>
        <w:rPr>
          <w:rStyle w:val="Hyperlink"/>
        </w:rPr>
        <w:t>.</w:t>
      </w:r>
    </w:p>
  </w:footnote>
  <w:footnote w:id="12">
    <w:p w:rsidR="00A9761F" w:rsidRDefault="00A9761F" w:rsidP="00EC4181">
      <w:pPr>
        <w:pStyle w:val="FootnoteText"/>
      </w:pPr>
      <w:r w:rsidRPr="00820B43">
        <w:rPr>
          <w:rStyle w:val="FootnoteReference"/>
        </w:rPr>
        <w:footnoteRef/>
      </w:r>
      <w:r>
        <w:tab/>
        <w:t xml:space="preserve">Pursuant to the new section 172D to be introduced into the </w:t>
      </w:r>
      <w:r w:rsidRPr="00AA4DDE">
        <w:rPr>
          <w:i/>
        </w:rPr>
        <w:t>Planning and Environment Act</w:t>
      </w:r>
      <w:r>
        <w:t xml:space="preserve"> by the </w:t>
      </w:r>
      <w:r w:rsidRPr="00AA4DDE">
        <w:rPr>
          <w:i/>
        </w:rPr>
        <w:t>Public Land Contributions Act</w:t>
      </w:r>
      <w:r>
        <w:rPr>
          <w:i/>
        </w:rPr>
        <w:t>.</w:t>
      </w:r>
    </w:p>
  </w:footnote>
  <w:footnote w:id="13">
    <w:p w:rsidR="00A9761F" w:rsidRPr="002E782C" w:rsidRDefault="00A9761F" w:rsidP="009F3220">
      <w:pPr>
        <w:pStyle w:val="FootnoteText"/>
      </w:pPr>
      <w:r w:rsidRPr="00820B43">
        <w:rPr>
          <w:rStyle w:val="FootnoteReference"/>
        </w:rPr>
        <w:footnoteRef/>
      </w:r>
      <w:r>
        <w:tab/>
      </w:r>
      <w:bookmarkStart w:id="74" w:name="_Hlk519585410"/>
      <w:r>
        <w:t>Plan Melbourne 2017 – 2050 (2017), page 26</w:t>
      </w:r>
      <w:bookmarkEnd w:id="74"/>
      <w:r>
        <w:t>.</w:t>
      </w:r>
    </w:p>
  </w:footnote>
  <w:footnote w:id="14">
    <w:p w:rsidR="00A9761F" w:rsidRDefault="00A9761F" w:rsidP="00785416">
      <w:pPr>
        <w:pStyle w:val="FootnoteText"/>
      </w:pPr>
      <w:r w:rsidRPr="00820B43">
        <w:rPr>
          <w:rStyle w:val="FootnoteReference"/>
        </w:rPr>
        <w:footnoteRef/>
      </w:r>
      <w:r>
        <w:tab/>
        <w:t>Ibid, page 50.</w:t>
      </w:r>
    </w:p>
  </w:footnote>
  <w:footnote w:id="15">
    <w:p w:rsidR="00A9761F" w:rsidRDefault="00A9761F" w:rsidP="008F389F">
      <w:pPr>
        <w:pStyle w:val="FootnoteText"/>
      </w:pPr>
      <w:r>
        <w:rPr>
          <w:rStyle w:val="FootnoteReference"/>
        </w:rPr>
        <w:footnoteRef/>
      </w:r>
      <w:r>
        <w:t xml:space="preserve"> </w:t>
      </w:r>
      <w:r>
        <w:tab/>
      </w:r>
      <w:bookmarkStart w:id="219" w:name="_Hlk519585429"/>
      <w:r>
        <w:t>Supplementary Part B submission (D151), [2]</w:t>
      </w:r>
      <w:bookmarkEnd w:id="219"/>
      <w:r>
        <w:t>.</w:t>
      </w:r>
    </w:p>
  </w:footnote>
  <w:footnote w:id="16">
    <w:p w:rsidR="00A9761F" w:rsidRDefault="00A9761F" w:rsidP="008F389F">
      <w:pPr>
        <w:pStyle w:val="FootnoteText"/>
      </w:pPr>
      <w:r w:rsidRPr="00820B43">
        <w:rPr>
          <w:rStyle w:val="FootnoteReference"/>
        </w:rPr>
        <w:footnoteRef/>
      </w:r>
      <w:r>
        <w:tab/>
        <w:t>Submission by Mr Tweedie (D252), [11].</w:t>
      </w:r>
    </w:p>
  </w:footnote>
  <w:footnote w:id="17">
    <w:p w:rsidR="00A9761F" w:rsidRDefault="00A9761F" w:rsidP="008F389F">
      <w:pPr>
        <w:pStyle w:val="FootnoteText"/>
      </w:pPr>
      <w:r w:rsidRPr="00820B43">
        <w:rPr>
          <w:rStyle w:val="FootnoteReference"/>
        </w:rPr>
        <w:footnoteRef/>
      </w:r>
      <w:r>
        <w:tab/>
        <w:t>Closing submission of the Minister for Planning (D350), [27].</w:t>
      </w:r>
    </w:p>
  </w:footnote>
  <w:footnote w:id="18">
    <w:p w:rsidR="00A9761F" w:rsidRDefault="00A9761F" w:rsidP="008F389F">
      <w:pPr>
        <w:pStyle w:val="FootnoteText"/>
      </w:pPr>
      <w:r w:rsidRPr="00820B43">
        <w:rPr>
          <w:rStyle w:val="FootnoteReference"/>
        </w:rPr>
        <w:footnoteRef/>
      </w:r>
      <w:r>
        <w:tab/>
      </w:r>
      <w:bookmarkStart w:id="220" w:name="_Hlk519585450"/>
      <w:r>
        <w:t>Minister’s Part B submission (D94), [61]</w:t>
      </w:r>
      <w:bookmarkEnd w:id="220"/>
      <w:r>
        <w:t>.</w:t>
      </w:r>
    </w:p>
  </w:footnote>
  <w:footnote w:id="19">
    <w:p w:rsidR="00A9761F" w:rsidRDefault="00A9761F">
      <w:pPr>
        <w:pStyle w:val="FootnoteText"/>
      </w:pPr>
      <w:r>
        <w:rPr>
          <w:rStyle w:val="FootnoteReference"/>
        </w:rPr>
        <w:footnoteRef/>
      </w:r>
      <w:r>
        <w:t xml:space="preserve"> </w:t>
      </w:r>
      <w:r>
        <w:tab/>
        <w:t>Fishermans Bend Urban Renewal area Real Estate Market Assessment, MacroPlan Dimasi (2012), Table 24.</w:t>
      </w:r>
    </w:p>
  </w:footnote>
  <w:footnote w:id="20">
    <w:p w:rsidR="00A9761F" w:rsidRDefault="00A9761F" w:rsidP="008F389F">
      <w:pPr>
        <w:pStyle w:val="FootnoteText"/>
      </w:pPr>
      <w:r w:rsidRPr="00820B43">
        <w:rPr>
          <w:rStyle w:val="FootnoteReference"/>
        </w:rPr>
        <w:footnoteRef/>
      </w:r>
      <w:r>
        <w:tab/>
      </w:r>
      <w:r w:rsidRPr="00E045DB">
        <w:t>Fishermans Bend Draft Vision</w:t>
      </w:r>
      <w:r>
        <w:t xml:space="preserve"> 2013, page 7.</w:t>
      </w:r>
    </w:p>
  </w:footnote>
  <w:footnote w:id="21">
    <w:p w:rsidR="00A9761F" w:rsidRDefault="00A9761F" w:rsidP="008F389F">
      <w:pPr>
        <w:pStyle w:val="FootnoteText"/>
      </w:pPr>
      <w:r w:rsidRPr="00820B43">
        <w:rPr>
          <w:rStyle w:val="FootnoteReference"/>
        </w:rPr>
        <w:footnoteRef/>
      </w:r>
      <w:r>
        <w:tab/>
        <w:t>Ibid, page 16.</w:t>
      </w:r>
    </w:p>
  </w:footnote>
  <w:footnote w:id="22">
    <w:p w:rsidR="00A9761F" w:rsidRDefault="00A9761F" w:rsidP="008F389F">
      <w:pPr>
        <w:pStyle w:val="FootnoteText"/>
      </w:pPr>
      <w:r w:rsidRPr="00820B43">
        <w:rPr>
          <w:rStyle w:val="FootnoteReference"/>
        </w:rPr>
        <w:footnoteRef/>
      </w:r>
      <w:r>
        <w:tab/>
        <w:t>MAC Report 1, page 28.</w:t>
      </w:r>
    </w:p>
  </w:footnote>
  <w:footnote w:id="23">
    <w:p w:rsidR="00A9761F" w:rsidRDefault="00A9761F">
      <w:pPr>
        <w:pStyle w:val="FootnoteText"/>
      </w:pPr>
      <w:r>
        <w:rPr>
          <w:rStyle w:val="FootnoteReference"/>
        </w:rPr>
        <w:footnoteRef/>
      </w:r>
      <w:r>
        <w:t xml:space="preserve"> </w:t>
      </w:r>
      <w:r>
        <w:tab/>
        <w:t>Ibid, page 28.</w:t>
      </w:r>
    </w:p>
  </w:footnote>
  <w:footnote w:id="24">
    <w:p w:rsidR="00A9761F" w:rsidRDefault="00A9761F" w:rsidP="008F389F">
      <w:pPr>
        <w:pStyle w:val="FootnoteText"/>
      </w:pPr>
      <w:r w:rsidRPr="00820B43">
        <w:rPr>
          <w:rStyle w:val="FootnoteReference"/>
        </w:rPr>
        <w:footnoteRef/>
      </w:r>
      <w:r>
        <w:tab/>
        <w:t>Report to the Minister for Planning on Draft Fishermans Bend Framework 2017 (D18), page 16.</w:t>
      </w:r>
    </w:p>
  </w:footnote>
  <w:footnote w:id="25">
    <w:p w:rsidR="00A9761F" w:rsidRPr="002E782C" w:rsidRDefault="00A9761F" w:rsidP="008F389F">
      <w:pPr>
        <w:pStyle w:val="FootnoteText"/>
      </w:pPr>
      <w:r w:rsidRPr="00820B43">
        <w:rPr>
          <w:rStyle w:val="FootnoteReference"/>
        </w:rPr>
        <w:footnoteRef/>
      </w:r>
      <w:r>
        <w:tab/>
        <w:t>Plan Melbourne 2017 – 2050 (2017), page 26.</w:t>
      </w:r>
    </w:p>
  </w:footnote>
  <w:footnote w:id="26">
    <w:p w:rsidR="00A9761F" w:rsidRDefault="00A9761F" w:rsidP="008F389F">
      <w:pPr>
        <w:pStyle w:val="FootnoteText"/>
      </w:pPr>
      <w:r w:rsidRPr="00820B43">
        <w:rPr>
          <w:rStyle w:val="FootnoteReference"/>
        </w:rPr>
        <w:footnoteRef/>
      </w:r>
      <w:r>
        <w:tab/>
        <w:t>Ibid, page 50.</w:t>
      </w:r>
    </w:p>
  </w:footnote>
  <w:footnote w:id="27">
    <w:p w:rsidR="00A9761F" w:rsidRDefault="00A9761F" w:rsidP="008F389F">
      <w:pPr>
        <w:pStyle w:val="FootnoteText"/>
      </w:pPr>
      <w:r w:rsidRPr="00820B43">
        <w:rPr>
          <w:rStyle w:val="FootnoteReference"/>
        </w:rPr>
        <w:footnoteRef/>
      </w:r>
      <w:r>
        <w:tab/>
      </w:r>
      <w:r w:rsidRPr="00407C64">
        <w:t>Urban Design Strategy</w:t>
      </w:r>
      <w:r>
        <w:t>, page 19.</w:t>
      </w:r>
    </w:p>
  </w:footnote>
  <w:footnote w:id="28">
    <w:p w:rsidR="00A9761F" w:rsidRDefault="00A9761F" w:rsidP="008F389F">
      <w:pPr>
        <w:pStyle w:val="FootnoteText"/>
      </w:pPr>
      <w:r w:rsidRPr="00820B43">
        <w:rPr>
          <w:rStyle w:val="FootnoteReference"/>
        </w:rPr>
        <w:footnoteRef/>
      </w:r>
      <w:r>
        <w:tab/>
        <w:t>Submission by Mr Tweedie (D253) [58].</w:t>
      </w:r>
    </w:p>
  </w:footnote>
  <w:footnote w:id="29">
    <w:p w:rsidR="00A9761F" w:rsidRDefault="00A9761F" w:rsidP="00A02B89">
      <w:pPr>
        <w:pStyle w:val="FootnoteText"/>
      </w:pPr>
      <w:r>
        <w:rPr>
          <w:rStyle w:val="FootnoteReference"/>
        </w:rPr>
        <w:footnoteRef/>
      </w:r>
      <w:r>
        <w:t xml:space="preserve"> </w:t>
      </w:r>
      <w:r>
        <w:tab/>
        <w:t>Evidence of Mr Sheppard [27].</w:t>
      </w:r>
    </w:p>
  </w:footnote>
  <w:footnote w:id="30">
    <w:p w:rsidR="00A9761F" w:rsidRDefault="00A9761F">
      <w:pPr>
        <w:pStyle w:val="FootnoteText"/>
      </w:pPr>
      <w:r>
        <w:rPr>
          <w:rStyle w:val="FootnoteReference"/>
        </w:rPr>
        <w:footnoteRef/>
      </w:r>
      <w:r>
        <w:t xml:space="preserve"> </w:t>
      </w:r>
      <w:r>
        <w:tab/>
        <w:t>Minister’s Part C submission (D350), [82].</w:t>
      </w:r>
    </w:p>
  </w:footnote>
  <w:footnote w:id="31">
    <w:p w:rsidR="00A9761F" w:rsidRDefault="00A9761F">
      <w:pPr>
        <w:pStyle w:val="FootnoteText"/>
      </w:pPr>
      <w:r>
        <w:rPr>
          <w:rStyle w:val="FootnoteReference"/>
        </w:rPr>
        <w:footnoteRef/>
      </w:r>
      <w:r>
        <w:tab/>
      </w:r>
      <w:r w:rsidRPr="00A90F8A">
        <w:rPr>
          <w:rFonts w:asciiTheme="minorHAnsi" w:hAnsiTheme="minorHAnsi"/>
        </w:rPr>
        <w:t>Figure 3</w:t>
      </w:r>
      <w:r>
        <w:rPr>
          <w:rFonts w:asciiTheme="minorHAnsi" w:hAnsiTheme="minorHAnsi"/>
        </w:rPr>
        <w:t>.</w:t>
      </w:r>
    </w:p>
  </w:footnote>
  <w:footnote w:id="32">
    <w:p w:rsidR="00A9761F" w:rsidRDefault="00A9761F" w:rsidP="008F389F">
      <w:pPr>
        <w:pStyle w:val="FootnoteText"/>
      </w:pPr>
      <w:r w:rsidRPr="00820B43">
        <w:rPr>
          <w:rStyle w:val="FootnoteReference"/>
        </w:rPr>
        <w:footnoteRef/>
      </w:r>
      <w:r>
        <w:tab/>
        <w:t>Urban Design Evidence (D53), fig 3.</w:t>
      </w:r>
    </w:p>
  </w:footnote>
  <w:footnote w:id="33">
    <w:p w:rsidR="00A9761F" w:rsidRDefault="00A9761F" w:rsidP="008F389F">
      <w:pPr>
        <w:pStyle w:val="FootnoteText"/>
      </w:pPr>
      <w:r w:rsidRPr="00820B43">
        <w:rPr>
          <w:rStyle w:val="FootnoteReference"/>
        </w:rPr>
        <w:footnoteRef/>
      </w:r>
      <w:r>
        <w:tab/>
        <w:t>Evidence of Mr Sheppard (D165b), page 14.</w:t>
      </w:r>
    </w:p>
  </w:footnote>
  <w:footnote w:id="34">
    <w:p w:rsidR="00A9761F" w:rsidRDefault="00A9761F" w:rsidP="008F389F">
      <w:pPr>
        <w:pStyle w:val="FootnoteText"/>
      </w:pPr>
      <w:r w:rsidRPr="00820B43">
        <w:rPr>
          <w:rStyle w:val="FootnoteReference"/>
        </w:rPr>
        <w:footnoteRef/>
      </w:r>
      <w:r>
        <w:tab/>
        <w:t>Submission by Mr Tweedie (D253), [19].</w:t>
      </w:r>
    </w:p>
  </w:footnote>
  <w:footnote w:id="35">
    <w:p w:rsidR="00A9761F" w:rsidRDefault="00A9761F" w:rsidP="008F389F">
      <w:pPr>
        <w:pStyle w:val="FootnoteText"/>
      </w:pPr>
      <w:r w:rsidRPr="00820B43">
        <w:rPr>
          <w:rStyle w:val="FootnoteReference"/>
        </w:rPr>
        <w:footnoteRef/>
      </w:r>
      <w:r>
        <w:tab/>
        <w:t>Submission by Mr Wren (D263), [135].</w:t>
      </w:r>
    </w:p>
  </w:footnote>
  <w:footnote w:id="36">
    <w:p w:rsidR="00A9761F" w:rsidRDefault="00A9761F" w:rsidP="008F389F">
      <w:pPr>
        <w:pStyle w:val="FootnoteText"/>
      </w:pPr>
      <w:r w:rsidRPr="00820B43">
        <w:rPr>
          <w:rStyle w:val="FootnoteReference"/>
        </w:rPr>
        <w:footnoteRef/>
      </w:r>
      <w:r>
        <w:tab/>
        <w:t>Minister’s Part B submission (D94), [85].</w:t>
      </w:r>
    </w:p>
  </w:footnote>
  <w:footnote w:id="37">
    <w:p w:rsidR="00A9761F" w:rsidRDefault="00A9761F" w:rsidP="008F389F">
      <w:pPr>
        <w:pStyle w:val="FootnoteText"/>
      </w:pPr>
      <w:r w:rsidRPr="00820B43">
        <w:rPr>
          <w:rStyle w:val="FootnoteReference"/>
        </w:rPr>
        <w:footnoteRef/>
      </w:r>
      <w:r>
        <w:tab/>
        <w:t>Evidence of Mr Szafraniec (D51), [54].</w:t>
      </w:r>
    </w:p>
  </w:footnote>
  <w:footnote w:id="38">
    <w:p w:rsidR="00A9761F" w:rsidRDefault="00A9761F" w:rsidP="008F389F">
      <w:pPr>
        <w:pStyle w:val="FootnoteText"/>
      </w:pPr>
      <w:r w:rsidRPr="00820B43">
        <w:rPr>
          <w:rStyle w:val="FootnoteReference"/>
        </w:rPr>
        <w:footnoteRef/>
      </w:r>
      <w:r>
        <w:tab/>
        <w:t>Urban Design Evidence (D53), [61].</w:t>
      </w:r>
    </w:p>
  </w:footnote>
  <w:footnote w:id="39">
    <w:p w:rsidR="00A9761F" w:rsidRDefault="00A9761F" w:rsidP="008F389F">
      <w:pPr>
        <w:pStyle w:val="FootnoteText"/>
      </w:pPr>
      <w:r w:rsidRPr="00820B43">
        <w:rPr>
          <w:rStyle w:val="FootnoteReference"/>
        </w:rPr>
        <w:footnoteRef/>
      </w:r>
      <w:r>
        <w:tab/>
        <w:t>Evidence of Mr Milner (D73), [143].</w:t>
      </w:r>
    </w:p>
  </w:footnote>
  <w:footnote w:id="40">
    <w:p w:rsidR="00A9761F" w:rsidRDefault="00A9761F" w:rsidP="008F389F">
      <w:pPr>
        <w:pStyle w:val="FootnoteText"/>
      </w:pPr>
      <w:r w:rsidRPr="00820B43">
        <w:rPr>
          <w:rStyle w:val="FootnoteReference"/>
        </w:rPr>
        <w:footnoteRef/>
      </w:r>
      <w:r>
        <w:tab/>
        <w:t>Submission by City of Port Phillip (S153), page 18.</w:t>
      </w:r>
    </w:p>
  </w:footnote>
  <w:footnote w:id="41">
    <w:p w:rsidR="00A9761F" w:rsidRDefault="00A9761F" w:rsidP="005912AF">
      <w:pPr>
        <w:pStyle w:val="FootnoteText"/>
      </w:pPr>
      <w:r w:rsidRPr="00820B43">
        <w:rPr>
          <w:rStyle w:val="FootnoteReference"/>
        </w:rPr>
        <w:footnoteRef/>
      </w:r>
      <w:r>
        <w:tab/>
      </w:r>
      <w:r w:rsidRPr="00F77BE3">
        <w:t>Urban Design Strategy</w:t>
      </w:r>
      <w:r>
        <w:rPr>
          <w:i/>
        </w:rPr>
        <w:t>,</w:t>
      </w:r>
      <w:r>
        <w:t xml:space="preserve"> page 30.</w:t>
      </w:r>
    </w:p>
  </w:footnote>
  <w:footnote w:id="42">
    <w:p w:rsidR="00A9761F" w:rsidRDefault="00A9761F" w:rsidP="005912AF">
      <w:pPr>
        <w:pStyle w:val="FootnoteText"/>
      </w:pPr>
      <w:r w:rsidRPr="00820B43">
        <w:rPr>
          <w:rStyle w:val="FootnoteReference"/>
        </w:rPr>
        <w:footnoteRef/>
      </w:r>
      <w:r>
        <w:tab/>
        <w:t>Part C Clause 22.XX-3.</w:t>
      </w:r>
    </w:p>
  </w:footnote>
  <w:footnote w:id="43">
    <w:p w:rsidR="00A9761F" w:rsidRDefault="00A9761F" w:rsidP="005912AF">
      <w:pPr>
        <w:pStyle w:val="FootnoteText"/>
      </w:pPr>
      <w:r>
        <w:rPr>
          <w:rStyle w:val="FootnoteReference"/>
        </w:rPr>
        <w:footnoteRef/>
      </w:r>
      <w:r>
        <w:t xml:space="preserve"> </w:t>
      </w:r>
      <w:r>
        <w:tab/>
        <w:t>Minister’s Part A submission [159].</w:t>
      </w:r>
    </w:p>
  </w:footnote>
  <w:footnote w:id="44">
    <w:p w:rsidR="00A9761F" w:rsidRDefault="00A9761F" w:rsidP="005912AF">
      <w:pPr>
        <w:pStyle w:val="FootnoteText"/>
      </w:pPr>
      <w:r>
        <w:rPr>
          <w:rStyle w:val="FootnoteReference"/>
        </w:rPr>
        <w:footnoteRef/>
      </w:r>
      <w:r>
        <w:t xml:space="preserve"> </w:t>
      </w:r>
      <w:r>
        <w:tab/>
        <w:t>Minister’s Part c submission [81].</w:t>
      </w:r>
    </w:p>
  </w:footnote>
  <w:footnote w:id="45">
    <w:p w:rsidR="00A9761F" w:rsidRPr="00D25890" w:rsidRDefault="00A9761F" w:rsidP="005912AF">
      <w:pPr>
        <w:pStyle w:val="FootnoteText"/>
        <w:rPr>
          <w:i/>
        </w:rPr>
      </w:pPr>
      <w:r w:rsidRPr="00820B43">
        <w:rPr>
          <w:rStyle w:val="FootnoteReference"/>
        </w:rPr>
        <w:footnoteRef/>
      </w:r>
      <w:r>
        <w:tab/>
      </w:r>
      <w:r w:rsidRPr="00F77BE3">
        <w:t>Urban Design Strategy</w:t>
      </w:r>
      <w:r w:rsidRPr="000C3268">
        <w:rPr>
          <w:i/>
        </w:rPr>
        <w:t xml:space="preserve">, </w:t>
      </w:r>
      <w:r w:rsidRPr="007757AF">
        <w:t>page 74</w:t>
      </w:r>
      <w:r>
        <w:t>.</w:t>
      </w:r>
    </w:p>
  </w:footnote>
  <w:footnote w:id="46">
    <w:p w:rsidR="00A9761F" w:rsidRPr="001A5029" w:rsidRDefault="00A9761F" w:rsidP="005912AF">
      <w:pPr>
        <w:pStyle w:val="FootnoteText"/>
      </w:pPr>
      <w:r w:rsidRPr="00820B43">
        <w:rPr>
          <w:rStyle w:val="FootnoteReference"/>
        </w:rPr>
        <w:footnoteRef/>
      </w:r>
      <w:r>
        <w:tab/>
      </w:r>
      <w:r w:rsidRPr="007757AF">
        <w:t xml:space="preserve">The </w:t>
      </w:r>
      <w:r>
        <w:t>gross developable area</w:t>
      </w:r>
      <w:r w:rsidRPr="007757AF">
        <w:t xml:space="preserve"> is the total area within Fishermans Bend excluding existing parks and schools and proposed par</w:t>
      </w:r>
      <w:r>
        <w:t>ks that occupy whole sites.</w:t>
      </w:r>
      <w:r w:rsidRPr="0029799A">
        <w:rPr>
          <w:i/>
        </w:rPr>
        <w:t xml:space="preserve"> Urban Design Strategy</w:t>
      </w:r>
      <w:r>
        <w:t>,</w:t>
      </w:r>
      <w:r w:rsidRPr="007757AF">
        <w:t xml:space="preserve"> page 13</w:t>
      </w:r>
      <w:r>
        <w:t>.</w:t>
      </w:r>
    </w:p>
  </w:footnote>
  <w:footnote w:id="47">
    <w:p w:rsidR="00A9761F" w:rsidRDefault="00A9761F" w:rsidP="005912AF">
      <w:pPr>
        <w:pStyle w:val="FootnoteText"/>
      </w:pPr>
      <w:r w:rsidRPr="00820B43">
        <w:rPr>
          <w:rStyle w:val="FootnoteReference"/>
        </w:rPr>
        <w:footnoteRef/>
      </w:r>
      <w:r>
        <w:tab/>
        <w:t>page 74.</w:t>
      </w:r>
    </w:p>
  </w:footnote>
  <w:footnote w:id="48">
    <w:p w:rsidR="00A9761F" w:rsidRDefault="00A9761F" w:rsidP="005912AF">
      <w:pPr>
        <w:pStyle w:val="FootnoteText"/>
      </w:pPr>
      <w:r>
        <w:rPr>
          <w:rStyle w:val="FootnoteReference"/>
        </w:rPr>
        <w:footnoteRef/>
      </w:r>
      <w:r>
        <w:t xml:space="preserve"> </w:t>
      </w:r>
      <w:r>
        <w:tab/>
      </w:r>
      <w:r w:rsidRPr="008C3707">
        <w:rPr>
          <w:i/>
        </w:rPr>
        <w:t>Urban Design Strategy</w:t>
      </w:r>
      <w:r>
        <w:t>, pages 68-69.</w:t>
      </w:r>
    </w:p>
  </w:footnote>
  <w:footnote w:id="49">
    <w:p w:rsidR="00A9761F" w:rsidRDefault="00A9761F" w:rsidP="005912AF">
      <w:pPr>
        <w:pStyle w:val="FootnoteText"/>
      </w:pPr>
      <w:r>
        <w:rPr>
          <w:rStyle w:val="FootnoteReference"/>
        </w:rPr>
        <w:footnoteRef/>
      </w:r>
      <w:r>
        <w:t xml:space="preserve"> </w:t>
      </w:r>
      <w:r>
        <w:tab/>
        <w:t>D359 [144].</w:t>
      </w:r>
    </w:p>
  </w:footnote>
  <w:footnote w:id="50">
    <w:p w:rsidR="00A9761F" w:rsidRDefault="00A9761F" w:rsidP="005912AF">
      <w:pPr>
        <w:pStyle w:val="FootnoteText"/>
      </w:pPr>
      <w:r w:rsidRPr="00820B43">
        <w:rPr>
          <w:rStyle w:val="FootnoteReference"/>
        </w:rPr>
        <w:footnoteRef/>
      </w:r>
      <w:r>
        <w:tab/>
        <w:t>Evidence of Mr Szafraniec [63].</w:t>
      </w:r>
    </w:p>
  </w:footnote>
  <w:footnote w:id="51">
    <w:p w:rsidR="00A9761F" w:rsidRDefault="00A9761F" w:rsidP="005912AF">
      <w:pPr>
        <w:pStyle w:val="FootnoteText"/>
      </w:pPr>
      <w:r>
        <w:rPr>
          <w:rStyle w:val="FootnoteReference"/>
        </w:rPr>
        <w:footnoteRef/>
      </w:r>
      <w:r>
        <w:t xml:space="preserve"> </w:t>
      </w:r>
      <w:r>
        <w:tab/>
        <w:t>Minister’s Part A submission [69].</w:t>
      </w:r>
    </w:p>
  </w:footnote>
  <w:footnote w:id="52">
    <w:p w:rsidR="00A9761F" w:rsidRDefault="00A9761F" w:rsidP="005912AF">
      <w:pPr>
        <w:pStyle w:val="FootnoteText"/>
      </w:pPr>
      <w:r w:rsidRPr="00820B43">
        <w:rPr>
          <w:rStyle w:val="FootnoteReference"/>
        </w:rPr>
        <w:footnoteRef/>
      </w:r>
      <w:r>
        <w:tab/>
        <w:t xml:space="preserve">Minister’s Part C submission [71].  </w:t>
      </w:r>
      <w:r w:rsidRPr="00263AEE">
        <w:t xml:space="preserve">Ms Hodyl identified only one site at 118 Bertie Street which could not achieve the FAR. </w:t>
      </w:r>
      <w:r>
        <w:t xml:space="preserve"> </w:t>
      </w:r>
      <w:r w:rsidRPr="00263AEE">
        <w:t>Mr Sheppard nominated 2 or 3 others where FAR may be hard to reach in a viable form</w:t>
      </w:r>
      <w:r>
        <w:t>.</w:t>
      </w:r>
    </w:p>
  </w:footnote>
  <w:footnote w:id="53">
    <w:p w:rsidR="00A9761F" w:rsidRDefault="00A9761F" w:rsidP="005912AF">
      <w:pPr>
        <w:pStyle w:val="FootnoteText"/>
      </w:pPr>
      <w:r>
        <w:rPr>
          <w:rStyle w:val="FootnoteReference"/>
        </w:rPr>
        <w:footnoteRef/>
      </w:r>
      <w:r>
        <w:t xml:space="preserve"> </w:t>
      </w:r>
      <w:r>
        <w:tab/>
        <w:t>Minister’s Part C submission [72].</w:t>
      </w:r>
    </w:p>
  </w:footnote>
  <w:footnote w:id="54">
    <w:p w:rsidR="00A9761F" w:rsidRDefault="00A9761F" w:rsidP="005912AF">
      <w:pPr>
        <w:pStyle w:val="FootnoteText"/>
      </w:pPr>
      <w:r>
        <w:rPr>
          <w:rStyle w:val="FootnoteReference"/>
        </w:rPr>
        <w:footnoteRef/>
      </w:r>
      <w:r>
        <w:tab/>
        <w:t>Evidence of Mr Sheppard [182].</w:t>
      </w:r>
    </w:p>
  </w:footnote>
  <w:footnote w:id="55">
    <w:p w:rsidR="00A9761F" w:rsidRDefault="00A9761F" w:rsidP="005912AF">
      <w:pPr>
        <w:pStyle w:val="FootnoteText"/>
      </w:pPr>
      <w:r w:rsidRPr="00820B43">
        <w:rPr>
          <w:rStyle w:val="FootnoteReference"/>
        </w:rPr>
        <w:footnoteRef/>
      </w:r>
      <w:r>
        <w:tab/>
        <w:t>Mr Sheppard’s response to D29</w:t>
      </w:r>
      <w:r w:rsidRPr="00087370">
        <w:t>4 (D323).</w:t>
      </w:r>
    </w:p>
  </w:footnote>
  <w:footnote w:id="56">
    <w:p w:rsidR="00A9761F" w:rsidRDefault="00A9761F" w:rsidP="005912AF">
      <w:pPr>
        <w:pStyle w:val="FootnoteText"/>
      </w:pPr>
      <w:r>
        <w:rPr>
          <w:rStyle w:val="FootnoteReference"/>
        </w:rPr>
        <w:footnoteRef/>
      </w:r>
      <w:r>
        <w:tab/>
        <w:t>Minister’s Part C submission [76].</w:t>
      </w:r>
    </w:p>
  </w:footnote>
  <w:footnote w:id="57">
    <w:p w:rsidR="00A9761F" w:rsidRDefault="00A9761F" w:rsidP="00126AA9">
      <w:pPr>
        <w:pStyle w:val="FootnoteText"/>
      </w:pPr>
      <w:r w:rsidRPr="00820B43">
        <w:rPr>
          <w:rStyle w:val="FootnoteReference"/>
        </w:rPr>
        <w:footnoteRef/>
      </w:r>
      <w:r>
        <w:tab/>
        <w:t>Minister’s Part C submission, footnote 58.</w:t>
      </w:r>
    </w:p>
  </w:footnote>
  <w:footnote w:id="58">
    <w:p w:rsidR="00A9761F" w:rsidRDefault="00A9761F" w:rsidP="00126AA9">
      <w:pPr>
        <w:pStyle w:val="FootnoteText"/>
      </w:pPr>
      <w:r w:rsidRPr="00820B43">
        <w:rPr>
          <w:rStyle w:val="FootnoteReference"/>
        </w:rPr>
        <w:footnoteRef/>
      </w:r>
      <w:r>
        <w:tab/>
        <w:t>Minister’s Part C submission, [78].</w:t>
      </w:r>
    </w:p>
  </w:footnote>
  <w:footnote w:id="59">
    <w:p w:rsidR="00A9761F" w:rsidRDefault="00A9761F" w:rsidP="005912AF">
      <w:pPr>
        <w:pStyle w:val="FootnoteText"/>
      </w:pPr>
      <w:r>
        <w:rPr>
          <w:rStyle w:val="FootnoteReference"/>
        </w:rPr>
        <w:footnoteRef/>
      </w:r>
      <w:r>
        <w:tab/>
        <w:t>Evidence of Mr Sheppard [174].</w:t>
      </w:r>
    </w:p>
  </w:footnote>
  <w:footnote w:id="60">
    <w:p w:rsidR="00A9761F" w:rsidRDefault="00A9761F" w:rsidP="005912AF">
      <w:pPr>
        <w:pStyle w:val="FootnoteText"/>
        <w:jc w:val="left"/>
      </w:pPr>
      <w:r w:rsidRPr="00820B43">
        <w:rPr>
          <w:rStyle w:val="FootnoteReference"/>
        </w:rPr>
        <w:footnoteRef/>
      </w:r>
      <w:r>
        <w:tab/>
        <w:t xml:space="preserve">Available at </w:t>
      </w:r>
      <w:r w:rsidRPr="0031609B">
        <w:t>https://www.london.gov.uk/sites/default/files/project_2_3_lessons_from_higher_density_developme</w:t>
      </w:r>
      <w:r>
        <w:t>nt.pdf.</w:t>
      </w:r>
    </w:p>
  </w:footnote>
  <w:footnote w:id="61">
    <w:p w:rsidR="00A9761F" w:rsidRDefault="00A9761F" w:rsidP="005912AF">
      <w:pPr>
        <w:pStyle w:val="FootnoteText"/>
      </w:pPr>
      <w:r>
        <w:rPr>
          <w:rStyle w:val="FootnoteReference"/>
        </w:rPr>
        <w:footnoteRef/>
      </w:r>
      <w:r>
        <w:tab/>
        <w:t>Minister’s Part C submission [80].</w:t>
      </w:r>
    </w:p>
  </w:footnote>
  <w:footnote w:id="62">
    <w:p w:rsidR="00A9761F" w:rsidRDefault="00A9761F" w:rsidP="005912AF">
      <w:pPr>
        <w:pStyle w:val="FootnoteText"/>
      </w:pPr>
      <w:r>
        <w:rPr>
          <w:rStyle w:val="FootnoteReference"/>
        </w:rPr>
        <w:footnoteRef/>
      </w:r>
      <w:r>
        <w:tab/>
        <w:t>[116].</w:t>
      </w:r>
    </w:p>
  </w:footnote>
  <w:footnote w:id="63">
    <w:p w:rsidR="00A9761F" w:rsidRDefault="00A9761F" w:rsidP="005912AF">
      <w:pPr>
        <w:pStyle w:val="FootnoteText"/>
      </w:pPr>
      <w:r>
        <w:rPr>
          <w:rStyle w:val="FootnoteReference"/>
        </w:rPr>
        <w:footnoteRef/>
      </w:r>
      <w:r>
        <w:tab/>
        <w:t>The term social housing is used here but the confusion between this term and affordable housing is addressed in Chapter 8.</w:t>
      </w:r>
    </w:p>
  </w:footnote>
  <w:footnote w:id="64">
    <w:p w:rsidR="00A9761F" w:rsidRDefault="00A9761F" w:rsidP="005912AF">
      <w:pPr>
        <w:pStyle w:val="FootnoteText"/>
      </w:pPr>
      <w:r w:rsidRPr="00820B43">
        <w:rPr>
          <w:rStyle w:val="FootnoteReference"/>
        </w:rPr>
        <w:footnoteRef/>
      </w:r>
      <w:r>
        <w:tab/>
        <w:t>FAU note, page 33.</w:t>
      </w:r>
    </w:p>
  </w:footnote>
  <w:footnote w:id="65">
    <w:p w:rsidR="00A9761F" w:rsidRDefault="00A9761F" w:rsidP="005912AF">
      <w:pPr>
        <w:pStyle w:val="FootnoteText"/>
      </w:pPr>
      <w:r w:rsidRPr="00820B43">
        <w:rPr>
          <w:rStyle w:val="FootnoteReference"/>
        </w:rPr>
        <w:footnoteRef/>
      </w:r>
      <w:r>
        <w:tab/>
        <w:t xml:space="preserve">s173 of the </w:t>
      </w:r>
      <w:r w:rsidRPr="00846C0A">
        <w:t>Act, referring</w:t>
      </w:r>
      <w:r>
        <w:t xml:space="preserve"> to an agreement that runs with the title of the land, that binds a future owner of the land.</w:t>
      </w:r>
    </w:p>
  </w:footnote>
  <w:footnote w:id="66">
    <w:p w:rsidR="00A9761F" w:rsidRDefault="00A9761F" w:rsidP="005912AF">
      <w:pPr>
        <w:pStyle w:val="FootnoteText"/>
      </w:pPr>
      <w:r w:rsidRPr="00820B43">
        <w:rPr>
          <w:rStyle w:val="FootnoteReference"/>
        </w:rPr>
        <w:footnoteRef/>
      </w:r>
      <w:r>
        <w:tab/>
        <w:t>Addendum 5 to Ms Hodyl’s evidence (D154), [43–48].</w:t>
      </w:r>
    </w:p>
  </w:footnote>
  <w:footnote w:id="67">
    <w:p w:rsidR="00A9761F" w:rsidRDefault="00A9761F" w:rsidP="005912AF">
      <w:pPr>
        <w:pStyle w:val="FootnoteText"/>
      </w:pPr>
      <w:r>
        <w:rPr>
          <w:rStyle w:val="FootnoteReference"/>
        </w:rPr>
        <w:footnoteRef/>
      </w:r>
      <w:r>
        <w:tab/>
        <w:t>Closing submission [158–159].</w:t>
      </w:r>
    </w:p>
  </w:footnote>
  <w:footnote w:id="68">
    <w:p w:rsidR="00A9761F" w:rsidRDefault="00A9761F" w:rsidP="005912AF">
      <w:pPr>
        <w:pStyle w:val="FootnoteText"/>
      </w:pPr>
      <w:r>
        <w:rPr>
          <w:rStyle w:val="FootnoteReference"/>
        </w:rPr>
        <w:footnoteRef/>
      </w:r>
      <w:r>
        <w:tab/>
        <w:t>Closing submission for NRF landowners [149-150].</w:t>
      </w:r>
    </w:p>
  </w:footnote>
  <w:footnote w:id="69">
    <w:p w:rsidR="00A9761F" w:rsidRDefault="00A9761F" w:rsidP="005912AF">
      <w:pPr>
        <w:pStyle w:val="FootnoteText"/>
      </w:pPr>
      <w:r w:rsidRPr="00820B43">
        <w:rPr>
          <w:rStyle w:val="FootnoteReference"/>
        </w:rPr>
        <w:footnoteRef/>
      </w:r>
      <w:r>
        <w:tab/>
        <w:t>Closing submission for Minister for Planning Part C (</w:t>
      </w:r>
      <w:r w:rsidRPr="00743F85">
        <w:t>D350</w:t>
      </w:r>
      <w:r>
        <w:t>),</w:t>
      </w:r>
      <w:r w:rsidRPr="00743F85">
        <w:t xml:space="preserve"> </w:t>
      </w:r>
      <w:r>
        <w:t>[</w:t>
      </w:r>
      <w:r w:rsidRPr="00743F85">
        <w:t>136</w:t>
      </w:r>
      <w:r>
        <w:t>].</w:t>
      </w:r>
    </w:p>
  </w:footnote>
  <w:footnote w:id="70">
    <w:p w:rsidR="00A9761F" w:rsidRPr="00743F85" w:rsidRDefault="00A9761F" w:rsidP="005912AF">
      <w:pPr>
        <w:pStyle w:val="FootnoteText"/>
        <w:rPr>
          <w:rStyle w:val="FootnoteTextChar"/>
        </w:rPr>
      </w:pPr>
      <w:r w:rsidRPr="00820B43">
        <w:rPr>
          <w:rStyle w:val="FootnoteReference"/>
        </w:rPr>
        <w:footnoteRef/>
      </w:r>
      <w:r>
        <w:tab/>
        <w:t xml:space="preserve">para </w:t>
      </w:r>
      <w:r w:rsidRPr="00CA3E24">
        <w:rPr>
          <w:rStyle w:val="FootnoteTextChar"/>
        </w:rPr>
        <w:t>41,</w:t>
      </w:r>
      <w:r w:rsidRPr="00743F85">
        <w:rPr>
          <w:rStyle w:val="FootnoteTextChar"/>
          <w:i/>
        </w:rPr>
        <w:t xml:space="preserve"> </w:t>
      </w:r>
      <w:r>
        <w:rPr>
          <w:rStyle w:val="FootnoteTextChar"/>
        </w:rPr>
        <w:t>See</w:t>
      </w:r>
      <w:r w:rsidRPr="00CA3E24">
        <w:rPr>
          <w:rStyle w:val="FootnoteTextChar"/>
        </w:rPr>
        <w:t xml:space="preserve"> for example</w:t>
      </w:r>
      <w:r w:rsidRPr="00743F85">
        <w:rPr>
          <w:rStyle w:val="FootnoteTextChar"/>
          <w:i/>
        </w:rPr>
        <w:t xml:space="preserve"> </w:t>
      </w:r>
      <w:r>
        <w:rPr>
          <w:rStyle w:val="FootnoteTextChar"/>
          <w:i/>
        </w:rPr>
        <w:t>–</w:t>
      </w:r>
      <w:r w:rsidRPr="00743F85">
        <w:rPr>
          <w:rStyle w:val="FootnoteTextChar"/>
          <w:i/>
        </w:rPr>
        <w:t xml:space="preserve"> Deakin University v Whitehorse CC (includes Summary) (Red Dot) [2009] VCAT134; Naroghid Wind Farm P/Ltd v Minister f</w:t>
      </w:r>
      <w:r>
        <w:rPr>
          <w:rStyle w:val="FootnoteTextChar"/>
          <w:i/>
        </w:rPr>
        <w:t>or Planning [2013] VCAT at [94]–</w:t>
      </w:r>
      <w:r w:rsidRPr="00743F85">
        <w:rPr>
          <w:rStyle w:val="FootnoteTextChar"/>
          <w:i/>
        </w:rPr>
        <w:t>[109]</w:t>
      </w:r>
      <w:r>
        <w:rPr>
          <w:rStyle w:val="FootnoteTextChar"/>
          <w:i/>
        </w:rPr>
        <w:t>.</w:t>
      </w:r>
    </w:p>
  </w:footnote>
  <w:footnote w:id="71">
    <w:p w:rsidR="00A9761F" w:rsidRDefault="00A9761F" w:rsidP="005912AF">
      <w:pPr>
        <w:pStyle w:val="FootnoteText"/>
      </w:pPr>
      <w:r w:rsidRPr="00820B43">
        <w:rPr>
          <w:rStyle w:val="FootnoteReference"/>
        </w:rPr>
        <w:footnoteRef/>
      </w:r>
      <w:r>
        <w:tab/>
        <w:t>Social housing six per cent of total dwellings:</w:t>
      </w:r>
      <w:r>
        <w:tab/>
      </w:r>
      <w:r>
        <w:br/>
        <w:t>FAR increase = (Social housing dwellings + uplift dwellings) / (private dwellings) = (6 + 48)/46 = 117%.</w:t>
      </w:r>
    </w:p>
  </w:footnote>
  <w:footnote w:id="72">
    <w:p w:rsidR="00A9761F" w:rsidRPr="00357E82" w:rsidRDefault="00A9761F" w:rsidP="005912AF">
      <w:pPr>
        <w:pStyle w:val="FootnoteText"/>
        <w:rPr>
          <w:rStyle w:val="FootnoteTextChar"/>
        </w:rPr>
      </w:pPr>
      <w:r w:rsidRPr="00820B43">
        <w:rPr>
          <w:rStyle w:val="FootnoteReference"/>
        </w:rPr>
        <w:footnoteRef/>
      </w:r>
      <w:r>
        <w:tab/>
      </w:r>
      <w:r w:rsidRPr="00357E82">
        <w:rPr>
          <w:rStyle w:val="FootnoteTextChar"/>
        </w:rPr>
        <w:t xml:space="preserve">Panel Report Amendment C270 to the Melbourne Planning Scheme </w:t>
      </w:r>
      <w:r>
        <w:rPr>
          <w:rStyle w:val="FootnoteTextChar"/>
        </w:rPr>
        <w:t>(</w:t>
      </w:r>
      <w:r w:rsidRPr="00357E82">
        <w:rPr>
          <w:rStyle w:val="FootnoteTextChar"/>
        </w:rPr>
        <w:t>26 October 2016</w:t>
      </w:r>
      <w:r>
        <w:rPr>
          <w:rStyle w:val="FootnoteTextChar"/>
        </w:rPr>
        <w:t>),</w:t>
      </w:r>
      <w:r w:rsidRPr="00357E82">
        <w:rPr>
          <w:rStyle w:val="FootnoteTextChar"/>
        </w:rPr>
        <w:t xml:space="preserve"> pages 68–69</w:t>
      </w:r>
      <w:r>
        <w:rPr>
          <w:rStyle w:val="FootnoteTextChar"/>
        </w:rPr>
        <w:t>.</w:t>
      </w:r>
    </w:p>
  </w:footnote>
  <w:footnote w:id="73">
    <w:p w:rsidR="00A9761F" w:rsidRDefault="00A9761F" w:rsidP="005912AF">
      <w:pPr>
        <w:pStyle w:val="FootnoteText"/>
      </w:pPr>
      <w:r w:rsidRPr="00820B43">
        <w:rPr>
          <w:rStyle w:val="FootnoteReference"/>
        </w:rPr>
        <w:footnoteRef/>
      </w:r>
      <w:r>
        <w:tab/>
        <w:t>D305, with corrections contained in D322.</w:t>
      </w:r>
    </w:p>
  </w:footnote>
  <w:footnote w:id="74">
    <w:p w:rsidR="00A9761F" w:rsidRPr="00B55205" w:rsidRDefault="00A9761F" w:rsidP="004A3634">
      <w:pPr>
        <w:pStyle w:val="FootnoteText"/>
      </w:pPr>
      <w:r w:rsidRPr="00ED1EB4">
        <w:rPr>
          <w:rStyle w:val="FootnoteReference"/>
        </w:rPr>
        <w:footnoteRef/>
      </w:r>
      <w:r w:rsidRPr="00ED1EB4">
        <w:rPr>
          <w:rStyle w:val="FootnoteReference"/>
        </w:rPr>
        <w:t xml:space="preserve"> </w:t>
      </w:r>
      <w:r w:rsidRPr="00B55205">
        <w:tab/>
        <w:t>Based on PPN Planning Practice Note 59: The Role of Mandatory Provisions in Planning Schemes, June 2015</w:t>
      </w:r>
      <w:r>
        <w:t>.</w:t>
      </w:r>
    </w:p>
  </w:footnote>
  <w:footnote w:id="75">
    <w:p w:rsidR="00A9761F" w:rsidRDefault="00A9761F" w:rsidP="001B7F78">
      <w:pPr>
        <w:pStyle w:val="FootnoteText"/>
      </w:pPr>
      <w:r>
        <w:rPr>
          <w:rStyle w:val="FootnoteReference"/>
        </w:rPr>
        <w:footnoteRef/>
      </w:r>
      <w:r>
        <w:tab/>
      </w:r>
      <w:r w:rsidRPr="00E045DB">
        <w:t>Fishermans Bend Draft Vision</w:t>
      </w:r>
      <w:r>
        <w:t xml:space="preserve"> 2013, </w:t>
      </w:r>
      <w:r w:rsidRPr="00A76BF2">
        <w:t>page 13</w:t>
      </w:r>
      <w:r>
        <w:t>.</w:t>
      </w:r>
    </w:p>
  </w:footnote>
  <w:footnote w:id="76">
    <w:p w:rsidR="00A9761F" w:rsidRDefault="00A9761F" w:rsidP="001B7F78">
      <w:pPr>
        <w:pStyle w:val="FootnoteText"/>
      </w:pPr>
      <w:r>
        <w:rPr>
          <w:rStyle w:val="FootnoteReference"/>
        </w:rPr>
        <w:footnoteRef/>
      </w:r>
      <w:r>
        <w:tab/>
        <w:t>Draft Fishermans Bend Framework, objective 3.5.</w:t>
      </w:r>
    </w:p>
  </w:footnote>
  <w:footnote w:id="77">
    <w:p w:rsidR="00A9761F" w:rsidRDefault="00A9761F" w:rsidP="001B7F78">
      <w:pPr>
        <w:pStyle w:val="FootnoteText"/>
      </w:pPr>
      <w:r w:rsidRPr="00820B43">
        <w:rPr>
          <w:rStyle w:val="FootnoteReference"/>
        </w:rPr>
        <w:footnoteRef/>
      </w:r>
      <w:r>
        <w:tab/>
        <w:t>Supplementary Information Note 8 (D151).</w:t>
      </w:r>
    </w:p>
  </w:footnote>
  <w:footnote w:id="78">
    <w:p w:rsidR="00A9761F" w:rsidRDefault="00A9761F" w:rsidP="001B7F78">
      <w:pPr>
        <w:pStyle w:val="FootnoteText"/>
      </w:pPr>
      <w:r w:rsidRPr="00820B43">
        <w:rPr>
          <w:rStyle w:val="FootnoteReference"/>
        </w:rPr>
        <w:footnoteRef/>
      </w:r>
      <w:r>
        <w:tab/>
        <w:t>West Melbourne Structure Plan (D130), page 57.</w:t>
      </w:r>
    </w:p>
  </w:footnote>
  <w:footnote w:id="79">
    <w:p w:rsidR="00A9761F" w:rsidRDefault="00A9761F" w:rsidP="001B7F78">
      <w:pPr>
        <w:pStyle w:val="FootnoteText"/>
      </w:pPr>
      <w:r w:rsidRPr="00820B43">
        <w:rPr>
          <w:rStyle w:val="FootnoteReference"/>
        </w:rPr>
        <w:footnoteRef/>
      </w:r>
      <w:r>
        <w:tab/>
      </w:r>
      <w:r w:rsidRPr="003C32A8">
        <w:rPr>
          <w:i/>
        </w:rPr>
        <w:t>In Our Backyard</w:t>
      </w:r>
      <w:r w:rsidRPr="0013315D">
        <w:t xml:space="preserve">: Growing Affordable Housing in Port Phillip </w:t>
      </w:r>
      <w:r>
        <w:t>(D116), page 28 (Note: not in Port Phillip Planning Scheme).</w:t>
      </w:r>
    </w:p>
  </w:footnote>
  <w:footnote w:id="80">
    <w:p w:rsidR="00A9761F" w:rsidRDefault="00A9761F" w:rsidP="001B7F78">
      <w:pPr>
        <w:pStyle w:val="FootnoteText"/>
      </w:pPr>
      <w:r w:rsidRPr="00820B43">
        <w:rPr>
          <w:rStyle w:val="FootnoteReference"/>
        </w:rPr>
        <w:footnoteRef/>
      </w:r>
      <w:r>
        <w:tab/>
        <w:t>Evidence of Ms Hodyl (D53), page 32.</w:t>
      </w:r>
    </w:p>
  </w:footnote>
  <w:footnote w:id="81">
    <w:p w:rsidR="00A9761F" w:rsidRPr="00143622" w:rsidRDefault="00A9761F" w:rsidP="001B7F78">
      <w:pPr>
        <w:pStyle w:val="FootnoteText"/>
        <w:rPr>
          <w:i/>
        </w:rPr>
      </w:pPr>
      <w:r w:rsidRPr="00820B43">
        <w:rPr>
          <w:rStyle w:val="FootnoteReference"/>
        </w:rPr>
        <w:footnoteRef/>
      </w:r>
      <w:r>
        <w:tab/>
      </w:r>
      <w:r>
        <w:rPr>
          <w:i/>
        </w:rPr>
        <w:t xml:space="preserve">Fishermans Bend Urban Renewal Area: Options for Delivery of Affordable Housing </w:t>
      </w:r>
      <w:r w:rsidRPr="00143622">
        <w:t>June 2013, Judith Stubbs and Associates</w:t>
      </w:r>
      <w:r>
        <w:t>.</w:t>
      </w:r>
    </w:p>
  </w:footnote>
  <w:footnote w:id="82">
    <w:p w:rsidR="00A9761F" w:rsidRDefault="00A9761F" w:rsidP="001B7F78">
      <w:pPr>
        <w:pStyle w:val="FootnoteText"/>
      </w:pPr>
      <w:r w:rsidRPr="00820B43">
        <w:rPr>
          <w:rStyle w:val="FootnoteReference"/>
        </w:rPr>
        <w:footnoteRef/>
      </w:r>
      <w:r>
        <w:tab/>
        <w:t>Ibid, page 137.</w:t>
      </w:r>
    </w:p>
  </w:footnote>
  <w:footnote w:id="83">
    <w:p w:rsidR="00A9761F" w:rsidRDefault="00A9761F" w:rsidP="001B7F78">
      <w:pPr>
        <w:pStyle w:val="FootnoteText"/>
      </w:pPr>
      <w:r w:rsidRPr="00820B43">
        <w:rPr>
          <w:rStyle w:val="FootnoteReference"/>
        </w:rPr>
        <w:footnoteRef/>
      </w:r>
      <w:r>
        <w:tab/>
        <w:t>West Melbourne Structure Plan (D130), pages 57-58.</w:t>
      </w:r>
    </w:p>
  </w:footnote>
  <w:footnote w:id="84">
    <w:p w:rsidR="00A9761F" w:rsidRDefault="00A9761F" w:rsidP="001B7F78">
      <w:pPr>
        <w:pStyle w:val="FootnoteText"/>
      </w:pPr>
      <w:r w:rsidRPr="00820B43">
        <w:rPr>
          <w:rStyle w:val="FootnoteReference"/>
        </w:rPr>
        <w:footnoteRef/>
      </w:r>
      <w:r>
        <w:tab/>
        <w:t xml:space="preserve">The report was dated 2 August 2017.  The report was not tabled, but was referred to in Dr Spiller’s evidence </w:t>
      </w:r>
      <w:r w:rsidRPr="005F2A7A">
        <w:t>statement (D77)</w:t>
      </w:r>
      <w:r>
        <w:t>.</w:t>
      </w:r>
    </w:p>
  </w:footnote>
  <w:footnote w:id="85">
    <w:p w:rsidR="00A9761F" w:rsidRDefault="00A9761F" w:rsidP="001B7F78">
      <w:pPr>
        <w:pStyle w:val="FootnoteText"/>
      </w:pPr>
      <w:r w:rsidRPr="00820B43">
        <w:rPr>
          <w:rStyle w:val="FootnoteReference"/>
        </w:rPr>
        <w:footnoteRef/>
      </w:r>
      <w:r>
        <w:tab/>
        <w:t>City of Melbourne changes to FAU guidance note (D320).</w:t>
      </w:r>
    </w:p>
  </w:footnote>
  <w:footnote w:id="86">
    <w:p w:rsidR="00A9761F" w:rsidRDefault="00A9761F" w:rsidP="001B7F78">
      <w:pPr>
        <w:pStyle w:val="FootnoteText"/>
      </w:pPr>
      <w:r w:rsidRPr="00820B43">
        <w:rPr>
          <w:rStyle w:val="FootnoteReference"/>
        </w:rPr>
        <w:footnoteRef/>
      </w:r>
      <w:r>
        <w:tab/>
        <w:t>Outline of submission of landowners represented by NRF and RK (D253), [218].</w:t>
      </w:r>
    </w:p>
  </w:footnote>
  <w:footnote w:id="87">
    <w:p w:rsidR="00A9761F" w:rsidRDefault="00A9761F" w:rsidP="001B7F78">
      <w:pPr>
        <w:pStyle w:val="FootnoteText"/>
      </w:pPr>
      <w:r w:rsidRPr="00820B43">
        <w:rPr>
          <w:rStyle w:val="FootnoteReference"/>
        </w:rPr>
        <w:footnoteRef/>
      </w:r>
      <w:r>
        <w:tab/>
        <w:t>Affordable Housing Industry Group (D62) [15(iii)].</w:t>
      </w:r>
    </w:p>
  </w:footnote>
  <w:footnote w:id="88">
    <w:p w:rsidR="00A9761F" w:rsidRDefault="00A9761F" w:rsidP="001B7F78">
      <w:pPr>
        <w:pStyle w:val="FootnoteText"/>
      </w:pPr>
      <w:r w:rsidRPr="00820B43">
        <w:rPr>
          <w:rStyle w:val="FootnoteReference"/>
        </w:rPr>
        <w:footnoteRef/>
      </w:r>
      <w:r>
        <w:tab/>
        <w:t>Melbourne’s final closing submission (D372), [31].</w:t>
      </w:r>
    </w:p>
  </w:footnote>
  <w:footnote w:id="89">
    <w:p w:rsidR="00A9761F" w:rsidRDefault="00A9761F" w:rsidP="001B7F78">
      <w:pPr>
        <w:pStyle w:val="FootnoteText"/>
      </w:pPr>
      <w:r w:rsidRPr="00820B43">
        <w:rPr>
          <w:rStyle w:val="FootnoteReference"/>
        </w:rPr>
        <w:footnoteRef/>
      </w:r>
      <w:r>
        <w:tab/>
        <w:t>West Melbourne Structure Plan (D130), page 58.</w:t>
      </w:r>
    </w:p>
  </w:footnote>
  <w:footnote w:id="90">
    <w:p w:rsidR="00A9761F" w:rsidRDefault="00A9761F" w:rsidP="001B7F78">
      <w:pPr>
        <w:pStyle w:val="FootnoteText"/>
      </w:pPr>
      <w:r w:rsidRPr="00820B43">
        <w:rPr>
          <w:rStyle w:val="FootnoteReference"/>
        </w:rPr>
        <w:footnoteRef/>
      </w:r>
      <w:r>
        <w:tab/>
        <w:t>See, for example, Ms Hodyl’s Addendum 5 (D154), [7]–[13].</w:t>
      </w:r>
    </w:p>
  </w:footnote>
  <w:footnote w:id="91">
    <w:p w:rsidR="00A9761F" w:rsidRDefault="00A9761F" w:rsidP="00FC2F90">
      <w:pPr>
        <w:pStyle w:val="FootnoteText"/>
      </w:pPr>
      <w:r>
        <w:rPr>
          <w:rStyle w:val="FootnoteReference"/>
        </w:rPr>
        <w:footnoteRef/>
      </w:r>
      <w:r>
        <w:tab/>
      </w:r>
      <w:r w:rsidRPr="00E045DB">
        <w:t>Fishermans Bend Draft Vision</w:t>
      </w:r>
      <w:r>
        <w:t xml:space="preserve"> 2013, page 37.</w:t>
      </w:r>
    </w:p>
  </w:footnote>
  <w:footnote w:id="92">
    <w:p w:rsidR="00A9761F" w:rsidRDefault="00A9761F" w:rsidP="00FC2F90">
      <w:pPr>
        <w:pStyle w:val="FootnoteText"/>
      </w:pPr>
      <w:r>
        <w:rPr>
          <w:rStyle w:val="FootnoteReference"/>
        </w:rPr>
        <w:footnoteRef/>
      </w:r>
      <w:r>
        <w:tab/>
      </w:r>
      <w:bookmarkStart w:id="388" w:name="_Hlk519587306"/>
      <w:r>
        <w:t xml:space="preserve">Draft Fishermans Bend Framework </w:t>
      </w:r>
      <w:bookmarkEnd w:id="388"/>
      <w:r>
        <w:t>at page 56.</w:t>
      </w:r>
    </w:p>
  </w:footnote>
  <w:footnote w:id="93">
    <w:p w:rsidR="00A9761F" w:rsidRDefault="00A9761F" w:rsidP="00FC2F90">
      <w:pPr>
        <w:pStyle w:val="FootnoteText"/>
      </w:pPr>
      <w:r w:rsidRPr="00820B43">
        <w:rPr>
          <w:rStyle w:val="FootnoteReference"/>
        </w:rPr>
        <w:footnoteRef/>
      </w:r>
      <w:r>
        <w:tab/>
        <w:t>Evidence of Ms Thompson (D75), page 9.</w:t>
      </w:r>
    </w:p>
  </w:footnote>
  <w:footnote w:id="94">
    <w:p w:rsidR="00A9761F" w:rsidRDefault="00A9761F" w:rsidP="00FC2F90">
      <w:pPr>
        <w:pStyle w:val="FootnoteText"/>
      </w:pPr>
      <w:r w:rsidRPr="00820B43">
        <w:rPr>
          <w:rStyle w:val="FootnoteReference"/>
        </w:rPr>
        <w:footnoteRef/>
      </w:r>
      <w:r>
        <w:tab/>
        <w:t>Mr Sheppard’s overarching evidence (D165b), [124].</w:t>
      </w:r>
    </w:p>
  </w:footnote>
  <w:footnote w:id="95">
    <w:p w:rsidR="00A9761F" w:rsidRDefault="00A9761F" w:rsidP="00FC2F90">
      <w:pPr>
        <w:pStyle w:val="FootnoteText"/>
      </w:pPr>
      <w:r w:rsidRPr="00820B43">
        <w:rPr>
          <w:rStyle w:val="FootnoteReference"/>
        </w:rPr>
        <w:footnoteRef/>
      </w:r>
      <w:r>
        <w:tab/>
        <w:t>General submissions (D276), [75].</w:t>
      </w:r>
    </w:p>
  </w:footnote>
  <w:footnote w:id="96">
    <w:p w:rsidR="00A9761F" w:rsidRDefault="00A9761F" w:rsidP="00FC2F90">
      <w:pPr>
        <w:pStyle w:val="FootnoteText"/>
      </w:pPr>
      <w:r w:rsidRPr="00820B43">
        <w:rPr>
          <w:rStyle w:val="FootnoteReference"/>
        </w:rPr>
        <w:footnoteRef/>
      </w:r>
      <w:r>
        <w:tab/>
        <w:t>Planisphere Strategy, pages 31–52.</w:t>
      </w:r>
    </w:p>
  </w:footnote>
  <w:footnote w:id="97">
    <w:p w:rsidR="00A9761F" w:rsidRDefault="00A9761F" w:rsidP="00FC2F90">
      <w:pPr>
        <w:pStyle w:val="FootnoteText"/>
      </w:pPr>
      <w:r w:rsidRPr="00820B43">
        <w:rPr>
          <w:rStyle w:val="FootnoteReference"/>
        </w:rPr>
        <w:footnoteRef/>
      </w:r>
      <w:r>
        <w:tab/>
        <w:t>Supplementary submission to Minister’s Part B submission (D151).</w:t>
      </w:r>
    </w:p>
  </w:footnote>
  <w:footnote w:id="98">
    <w:p w:rsidR="00A9761F" w:rsidRDefault="00A9761F" w:rsidP="00FC2F90">
      <w:pPr>
        <w:pStyle w:val="FootnoteText"/>
      </w:pPr>
      <w:r w:rsidRPr="00820B43">
        <w:rPr>
          <w:rStyle w:val="FootnoteReference"/>
        </w:rPr>
        <w:footnoteRef/>
      </w:r>
      <w:r>
        <w:tab/>
        <w:t>Planisphere Strategy, page 31.</w:t>
      </w:r>
    </w:p>
  </w:footnote>
  <w:footnote w:id="99">
    <w:p w:rsidR="00A9761F" w:rsidRDefault="00A9761F" w:rsidP="00FC2F90">
      <w:pPr>
        <w:pStyle w:val="FootnoteText"/>
      </w:pPr>
      <w:r w:rsidRPr="00820B43">
        <w:rPr>
          <w:rStyle w:val="FootnoteReference"/>
        </w:rPr>
        <w:footnoteRef/>
      </w:r>
      <w:r>
        <w:tab/>
        <w:t>Options for open space (D99), [22].</w:t>
      </w:r>
    </w:p>
  </w:footnote>
  <w:footnote w:id="100">
    <w:p w:rsidR="00A9761F" w:rsidRDefault="00A9761F" w:rsidP="00FC2F90">
      <w:pPr>
        <w:pStyle w:val="FootnoteText"/>
      </w:pPr>
      <w:r w:rsidRPr="00820B43">
        <w:rPr>
          <w:rStyle w:val="FootnoteReference"/>
        </w:rPr>
        <w:footnoteRef/>
      </w:r>
      <w:r>
        <w:tab/>
        <w:t>Planisphere Strategy, page 100.</w:t>
      </w:r>
    </w:p>
  </w:footnote>
  <w:footnote w:id="101">
    <w:p w:rsidR="00A9761F" w:rsidRDefault="00A9761F" w:rsidP="00FC2F90">
      <w:pPr>
        <w:pStyle w:val="FootnoteText"/>
      </w:pPr>
      <w:r w:rsidRPr="00820B43">
        <w:rPr>
          <w:rStyle w:val="FootnoteReference"/>
        </w:rPr>
        <w:footnoteRef/>
      </w:r>
      <w:r>
        <w:tab/>
        <w:t>Melbourne’s closing submission (D348), [21]-[22].</w:t>
      </w:r>
    </w:p>
  </w:footnote>
  <w:footnote w:id="102">
    <w:p w:rsidR="00A9761F" w:rsidRDefault="00A9761F" w:rsidP="00FC2F90">
      <w:pPr>
        <w:pStyle w:val="FootnoteText"/>
      </w:pPr>
      <w:r w:rsidRPr="00820B43">
        <w:rPr>
          <w:rStyle w:val="FootnoteReference"/>
        </w:rPr>
        <w:footnoteRef/>
      </w:r>
      <w:r>
        <w:tab/>
        <w:t>Port Phillip’s Stage 1 submission (D109a), [207]-[211].</w:t>
      </w:r>
    </w:p>
  </w:footnote>
  <w:footnote w:id="103">
    <w:p w:rsidR="00A9761F" w:rsidRDefault="00A9761F" w:rsidP="00FC2F90">
      <w:pPr>
        <w:pStyle w:val="FootnoteText"/>
      </w:pPr>
      <w:r w:rsidRPr="00820B43">
        <w:rPr>
          <w:rStyle w:val="FootnoteReference"/>
        </w:rPr>
        <w:footnoteRef/>
      </w:r>
      <w:r>
        <w:tab/>
        <w:t>Prohasky North/South, Wirraway North, JL Murphy Reserve and North Port Oval.</w:t>
      </w:r>
    </w:p>
  </w:footnote>
  <w:footnote w:id="104">
    <w:p w:rsidR="00A9761F" w:rsidRDefault="00A9761F" w:rsidP="00FC2F90">
      <w:pPr>
        <w:pStyle w:val="FootnoteText"/>
      </w:pPr>
      <w:r w:rsidRPr="00820B43">
        <w:rPr>
          <w:rStyle w:val="FootnoteReference"/>
        </w:rPr>
        <w:footnoteRef/>
      </w:r>
      <w:r>
        <w:tab/>
        <w:t>Planisphere Strategy, page 104.</w:t>
      </w:r>
    </w:p>
  </w:footnote>
  <w:footnote w:id="105">
    <w:p w:rsidR="00A9761F" w:rsidRDefault="00A9761F" w:rsidP="00FC2F90">
      <w:pPr>
        <w:pStyle w:val="FootnoteText"/>
      </w:pPr>
      <w:r w:rsidRPr="00820B43">
        <w:rPr>
          <w:rStyle w:val="FootnoteReference"/>
        </w:rPr>
        <w:footnoteRef/>
      </w:r>
      <w:r>
        <w:tab/>
        <w:t>The Minister’s Part B submission (D94), [77] and Part C Closing submission (D350), [84]-[94].</w:t>
      </w:r>
    </w:p>
  </w:footnote>
  <w:footnote w:id="106">
    <w:p w:rsidR="00A9761F" w:rsidRDefault="00A9761F" w:rsidP="00FC2F90">
      <w:pPr>
        <w:pStyle w:val="FootnoteText"/>
      </w:pPr>
      <w:r w:rsidRPr="00820B43">
        <w:rPr>
          <w:rStyle w:val="FootnoteReference"/>
        </w:rPr>
        <w:footnoteRef/>
      </w:r>
      <w:r>
        <w:tab/>
        <w:t>Closing submission NRF Landowners (D359), [</w:t>
      </w:r>
      <w:r w:rsidRPr="00D1179F">
        <w:t>191</w:t>
      </w:r>
      <w:r>
        <w:t>].</w:t>
      </w:r>
    </w:p>
  </w:footnote>
  <w:footnote w:id="107">
    <w:p w:rsidR="00A9761F" w:rsidRDefault="00A9761F" w:rsidP="000E2B2A">
      <w:pPr>
        <w:pStyle w:val="FootnoteText"/>
      </w:pPr>
      <w:r>
        <w:rPr>
          <w:rStyle w:val="FootnoteReference"/>
        </w:rPr>
        <w:footnoteRef/>
      </w:r>
      <w:r>
        <w:tab/>
        <w:t>Melbourne written submission (D120), [103].</w:t>
      </w:r>
    </w:p>
  </w:footnote>
  <w:footnote w:id="108">
    <w:p w:rsidR="00A9761F" w:rsidRDefault="00A9761F">
      <w:pPr>
        <w:pStyle w:val="FootnoteText"/>
      </w:pPr>
      <w:r>
        <w:rPr>
          <w:rStyle w:val="FootnoteReference"/>
        </w:rPr>
        <w:footnoteRef/>
      </w:r>
      <w:r>
        <w:tab/>
        <w:t>Mr Kiriakidis PowerPoint presentation slide 29 (D147).</w:t>
      </w:r>
    </w:p>
  </w:footnote>
  <w:footnote w:id="109">
    <w:p w:rsidR="00A9761F" w:rsidRDefault="00A9761F" w:rsidP="000E2B2A">
      <w:pPr>
        <w:pStyle w:val="FootnoteText"/>
      </w:pPr>
      <w:r>
        <w:rPr>
          <w:rStyle w:val="FootnoteReference"/>
        </w:rPr>
        <w:footnoteRef/>
      </w:r>
      <w:r>
        <w:tab/>
        <w:t>Ministers Part B submission (</w:t>
      </w:r>
      <w:r w:rsidRPr="00083962">
        <w:rPr>
          <w:rFonts w:asciiTheme="minorHAnsi" w:hAnsiTheme="minorHAnsi"/>
        </w:rPr>
        <w:t>D94</w:t>
      </w:r>
      <w:r>
        <w:rPr>
          <w:rFonts w:asciiTheme="minorHAnsi" w:hAnsiTheme="minorHAnsi"/>
        </w:rPr>
        <w:t>), [124(f)].</w:t>
      </w:r>
    </w:p>
  </w:footnote>
  <w:footnote w:id="110">
    <w:p w:rsidR="00A9761F" w:rsidRDefault="00A9761F" w:rsidP="000E2B2A">
      <w:pPr>
        <w:pStyle w:val="FootnoteText"/>
      </w:pPr>
      <w:r>
        <w:rPr>
          <w:rStyle w:val="FootnoteReference"/>
        </w:rPr>
        <w:footnoteRef/>
      </w:r>
      <w:r>
        <w:tab/>
        <w:t>Ministers Part B submission (D49), [264].</w:t>
      </w:r>
    </w:p>
  </w:footnote>
  <w:footnote w:id="111">
    <w:p w:rsidR="00A9761F" w:rsidRDefault="00A9761F" w:rsidP="000E2B2A">
      <w:pPr>
        <w:pStyle w:val="FootnoteText"/>
      </w:pPr>
      <w:r>
        <w:rPr>
          <w:rStyle w:val="FootnoteReference"/>
        </w:rPr>
        <w:footnoteRef/>
      </w:r>
      <w:r>
        <w:tab/>
      </w:r>
      <w:r w:rsidRPr="00083962">
        <w:t>Integrated Transport Plan</w:t>
      </w:r>
      <w:r>
        <w:t xml:space="preserve">, page </w:t>
      </w:r>
      <w:r w:rsidRPr="009B5EDC">
        <w:rPr>
          <w:rFonts w:asciiTheme="minorHAnsi" w:hAnsiTheme="minorHAnsi"/>
        </w:rPr>
        <w:t>46</w:t>
      </w:r>
      <w:r>
        <w:rPr>
          <w:rFonts w:asciiTheme="minorHAnsi" w:hAnsiTheme="minorHAnsi"/>
        </w:rPr>
        <w:t>.</w:t>
      </w:r>
    </w:p>
  </w:footnote>
  <w:footnote w:id="112">
    <w:p w:rsidR="00A9761F" w:rsidRDefault="00A9761F" w:rsidP="00465059">
      <w:pPr>
        <w:pStyle w:val="FootnoteText"/>
      </w:pPr>
      <w:r>
        <w:rPr>
          <w:rStyle w:val="FootnoteReference"/>
        </w:rPr>
        <w:footnoteRef/>
      </w:r>
      <w:r>
        <w:tab/>
        <w:t>Expected in the 1 in 100 year flood depth.</w:t>
      </w:r>
    </w:p>
  </w:footnote>
  <w:footnote w:id="113">
    <w:p w:rsidR="00A9761F" w:rsidRDefault="00A9761F" w:rsidP="00824A51">
      <w:pPr>
        <w:pStyle w:val="FootnoteText"/>
      </w:pPr>
      <w:r w:rsidRPr="00820B43">
        <w:rPr>
          <w:rStyle w:val="FootnoteReference"/>
        </w:rPr>
        <w:footnoteRef/>
      </w:r>
      <w:r>
        <w:tab/>
        <w:t>See Fishermans Bend Framework, page 64.</w:t>
      </w:r>
    </w:p>
  </w:footnote>
  <w:footnote w:id="114">
    <w:p w:rsidR="00A9761F" w:rsidRDefault="00A9761F" w:rsidP="00824A51">
      <w:pPr>
        <w:pStyle w:val="FootnoteText"/>
      </w:pPr>
      <w:r w:rsidRPr="00820B43">
        <w:rPr>
          <w:rStyle w:val="FootnoteReference"/>
        </w:rPr>
        <w:footnoteRef/>
      </w:r>
      <w:r>
        <w:tab/>
        <w:t>Minister’s Part C submission (D350), [198].</w:t>
      </w:r>
    </w:p>
  </w:footnote>
  <w:footnote w:id="115">
    <w:p w:rsidR="00A9761F" w:rsidRDefault="00A9761F" w:rsidP="00824A51">
      <w:pPr>
        <w:pStyle w:val="FootnoteText"/>
      </w:pPr>
      <w:r w:rsidRPr="00820B43">
        <w:rPr>
          <w:rStyle w:val="FootnoteReference"/>
        </w:rPr>
        <w:footnoteRef/>
      </w:r>
      <w:r>
        <w:tab/>
        <w:t>ESD evidence – Mr Williamson (D74), page 6.</w:t>
      </w:r>
    </w:p>
  </w:footnote>
  <w:footnote w:id="116">
    <w:p w:rsidR="00A9761F" w:rsidRDefault="00A9761F" w:rsidP="00323442">
      <w:pPr>
        <w:pStyle w:val="FootnoteText"/>
      </w:pPr>
      <w:r w:rsidRPr="00820B43">
        <w:rPr>
          <w:rStyle w:val="FootnoteReference"/>
        </w:rPr>
        <w:footnoteRef/>
      </w:r>
      <w:r>
        <w:tab/>
        <w:t>Further submission from Property Council of Australia (D248).</w:t>
      </w:r>
    </w:p>
  </w:footnote>
  <w:footnote w:id="117">
    <w:p w:rsidR="00A9761F" w:rsidRDefault="00A9761F" w:rsidP="00323442">
      <w:pPr>
        <w:pStyle w:val="FootnoteText"/>
      </w:pPr>
      <w:r w:rsidRPr="00820B43">
        <w:rPr>
          <w:rStyle w:val="FootnoteReference"/>
        </w:rPr>
        <w:footnoteRef/>
      </w:r>
      <w:r>
        <w:tab/>
        <w:t>Further submission (D170).</w:t>
      </w:r>
    </w:p>
  </w:footnote>
  <w:footnote w:id="118">
    <w:p w:rsidR="00A9761F" w:rsidRDefault="00A9761F" w:rsidP="00323442">
      <w:pPr>
        <w:pStyle w:val="FootnoteText"/>
      </w:pPr>
      <w:r w:rsidRPr="00820B43">
        <w:rPr>
          <w:rStyle w:val="FootnoteReference"/>
        </w:rPr>
        <w:footnoteRef/>
      </w:r>
      <w:r>
        <w:tab/>
        <w:t>Submission 245.</w:t>
      </w:r>
    </w:p>
  </w:footnote>
  <w:footnote w:id="119">
    <w:p w:rsidR="00A9761F" w:rsidRDefault="00A9761F" w:rsidP="00323442">
      <w:pPr>
        <w:pStyle w:val="FootnoteText"/>
      </w:pPr>
      <w:r w:rsidRPr="00820B43">
        <w:rPr>
          <w:rStyle w:val="FootnoteReference"/>
        </w:rPr>
        <w:footnoteRef/>
      </w:r>
      <w:r>
        <w:tab/>
        <w:t>Fishermans Bend Net Zero Emissions strategy (D198), page 30.</w:t>
      </w:r>
    </w:p>
  </w:footnote>
  <w:footnote w:id="120">
    <w:p w:rsidR="00A9761F" w:rsidRDefault="00A9761F" w:rsidP="00323442">
      <w:pPr>
        <w:pStyle w:val="FootnoteText"/>
      </w:pPr>
      <w:r w:rsidRPr="00820B43">
        <w:rPr>
          <w:rStyle w:val="FootnoteReference"/>
        </w:rPr>
        <w:footnoteRef/>
      </w:r>
      <w:r>
        <w:tab/>
        <w:t>Minister’s Part C submission (D350), [212]–[213].</w:t>
      </w:r>
    </w:p>
  </w:footnote>
  <w:footnote w:id="121">
    <w:p w:rsidR="00A9761F" w:rsidRDefault="00A9761F" w:rsidP="00A458B0">
      <w:pPr>
        <w:pStyle w:val="FootnoteText"/>
      </w:pPr>
      <w:r w:rsidRPr="00820B43">
        <w:rPr>
          <w:rStyle w:val="FootnoteReference"/>
        </w:rPr>
        <w:footnoteRef/>
      </w:r>
      <w:r>
        <w:tab/>
        <w:t>APA closing submission (D357), [1.2].</w:t>
      </w:r>
    </w:p>
  </w:footnote>
  <w:footnote w:id="122">
    <w:p w:rsidR="00A9761F" w:rsidRDefault="00A9761F" w:rsidP="008D421B">
      <w:pPr>
        <w:pStyle w:val="FootnoteText"/>
      </w:pPr>
      <w:r>
        <w:rPr>
          <w:rStyle w:val="FootnoteReference"/>
        </w:rPr>
        <w:footnoteRef/>
      </w:r>
      <w:r>
        <w:tab/>
        <w:t>The ‘measurement length’</w:t>
      </w:r>
      <w:r w:rsidRPr="002338D8">
        <w:t xml:space="preserve"> is the distance </w:t>
      </w:r>
      <w:r>
        <w:t xml:space="preserve">each side of the pipeline </w:t>
      </w:r>
      <w:r w:rsidRPr="002338D8">
        <w:t>at which the thermal radiation from an ignited full-bore rupture would cause serious burns to an unprotected person</w:t>
      </w:r>
      <w:r>
        <w:t>.</w:t>
      </w:r>
    </w:p>
  </w:footnote>
  <w:footnote w:id="123">
    <w:p w:rsidR="00A9761F" w:rsidRDefault="00A9761F" w:rsidP="00AC2E38">
      <w:pPr>
        <w:pStyle w:val="FootnoteText"/>
      </w:pPr>
      <w:r w:rsidRPr="00820B43">
        <w:rPr>
          <w:rStyle w:val="FootnoteReference"/>
        </w:rPr>
        <w:footnoteRef/>
      </w:r>
      <w:r>
        <w:tab/>
        <w:t>Fishermans Bend Framework, page 67.</w:t>
      </w:r>
    </w:p>
  </w:footnote>
  <w:footnote w:id="124">
    <w:p w:rsidR="00A9761F" w:rsidRDefault="00A9761F" w:rsidP="00AC2E38">
      <w:pPr>
        <w:pStyle w:val="FootnoteText"/>
      </w:pPr>
      <w:r>
        <w:rPr>
          <w:rStyle w:val="FootnoteReference"/>
        </w:rPr>
        <w:footnoteRef/>
      </w:r>
      <w:r>
        <w:tab/>
        <w:t>Minister Part B submission (D94), [6]–[10].</w:t>
      </w:r>
    </w:p>
  </w:footnote>
  <w:footnote w:id="125">
    <w:p w:rsidR="00A9761F" w:rsidRDefault="00A9761F" w:rsidP="00AC2E38">
      <w:pPr>
        <w:pStyle w:val="FootnoteText"/>
      </w:pPr>
      <w:r>
        <w:rPr>
          <w:rStyle w:val="FootnoteReference"/>
        </w:rPr>
        <w:footnoteRef/>
      </w:r>
      <w:r>
        <w:tab/>
        <w:t>Fishermans Bend MAC Report (</w:t>
      </w:r>
      <w:r w:rsidRPr="00A90F8A">
        <w:rPr>
          <w:rFonts w:asciiTheme="minorHAnsi" w:hAnsiTheme="minorHAnsi"/>
        </w:rPr>
        <w:t>D18</w:t>
      </w:r>
      <w:r>
        <w:rPr>
          <w:rFonts w:asciiTheme="minorHAnsi" w:hAnsiTheme="minorHAnsi"/>
        </w:rPr>
        <w:t>)</w:t>
      </w:r>
      <w:r w:rsidRPr="00A90F8A">
        <w:rPr>
          <w:rFonts w:asciiTheme="minorHAnsi" w:hAnsiTheme="minorHAnsi"/>
        </w:rPr>
        <w:t>, pages 13</w:t>
      </w:r>
      <w:r>
        <w:rPr>
          <w:rFonts w:asciiTheme="minorHAnsi" w:hAnsiTheme="minorHAnsi"/>
        </w:rPr>
        <w:t>–</w:t>
      </w:r>
      <w:r w:rsidRPr="00A90F8A">
        <w:rPr>
          <w:rFonts w:asciiTheme="minorHAnsi" w:hAnsiTheme="minorHAnsi"/>
        </w:rPr>
        <w:t>14</w:t>
      </w:r>
      <w:r>
        <w:rPr>
          <w:rFonts w:asciiTheme="minorHAnsi" w:hAnsiTheme="minorHAnsi"/>
        </w:rPr>
        <w:t>.</w:t>
      </w:r>
    </w:p>
  </w:footnote>
  <w:footnote w:id="126">
    <w:p w:rsidR="00A9761F" w:rsidRDefault="00A9761F" w:rsidP="00AC2E38">
      <w:pPr>
        <w:pStyle w:val="FootnoteText"/>
      </w:pPr>
      <w:r w:rsidRPr="00820B43">
        <w:rPr>
          <w:rStyle w:val="FootnoteReference"/>
        </w:rPr>
        <w:footnoteRef/>
      </w:r>
      <w:r>
        <w:tab/>
        <w:t>Melbourne City Council written submission (D120), [25]–[26].</w:t>
      </w:r>
    </w:p>
  </w:footnote>
  <w:footnote w:id="127">
    <w:p w:rsidR="00A9761F" w:rsidRDefault="00A9761F" w:rsidP="00AC2E38">
      <w:pPr>
        <w:pStyle w:val="FootnoteText"/>
      </w:pPr>
      <w:r w:rsidRPr="00820B43">
        <w:rPr>
          <w:rStyle w:val="FootnoteReference"/>
        </w:rPr>
        <w:footnoteRef/>
      </w:r>
      <w:r>
        <w:tab/>
        <w:t>Minister Part B submission (D94), [242].</w:t>
      </w:r>
    </w:p>
  </w:footnote>
  <w:footnote w:id="128">
    <w:p w:rsidR="00A9761F" w:rsidRDefault="00A9761F" w:rsidP="00AC2E38">
      <w:pPr>
        <w:pStyle w:val="FootnoteText"/>
      </w:pPr>
      <w:r w:rsidRPr="00820B43">
        <w:rPr>
          <w:rStyle w:val="FootnoteReference"/>
        </w:rPr>
        <w:footnoteRef/>
      </w:r>
      <w:r>
        <w:tab/>
        <w:t>SPURR presentation speaking notes (D235), pages 13–14.</w:t>
      </w:r>
    </w:p>
  </w:footnote>
  <w:footnote w:id="129">
    <w:p w:rsidR="00A9761F" w:rsidRDefault="00A9761F" w:rsidP="00AC2E38">
      <w:pPr>
        <w:pStyle w:val="FootnoteText"/>
      </w:pPr>
      <w:r w:rsidRPr="00820B43">
        <w:rPr>
          <w:rStyle w:val="FootnoteReference"/>
        </w:rPr>
        <w:footnoteRef/>
      </w:r>
      <w:r>
        <w:tab/>
        <w:t>Letter to Review Panel Chair (D100).</w:t>
      </w:r>
    </w:p>
  </w:footnote>
  <w:footnote w:id="130">
    <w:p w:rsidR="00A9761F" w:rsidRDefault="00A9761F" w:rsidP="00AC2E38">
      <w:pPr>
        <w:pStyle w:val="FootnoteText"/>
      </w:pPr>
      <w:r w:rsidRPr="00820B43">
        <w:rPr>
          <w:rStyle w:val="FootnoteReference"/>
        </w:rPr>
        <w:footnoteRef/>
      </w:r>
      <w:r>
        <w:tab/>
        <w:t>Minister’s Part A submission (D49), [21(h)].</w:t>
      </w:r>
    </w:p>
  </w:footnote>
  <w:footnote w:id="131">
    <w:p w:rsidR="00A9761F" w:rsidRDefault="00A9761F" w:rsidP="00AC2E38">
      <w:pPr>
        <w:pStyle w:val="FootnoteText"/>
      </w:pPr>
      <w:r w:rsidRPr="00820B43">
        <w:rPr>
          <w:rStyle w:val="FootnoteReference"/>
        </w:rPr>
        <w:footnoteRef/>
      </w:r>
      <w:r>
        <w:tab/>
        <w:t>Minister’s Part B submission (D94), [11(b)].</w:t>
      </w:r>
    </w:p>
  </w:footnote>
  <w:footnote w:id="132">
    <w:p w:rsidR="00A9761F" w:rsidRDefault="00A9761F" w:rsidP="00AC2E38">
      <w:pPr>
        <w:pStyle w:val="FootnoteText"/>
      </w:pPr>
      <w:r w:rsidRPr="00820B43">
        <w:rPr>
          <w:rStyle w:val="FootnoteReference"/>
        </w:rPr>
        <w:footnoteRef/>
      </w:r>
      <w:r>
        <w:tab/>
        <w:t>Minister’s Part B submission (D94), [11(c)].</w:t>
      </w:r>
    </w:p>
  </w:footnote>
  <w:footnote w:id="133">
    <w:p w:rsidR="00A9761F" w:rsidRDefault="00A9761F" w:rsidP="00AC2E38">
      <w:pPr>
        <w:pStyle w:val="FootnoteText"/>
      </w:pPr>
      <w:r w:rsidRPr="00820B43">
        <w:rPr>
          <w:rStyle w:val="FootnoteReference"/>
        </w:rPr>
        <w:footnoteRef/>
      </w:r>
      <w:r>
        <w:tab/>
        <w:t>Fishermans Bend Advisory Committee Report 1, page 40.</w:t>
      </w:r>
    </w:p>
  </w:footnote>
  <w:footnote w:id="134">
    <w:p w:rsidR="00A9761F" w:rsidRDefault="00A9761F" w:rsidP="00AC2E38">
      <w:pPr>
        <w:pStyle w:val="FootnoteText"/>
      </w:pPr>
      <w:r w:rsidRPr="00820B43">
        <w:rPr>
          <w:rStyle w:val="FootnoteReference"/>
        </w:rPr>
        <w:footnoteRef/>
      </w:r>
      <w:r>
        <w:tab/>
        <w:t>Expert Evidence of Mr Milner (D73), [60].</w:t>
      </w:r>
    </w:p>
  </w:footnote>
  <w:footnote w:id="135">
    <w:p w:rsidR="00A9761F" w:rsidRDefault="00A9761F" w:rsidP="00AC2E38">
      <w:pPr>
        <w:pStyle w:val="FootnoteText"/>
      </w:pPr>
      <w:r w:rsidRPr="00820B43">
        <w:rPr>
          <w:rStyle w:val="FootnoteReference"/>
        </w:rPr>
        <w:footnoteRef/>
      </w:r>
      <w:r>
        <w:tab/>
        <w:t>Submission by the father Bob Maguire Foundation (D243), page 1.</w:t>
      </w:r>
    </w:p>
  </w:footnote>
  <w:footnote w:id="136">
    <w:p w:rsidR="00A9761F" w:rsidRDefault="00A9761F" w:rsidP="00AC2E38">
      <w:pPr>
        <w:pStyle w:val="FootnoteText"/>
      </w:pPr>
      <w:r w:rsidRPr="00820B43">
        <w:rPr>
          <w:rStyle w:val="FootnoteReference"/>
        </w:rPr>
        <w:footnoteRef/>
      </w:r>
      <w:r>
        <w:tab/>
        <w:t>Fishermans Bend Advisory Committee Report 1, page 19.</w:t>
      </w:r>
    </w:p>
  </w:footnote>
  <w:footnote w:id="137">
    <w:p w:rsidR="00A9761F" w:rsidRDefault="00A9761F">
      <w:pPr>
        <w:pStyle w:val="FootnoteText"/>
      </w:pPr>
      <w:r>
        <w:rPr>
          <w:rStyle w:val="FootnoteReference"/>
        </w:rPr>
        <w:footnoteRef/>
      </w:r>
      <w:r>
        <w:tab/>
        <w:t>UDIA (S215).</w:t>
      </w:r>
    </w:p>
  </w:footnote>
  <w:footnote w:id="138">
    <w:p w:rsidR="00A9761F" w:rsidRDefault="00A9761F" w:rsidP="00AC2E38">
      <w:pPr>
        <w:pStyle w:val="FootnoteText"/>
      </w:pPr>
      <w:r w:rsidRPr="00820B43">
        <w:rPr>
          <w:rStyle w:val="FootnoteReference"/>
        </w:rPr>
        <w:footnoteRef/>
      </w:r>
      <w:r>
        <w:tab/>
        <w:t>Report of the MAC October 2017, page 10.</w:t>
      </w:r>
    </w:p>
  </w:footnote>
  <w:footnote w:id="139">
    <w:p w:rsidR="00A9761F" w:rsidRDefault="00A9761F" w:rsidP="007B739A">
      <w:pPr>
        <w:pStyle w:val="FootnoteText"/>
      </w:pPr>
      <w:r>
        <w:rPr>
          <w:rStyle w:val="FootnoteReference"/>
        </w:rPr>
        <w:footnoteRef/>
      </w:r>
      <w:r>
        <w:tab/>
        <w:t>D76b.</w:t>
      </w:r>
    </w:p>
  </w:footnote>
  <w:footnote w:id="140">
    <w:p w:rsidR="00A9761F" w:rsidRDefault="00A9761F" w:rsidP="007B739A">
      <w:pPr>
        <w:pStyle w:val="FootnoteText"/>
      </w:pPr>
      <w:r w:rsidRPr="00820B43">
        <w:rPr>
          <w:rStyle w:val="FootnoteReference"/>
        </w:rPr>
        <w:footnoteRef/>
      </w:r>
      <w:r>
        <w:tab/>
        <w:t>Ministers submission in relation to Infrastructure contributions (D309) [39].</w:t>
      </w:r>
    </w:p>
  </w:footnote>
  <w:footnote w:id="141">
    <w:p w:rsidR="00A9761F" w:rsidRDefault="00A9761F" w:rsidP="007B739A">
      <w:pPr>
        <w:pStyle w:val="FootnoteText"/>
      </w:pPr>
      <w:r w:rsidRPr="00820B43">
        <w:rPr>
          <w:rStyle w:val="FootnoteReference"/>
          <w:rFonts w:eastAsia="Times"/>
        </w:rPr>
        <w:footnoteRef/>
      </w:r>
      <w:r>
        <w:tab/>
        <w:t>SIN 14 (D351).</w:t>
      </w:r>
    </w:p>
  </w:footnote>
  <w:footnote w:id="142">
    <w:p w:rsidR="00A9761F" w:rsidRDefault="00A9761F" w:rsidP="007B739A">
      <w:pPr>
        <w:pStyle w:val="FootnoteText"/>
      </w:pPr>
      <w:r w:rsidRPr="00820B43">
        <w:rPr>
          <w:rStyle w:val="FootnoteReference"/>
        </w:rPr>
        <w:footnoteRef/>
      </w:r>
      <w:r>
        <w:tab/>
        <w:t>Options for open space (D99).</w:t>
      </w:r>
    </w:p>
  </w:footnote>
  <w:footnote w:id="143">
    <w:p w:rsidR="00A9761F" w:rsidRDefault="00A9761F" w:rsidP="00D73C9F">
      <w:pPr>
        <w:pStyle w:val="FootnoteText"/>
      </w:pPr>
      <w:r w:rsidRPr="00820B43">
        <w:rPr>
          <w:rStyle w:val="FootnoteReference"/>
        </w:rPr>
        <w:footnoteRef/>
      </w:r>
      <w:r>
        <w:tab/>
        <w:t>Minister’s Part A submission (D49), [41] and [231]–[235].</w:t>
      </w:r>
    </w:p>
  </w:footnote>
  <w:footnote w:id="144">
    <w:p w:rsidR="00A9761F" w:rsidRDefault="00A9761F" w:rsidP="00D73C9F">
      <w:pPr>
        <w:pStyle w:val="FootnoteText"/>
      </w:pPr>
      <w:r w:rsidRPr="00820B43">
        <w:rPr>
          <w:rStyle w:val="FootnoteReference"/>
        </w:rPr>
        <w:footnoteRef/>
      </w:r>
      <w:r>
        <w:tab/>
        <w:t>Fishermans Bend MAC report (D18), page 31.</w:t>
      </w:r>
    </w:p>
  </w:footnote>
  <w:footnote w:id="145">
    <w:p w:rsidR="00A9761F" w:rsidRDefault="00A9761F" w:rsidP="00D73C9F">
      <w:pPr>
        <w:pStyle w:val="FootnoteText"/>
      </w:pPr>
      <w:r w:rsidRPr="00820B43">
        <w:rPr>
          <w:rStyle w:val="FootnoteReference"/>
        </w:rPr>
        <w:footnoteRef/>
      </w:r>
      <w:r>
        <w:tab/>
        <w:t>Outline of submission landowners group (D253), [239]–[243].</w:t>
      </w:r>
    </w:p>
  </w:footnote>
  <w:footnote w:id="146">
    <w:p w:rsidR="00A9761F" w:rsidRDefault="00A9761F" w:rsidP="00D73C9F">
      <w:pPr>
        <w:pStyle w:val="FootnoteText"/>
      </w:pPr>
      <w:r w:rsidRPr="00820B43">
        <w:rPr>
          <w:rStyle w:val="FootnoteReference"/>
        </w:rPr>
        <w:footnoteRef/>
      </w:r>
      <w:r>
        <w:tab/>
        <w:t>Written submission (D263), [141].</w:t>
      </w:r>
    </w:p>
  </w:footnote>
  <w:footnote w:id="147">
    <w:p w:rsidR="00A9761F" w:rsidRDefault="00A9761F" w:rsidP="00D73C9F">
      <w:pPr>
        <w:pStyle w:val="FootnoteText"/>
      </w:pPr>
      <w:r w:rsidRPr="00820B43">
        <w:rPr>
          <w:rStyle w:val="FootnoteReference"/>
        </w:rPr>
        <w:footnoteRef/>
      </w:r>
      <w:r>
        <w:tab/>
        <w:t>General submission (D276), [88].</w:t>
      </w:r>
    </w:p>
  </w:footnote>
  <w:footnote w:id="148">
    <w:p w:rsidR="00A9761F" w:rsidRDefault="00A9761F" w:rsidP="00D73C9F">
      <w:pPr>
        <w:pStyle w:val="FootnoteText"/>
      </w:pPr>
      <w:r w:rsidRPr="00820B43">
        <w:rPr>
          <w:rStyle w:val="FootnoteReference"/>
        </w:rPr>
        <w:footnoteRef/>
      </w:r>
      <w:r>
        <w:tab/>
        <w:t>Written submission for Samma Group and Spec properties (DM44), [38]–[44].</w:t>
      </w:r>
    </w:p>
  </w:footnote>
  <w:footnote w:id="149">
    <w:p w:rsidR="00A9761F" w:rsidRDefault="00A9761F" w:rsidP="00D73C9F">
      <w:pPr>
        <w:pStyle w:val="FootnoteText"/>
      </w:pPr>
      <w:r w:rsidRPr="00820B43">
        <w:rPr>
          <w:rStyle w:val="FootnoteReference"/>
        </w:rPr>
        <w:footnoteRef/>
      </w:r>
      <w:r>
        <w:tab/>
        <w:t>The Minister’s Part C Submission (D350), [181]-[187], and SIN 15 (D305).</w:t>
      </w:r>
    </w:p>
  </w:footnote>
  <w:footnote w:id="150">
    <w:p w:rsidR="00A9761F" w:rsidRDefault="00A9761F">
      <w:pPr>
        <w:pStyle w:val="FootnoteText"/>
      </w:pPr>
      <w:r>
        <w:rPr>
          <w:rStyle w:val="FootnoteReference"/>
        </w:rPr>
        <w:footnoteRef/>
      </w:r>
      <w:r>
        <w:t xml:space="preserve"> </w:t>
      </w:r>
      <w:r>
        <w:tab/>
        <w:t>D346.</w:t>
      </w:r>
    </w:p>
  </w:footnote>
  <w:footnote w:id="151">
    <w:p w:rsidR="00A9761F" w:rsidRDefault="00A9761F" w:rsidP="00D73C9F">
      <w:pPr>
        <w:pStyle w:val="FootnoteText"/>
      </w:pPr>
      <w:r w:rsidRPr="00820B43">
        <w:rPr>
          <w:rStyle w:val="FootnoteReference"/>
        </w:rPr>
        <w:footnoteRef/>
      </w:r>
      <w:r>
        <w:tab/>
        <w:t>Montague building heights issued permits (DM16).</w:t>
      </w:r>
    </w:p>
  </w:footnote>
  <w:footnote w:id="152">
    <w:p w:rsidR="00A9761F" w:rsidRDefault="00A9761F" w:rsidP="00D73C9F">
      <w:pPr>
        <w:pStyle w:val="FootnoteText"/>
      </w:pPr>
      <w:r w:rsidRPr="00820B43">
        <w:rPr>
          <w:rStyle w:val="FootnoteReference"/>
        </w:rPr>
        <w:footnoteRef/>
      </w:r>
      <w:r>
        <w:tab/>
        <w:t>Response to Panel’s Request (D305), with corrections contained in D322.</w:t>
      </w:r>
    </w:p>
  </w:footnote>
  <w:footnote w:id="153">
    <w:p w:rsidR="00A9761F" w:rsidRDefault="00A9761F" w:rsidP="00FC60DB">
      <w:pPr>
        <w:pStyle w:val="FootnoteText"/>
      </w:pPr>
      <w:r w:rsidRPr="00820B43">
        <w:rPr>
          <w:rStyle w:val="FootnoteReference"/>
        </w:rPr>
        <w:footnoteRef/>
      </w:r>
      <w:r>
        <w:tab/>
        <w:t>Planning Practice Note 46.</w:t>
      </w:r>
    </w:p>
  </w:footnote>
  <w:footnote w:id="154">
    <w:p w:rsidR="00A9761F" w:rsidRDefault="00A9761F" w:rsidP="00FC60DB">
      <w:pPr>
        <w:pStyle w:val="FootnoteText"/>
      </w:pPr>
      <w:r w:rsidRPr="00820B43">
        <w:rPr>
          <w:rStyle w:val="FootnoteReference"/>
        </w:rPr>
        <w:footnoteRef/>
      </w:r>
      <w:r>
        <w:tab/>
        <w:t>This is to steer the reader away from concluding that this list does not apply to them.</w:t>
      </w:r>
    </w:p>
  </w:footnote>
  <w:footnote w:id="155">
    <w:p w:rsidR="00A9761F" w:rsidRDefault="00A9761F" w:rsidP="00FC60DB">
      <w:pPr>
        <w:pStyle w:val="FootnoteText"/>
      </w:pPr>
      <w:r w:rsidRPr="00820B43">
        <w:rPr>
          <w:rStyle w:val="FootnoteReference"/>
        </w:rPr>
        <w:footnoteRef/>
      </w:r>
      <w:r>
        <w:tab/>
        <w:t>This is to steer the reader away from concluding they have found what applies to them when a later more specific requirement applies.</w:t>
      </w:r>
    </w:p>
  </w:footnote>
  <w:footnote w:id="156">
    <w:p w:rsidR="00A9761F" w:rsidRDefault="00A9761F" w:rsidP="00FC60DB">
      <w:pPr>
        <w:pStyle w:val="FootnoteText"/>
      </w:pPr>
      <w:r w:rsidRPr="00820B43">
        <w:rPr>
          <w:rStyle w:val="FootnoteReference"/>
        </w:rPr>
        <w:footnoteRef/>
      </w:r>
      <w:r>
        <w:tab/>
        <w:t xml:space="preserve">See </w:t>
      </w:r>
      <w:r w:rsidRPr="0054363F">
        <w:rPr>
          <w:i/>
        </w:rPr>
        <w:t>Using Victoria's planning system, Chapter 9 – Plain English</w:t>
      </w:r>
      <w:r>
        <w:rPr>
          <w:i/>
        </w:rPr>
        <w:t xml:space="preserve">: </w:t>
      </w:r>
      <w:r w:rsidRPr="005B7EF4">
        <w:rPr>
          <w:i/>
        </w:rPr>
        <w:t>9.3.1 Write positively</w:t>
      </w:r>
      <w:r>
        <w:rPr>
          <w:i/>
        </w:rPr>
        <w:t>.</w:t>
      </w:r>
    </w:p>
  </w:footnote>
  <w:footnote w:id="157">
    <w:p w:rsidR="00A9761F" w:rsidRDefault="00A9761F" w:rsidP="00FC60DB">
      <w:pPr>
        <w:pStyle w:val="FootnoteText"/>
      </w:pPr>
      <w:r w:rsidRPr="00820B43">
        <w:rPr>
          <w:rStyle w:val="FootnoteReference"/>
        </w:rPr>
        <w:footnoteRef/>
      </w:r>
      <w:r>
        <w:tab/>
        <w:t>In Wirraway and Sandridge there is an express requirement not to build to the frontage f</w:t>
      </w:r>
      <w:r w:rsidRPr="00106D46">
        <w:t>or dwellings</w:t>
      </w:r>
      <w:r>
        <w:t xml:space="preserve"> in non-core areas</w:t>
      </w:r>
      <w:r w:rsidRPr="00106D46">
        <w:t xml:space="preserve"> not</w:t>
      </w:r>
      <w:r>
        <w:t xml:space="preserve"> on a Secondary active frontage.</w:t>
      </w:r>
    </w:p>
  </w:footnote>
  <w:footnote w:id="158">
    <w:p w:rsidR="00A9761F" w:rsidRDefault="00A9761F" w:rsidP="00FC60DB">
      <w:pPr>
        <w:pStyle w:val="FootnoteText"/>
      </w:pPr>
      <w:r w:rsidRPr="00820B43">
        <w:rPr>
          <w:rStyle w:val="FootnoteReference"/>
        </w:rPr>
        <w:footnoteRef/>
      </w:r>
      <w:r>
        <w:tab/>
        <w:t>The Review Panel notes that the Part C controls do apply a number of these principles.</w:t>
      </w:r>
    </w:p>
  </w:footnote>
  <w:footnote w:id="159">
    <w:p w:rsidR="00A9761F" w:rsidRDefault="00A9761F" w:rsidP="00A02D55">
      <w:pPr>
        <w:pStyle w:val="FootnoteText"/>
      </w:pPr>
      <w:r w:rsidRPr="00820B43">
        <w:rPr>
          <w:rStyle w:val="FootnoteReference"/>
        </w:rPr>
        <w:footnoteRef/>
      </w:r>
      <w:r>
        <w:tab/>
        <w:t>Page 100.</w:t>
      </w:r>
    </w:p>
  </w:footnote>
  <w:footnote w:id="160">
    <w:p w:rsidR="00A9761F" w:rsidRDefault="00A9761F" w:rsidP="00A6168A">
      <w:pPr>
        <w:pStyle w:val="FootnoteText"/>
      </w:pPr>
      <w:r w:rsidRPr="00820B43">
        <w:rPr>
          <w:rStyle w:val="FootnoteReference"/>
        </w:rPr>
        <w:footnoteRef/>
      </w:r>
      <w:r>
        <w:tab/>
        <w:t>MAC’s submission (D18), page 28–29.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9761F" w:rsidRPr="00B11559" w:rsidRDefault="00A9761F" w:rsidP="00C3789F">
    <w:pPr>
      <w:pBdr>
        <w:bottom w:val="single" w:sz="8" w:space="1" w:color="auto"/>
      </w:pBdr>
      <w:jc w:val="right"/>
      <w:rPr>
        <w:color w:val="17365D" w:themeColor="text2" w:themeShade="BF"/>
        <w:sz w:val="18"/>
        <w:szCs w:val="18"/>
      </w:rPr>
    </w:pPr>
    <w:r w:rsidRPr="00B11559">
      <w:rPr>
        <w:color w:val="17365D" w:themeColor="text2" w:themeShade="BF"/>
        <w:sz w:val="18"/>
        <w:szCs w:val="18"/>
      </w:rPr>
      <w:fldChar w:fldCharType="begin"/>
    </w:r>
    <w:r w:rsidRPr="00B11559">
      <w:rPr>
        <w:color w:val="17365D" w:themeColor="text2" w:themeShade="BF"/>
        <w:sz w:val="18"/>
        <w:szCs w:val="18"/>
      </w:rPr>
      <w:instrText xml:space="preserve"> STYLEREF  "AAA Panel Name"  \* MERGEFORMAT </w:instrText>
    </w:r>
    <w:r w:rsidRPr="00B11559">
      <w:rPr>
        <w:color w:val="17365D" w:themeColor="text2" w:themeShade="BF"/>
        <w:sz w:val="18"/>
        <w:szCs w:val="18"/>
      </w:rPr>
      <w:fldChar w:fldCharType="separate"/>
    </w:r>
    <w:r w:rsidR="00A307EC" w:rsidRPr="00A307EC">
      <w:rPr>
        <w:bCs/>
        <w:noProof/>
        <w:color w:val="17365D" w:themeColor="text2" w:themeShade="BF"/>
        <w:sz w:val="18"/>
        <w:szCs w:val="18"/>
        <w:lang w:val="en-US"/>
      </w:rPr>
      <w:t>Fishermans Bend Planning</w:t>
    </w:r>
    <w:r w:rsidR="00A307EC">
      <w:rPr>
        <w:noProof/>
        <w:color w:val="17365D" w:themeColor="text2" w:themeShade="BF"/>
        <w:sz w:val="18"/>
        <w:szCs w:val="18"/>
      </w:rPr>
      <w:t xml:space="preserve"> Review Panel</w:t>
    </w:r>
    <w:r w:rsidRPr="00B11559">
      <w:rPr>
        <w:noProof/>
        <w:color w:val="17365D" w:themeColor="text2" w:themeShade="BF"/>
        <w:sz w:val="18"/>
        <w:szCs w:val="18"/>
      </w:rPr>
      <w:fldChar w:fldCharType="end"/>
    </w:r>
    <w:r w:rsidRPr="00B11559">
      <w:rPr>
        <w:noProof/>
        <w:color w:val="17365D" w:themeColor="text2" w:themeShade="BF"/>
        <w:sz w:val="18"/>
        <w:szCs w:val="18"/>
      </w:rPr>
      <w:t xml:space="preserve"> </w:t>
    </w:r>
    <w:r w:rsidRPr="00B11559">
      <w:rPr>
        <w:color w:val="17365D" w:themeColor="text2" w:themeShade="BF"/>
        <w:sz w:val="18"/>
        <w:szCs w:val="18"/>
      </w:rPr>
      <w:sym w:font="Symbol" w:char="007C"/>
    </w:r>
    <w:r w:rsidRPr="00B11559">
      <w:rPr>
        <w:color w:val="17365D" w:themeColor="text2" w:themeShade="BF"/>
        <w:sz w:val="18"/>
        <w:szCs w:val="18"/>
      </w:rPr>
      <w:t xml:space="preserve"> Report No. 1 – Volume 1 </w:t>
    </w:r>
    <w:r w:rsidRPr="00B11559">
      <w:rPr>
        <w:color w:val="17365D" w:themeColor="text2" w:themeShade="BF"/>
        <w:sz w:val="18"/>
        <w:szCs w:val="18"/>
      </w:rPr>
      <w:sym w:font="Symbol" w:char="007C"/>
    </w:r>
    <w:r w:rsidRPr="00B11559">
      <w:rPr>
        <w:color w:val="17365D" w:themeColor="text2" w:themeShade="BF"/>
        <w:sz w:val="18"/>
        <w:szCs w:val="18"/>
      </w:rPr>
      <w:t xml:space="preserve"> </w:t>
    </w:r>
    <w:r w:rsidRPr="00B11559">
      <w:rPr>
        <w:color w:val="17365D" w:themeColor="text2" w:themeShade="BF"/>
        <w:sz w:val="18"/>
        <w:szCs w:val="18"/>
      </w:rPr>
      <w:fldChar w:fldCharType="begin"/>
    </w:r>
    <w:r w:rsidRPr="00B11559">
      <w:rPr>
        <w:color w:val="17365D" w:themeColor="text2" w:themeShade="BF"/>
        <w:sz w:val="18"/>
        <w:szCs w:val="18"/>
      </w:rPr>
      <w:instrText xml:space="preserve"> STYLEREF  "AA Date"  \* MERGEFORMAT </w:instrText>
    </w:r>
    <w:r w:rsidRPr="00B11559">
      <w:rPr>
        <w:color w:val="17365D" w:themeColor="text2" w:themeShade="BF"/>
        <w:sz w:val="18"/>
        <w:szCs w:val="18"/>
      </w:rPr>
      <w:fldChar w:fldCharType="separate"/>
    </w:r>
    <w:r w:rsidR="00A307EC" w:rsidRPr="00A307EC">
      <w:rPr>
        <w:bCs/>
        <w:noProof/>
        <w:color w:val="17365D" w:themeColor="text2" w:themeShade="BF"/>
        <w:sz w:val="18"/>
        <w:szCs w:val="18"/>
        <w:lang w:val="en-US"/>
      </w:rPr>
      <w:t>19</w:t>
    </w:r>
    <w:r w:rsidR="00A307EC">
      <w:rPr>
        <w:noProof/>
        <w:color w:val="17365D" w:themeColor="text2" w:themeShade="BF"/>
        <w:sz w:val="18"/>
        <w:szCs w:val="18"/>
      </w:rPr>
      <w:t xml:space="preserve"> July 2018</w:t>
    </w:r>
    <w:r w:rsidRPr="00B11559">
      <w:rPr>
        <w:color w:val="17365D" w:themeColor="text2" w:themeShade="BF"/>
        <w:sz w:val="18"/>
        <w:szCs w:val="18"/>
      </w:rPr>
      <w:fldChar w:fldCharType="end"/>
    </w:r>
  </w:p>
  <w:p w:rsidR="00A9761F" w:rsidRPr="00681DCE" w:rsidRDefault="00A9761F" w:rsidP="00681DC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B37FE"/>
    <w:multiLevelType w:val="multilevel"/>
    <w:tmpl w:val="AAEA6062"/>
    <w:lvl w:ilvl="0">
      <w:start w:val="1"/>
      <w:numFmt w:val="lowerRoman"/>
      <w:pStyle w:val="ToRNumberedPara"/>
      <w:lvlText w:val="%1."/>
      <w:lvlJc w:val="right"/>
      <w:pPr>
        <w:tabs>
          <w:tab w:val="num" w:pos="1097"/>
        </w:tabs>
        <w:ind w:left="1097" w:hanging="170"/>
      </w:pPr>
      <w:rPr>
        <w:rFonts w:hint="default"/>
        <w:b w:val="0"/>
        <w:i w:val="0"/>
        <w:color w:val="000000" w:themeColor="text1"/>
        <w:position w:val="0"/>
        <w:sz w:val="20"/>
      </w:rPr>
    </w:lvl>
    <w:lvl w:ilvl="1">
      <w:start w:val="1"/>
      <w:numFmt w:val="bullet"/>
      <w:lvlText w:val="–"/>
      <w:lvlJc w:val="left"/>
      <w:pPr>
        <w:tabs>
          <w:tab w:val="num" w:pos="1267"/>
        </w:tabs>
        <w:ind w:left="1267"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1437"/>
        </w:tabs>
        <w:ind w:left="1437"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30753"/>
        </w:tabs>
        <w:ind w:left="-31840" w:firstLine="0"/>
      </w:pPr>
      <w:rPr>
        <w:rFonts w:hint="default"/>
      </w:rPr>
    </w:lvl>
    <w:lvl w:ilvl="4">
      <w:start w:val="1"/>
      <w:numFmt w:val="none"/>
      <w:lvlText w:val=""/>
      <w:lvlJc w:val="left"/>
      <w:pPr>
        <w:tabs>
          <w:tab w:val="num" w:pos="-30753"/>
        </w:tabs>
        <w:ind w:left="-31840" w:firstLine="0"/>
      </w:pPr>
      <w:rPr>
        <w:rFonts w:hint="default"/>
      </w:rPr>
    </w:lvl>
    <w:lvl w:ilvl="5">
      <w:start w:val="1"/>
      <w:numFmt w:val="none"/>
      <w:lvlText w:val=""/>
      <w:lvlJc w:val="left"/>
      <w:pPr>
        <w:tabs>
          <w:tab w:val="num" w:pos="-30753"/>
        </w:tabs>
        <w:ind w:left="-31840" w:firstLine="0"/>
      </w:pPr>
      <w:rPr>
        <w:rFonts w:hint="default"/>
      </w:rPr>
    </w:lvl>
    <w:lvl w:ilvl="6">
      <w:start w:val="1"/>
      <w:numFmt w:val="none"/>
      <w:lvlText w:val=""/>
      <w:lvlJc w:val="left"/>
      <w:pPr>
        <w:tabs>
          <w:tab w:val="num" w:pos="-30753"/>
        </w:tabs>
        <w:ind w:left="-31840" w:firstLine="0"/>
      </w:pPr>
      <w:rPr>
        <w:rFonts w:hint="default"/>
      </w:rPr>
    </w:lvl>
    <w:lvl w:ilvl="7">
      <w:start w:val="1"/>
      <w:numFmt w:val="none"/>
      <w:lvlText w:val=""/>
      <w:lvlJc w:val="left"/>
      <w:pPr>
        <w:tabs>
          <w:tab w:val="num" w:pos="-30753"/>
        </w:tabs>
        <w:ind w:left="-31840" w:firstLine="0"/>
      </w:pPr>
      <w:rPr>
        <w:rFonts w:hint="default"/>
      </w:rPr>
    </w:lvl>
    <w:lvl w:ilvl="8">
      <w:start w:val="1"/>
      <w:numFmt w:val="none"/>
      <w:lvlText w:val=""/>
      <w:lvlJc w:val="left"/>
      <w:pPr>
        <w:tabs>
          <w:tab w:val="num" w:pos="-30753"/>
        </w:tabs>
        <w:ind w:left="-31840" w:firstLine="0"/>
      </w:pPr>
      <w:rPr>
        <w:rFonts w:hint="default"/>
      </w:rPr>
    </w:lvl>
  </w:abstractNum>
  <w:abstractNum w:abstractNumId="1" w15:restartNumberingAfterBreak="0">
    <w:nsid w:val="123B0BE8"/>
    <w:multiLevelType w:val="multilevel"/>
    <w:tmpl w:val="81F86754"/>
    <w:lvl w:ilvl="0">
      <w:start w:val="1"/>
      <w:numFmt w:val="decimal"/>
      <w:pStyle w:val="PPVRecommendation"/>
      <w:lvlText w:val="%1."/>
      <w:lvlJc w:val="left"/>
      <w:pPr>
        <w:ind w:left="644" w:hanging="360"/>
      </w:pPr>
      <w:rPr>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PPVRecommendationAlphaList"/>
      <w:lvlText w:val="%2)"/>
      <w:lvlJc w:val="left"/>
      <w:pPr>
        <w:ind w:left="1440" w:hanging="360"/>
      </w:pPr>
      <w:rPr>
        <w:rFonts w:hint="default"/>
      </w:rPr>
    </w:lvl>
    <w:lvl w:ilvl="2">
      <w:start w:val="1"/>
      <w:numFmt w:val="bullet"/>
      <w:pStyle w:val="PPVRecommendationBullet"/>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172F1864"/>
    <w:multiLevelType w:val="hybridMultilevel"/>
    <w:tmpl w:val="849A86DE"/>
    <w:lvl w:ilvl="0" w:tplc="97B80302">
      <w:start w:val="1"/>
      <w:numFmt w:val="decimal"/>
      <w:pStyle w:val="PPVRecommendationDrafting"/>
      <w:lvlText w:val="%1."/>
      <w:lvlJc w:val="left"/>
      <w:pPr>
        <w:ind w:left="1213" w:hanging="360"/>
      </w:pPr>
      <w:rPr>
        <w:rFonts w:hint="default"/>
        <w:b/>
        <w:i/>
      </w:rPr>
    </w:lvl>
    <w:lvl w:ilvl="1" w:tplc="0C090003" w:tentative="1">
      <w:start w:val="1"/>
      <w:numFmt w:val="bullet"/>
      <w:lvlText w:val="o"/>
      <w:lvlJc w:val="left"/>
      <w:pPr>
        <w:ind w:left="1933" w:hanging="360"/>
      </w:pPr>
      <w:rPr>
        <w:rFonts w:ascii="Courier New" w:hAnsi="Courier New" w:cs="Courier New" w:hint="default"/>
      </w:rPr>
    </w:lvl>
    <w:lvl w:ilvl="2" w:tplc="0C090005" w:tentative="1">
      <w:start w:val="1"/>
      <w:numFmt w:val="bullet"/>
      <w:lvlText w:val=""/>
      <w:lvlJc w:val="left"/>
      <w:pPr>
        <w:ind w:left="2653" w:hanging="360"/>
      </w:pPr>
      <w:rPr>
        <w:rFonts w:ascii="Wingdings" w:hAnsi="Wingdings" w:hint="default"/>
      </w:rPr>
    </w:lvl>
    <w:lvl w:ilvl="3" w:tplc="0C090001" w:tentative="1">
      <w:start w:val="1"/>
      <w:numFmt w:val="bullet"/>
      <w:lvlText w:val=""/>
      <w:lvlJc w:val="left"/>
      <w:pPr>
        <w:ind w:left="3373" w:hanging="360"/>
      </w:pPr>
      <w:rPr>
        <w:rFonts w:ascii="Symbol" w:hAnsi="Symbol" w:hint="default"/>
      </w:rPr>
    </w:lvl>
    <w:lvl w:ilvl="4" w:tplc="0C090003" w:tentative="1">
      <w:start w:val="1"/>
      <w:numFmt w:val="bullet"/>
      <w:lvlText w:val="o"/>
      <w:lvlJc w:val="left"/>
      <w:pPr>
        <w:ind w:left="4093" w:hanging="360"/>
      </w:pPr>
      <w:rPr>
        <w:rFonts w:ascii="Courier New" w:hAnsi="Courier New" w:cs="Courier New" w:hint="default"/>
      </w:rPr>
    </w:lvl>
    <w:lvl w:ilvl="5" w:tplc="0C090005" w:tentative="1">
      <w:start w:val="1"/>
      <w:numFmt w:val="bullet"/>
      <w:lvlText w:val=""/>
      <w:lvlJc w:val="left"/>
      <w:pPr>
        <w:ind w:left="4813" w:hanging="360"/>
      </w:pPr>
      <w:rPr>
        <w:rFonts w:ascii="Wingdings" w:hAnsi="Wingdings" w:hint="default"/>
      </w:rPr>
    </w:lvl>
    <w:lvl w:ilvl="6" w:tplc="0C090001" w:tentative="1">
      <w:start w:val="1"/>
      <w:numFmt w:val="bullet"/>
      <w:lvlText w:val=""/>
      <w:lvlJc w:val="left"/>
      <w:pPr>
        <w:ind w:left="5533" w:hanging="360"/>
      </w:pPr>
      <w:rPr>
        <w:rFonts w:ascii="Symbol" w:hAnsi="Symbol" w:hint="default"/>
      </w:rPr>
    </w:lvl>
    <w:lvl w:ilvl="7" w:tplc="0C090003" w:tentative="1">
      <w:start w:val="1"/>
      <w:numFmt w:val="bullet"/>
      <w:lvlText w:val="o"/>
      <w:lvlJc w:val="left"/>
      <w:pPr>
        <w:ind w:left="6253" w:hanging="360"/>
      </w:pPr>
      <w:rPr>
        <w:rFonts w:ascii="Courier New" w:hAnsi="Courier New" w:cs="Courier New" w:hint="default"/>
      </w:rPr>
    </w:lvl>
    <w:lvl w:ilvl="8" w:tplc="0C090005" w:tentative="1">
      <w:start w:val="1"/>
      <w:numFmt w:val="bullet"/>
      <w:lvlText w:val=""/>
      <w:lvlJc w:val="left"/>
      <w:pPr>
        <w:ind w:left="6973" w:hanging="360"/>
      </w:pPr>
      <w:rPr>
        <w:rFonts w:ascii="Wingdings" w:hAnsi="Wingdings" w:hint="default"/>
      </w:rPr>
    </w:lvl>
  </w:abstractNum>
  <w:abstractNum w:abstractNumId="3" w15:restartNumberingAfterBreak="0">
    <w:nsid w:val="184F32DC"/>
    <w:multiLevelType w:val="hybridMultilevel"/>
    <w:tmpl w:val="15C476FC"/>
    <w:lvl w:ilvl="0" w:tplc="CEEAA70C">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8A81702"/>
    <w:multiLevelType w:val="hybridMultilevel"/>
    <w:tmpl w:val="A87E86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08D0A69"/>
    <w:multiLevelType w:val="hybridMultilevel"/>
    <w:tmpl w:val="323686C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 w15:restartNumberingAfterBreak="0">
    <w:nsid w:val="216F6996"/>
    <w:multiLevelType w:val="multilevel"/>
    <w:tmpl w:val="F2B0DE66"/>
    <w:lvl w:ilvl="0">
      <w:start w:val="1"/>
      <w:numFmt w:val="bullet"/>
      <w:pStyle w:val="PPVBullet1"/>
      <w:lvlText w:val=""/>
      <w:lvlJc w:val="left"/>
      <w:pPr>
        <w:tabs>
          <w:tab w:val="num" w:pos="851"/>
        </w:tabs>
        <w:ind w:left="851" w:hanging="284"/>
      </w:pPr>
      <w:rPr>
        <w:rFonts w:ascii="Symbol" w:hAnsi="Symbol" w:hint="default"/>
      </w:rPr>
    </w:lvl>
    <w:lvl w:ilvl="1">
      <w:start w:val="1"/>
      <w:numFmt w:val="bullet"/>
      <w:pStyle w:val="PPVBullet2"/>
      <w:lvlText w:val="-"/>
      <w:lvlJc w:val="left"/>
      <w:pPr>
        <w:tabs>
          <w:tab w:val="num" w:pos="1134"/>
        </w:tabs>
        <w:ind w:left="1134" w:hanging="283"/>
      </w:pPr>
      <w:rPr>
        <w:rFonts w:ascii="Calibri" w:hAnsi="Calibri" w:hint="default"/>
      </w:rPr>
    </w:lvl>
    <w:lvl w:ilvl="2">
      <w:start w:val="1"/>
      <w:numFmt w:val="bullet"/>
      <w:lvlText w:val="-"/>
      <w:lvlJc w:val="left"/>
      <w:pPr>
        <w:tabs>
          <w:tab w:val="num" w:pos="1418"/>
        </w:tabs>
        <w:ind w:left="1418" w:hanging="284"/>
      </w:pPr>
      <w:rPr>
        <w:rFonts w:ascii="Calibri" w:hAnsi="Calibri"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247564F6"/>
    <w:multiLevelType w:val="hybridMultilevel"/>
    <w:tmpl w:val="1166C9C4"/>
    <w:lvl w:ilvl="0" w:tplc="0C09000F">
      <w:start w:val="1"/>
      <w:numFmt w:val="decimal"/>
      <w:pStyle w:val="ListNumb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2D054D0B"/>
    <w:multiLevelType w:val="hybridMultilevel"/>
    <w:tmpl w:val="7EC83332"/>
    <w:lvl w:ilvl="0" w:tplc="C3C4D778">
      <w:start w:val="1"/>
      <w:numFmt w:val="bullet"/>
      <w:lvlText w:val=""/>
      <w:lvlJc w:val="left"/>
      <w:pPr>
        <w:tabs>
          <w:tab w:val="num" w:pos="1429"/>
        </w:tabs>
        <w:ind w:left="1429" w:hanging="360"/>
      </w:pPr>
      <w:rPr>
        <w:rFonts w:ascii="Symbol" w:hAnsi="Symbol" w:hint="default"/>
      </w:rPr>
    </w:lvl>
    <w:lvl w:ilvl="1" w:tplc="5AF6083A">
      <w:start w:val="1"/>
      <w:numFmt w:val="bullet"/>
      <w:pStyle w:val="PPVrecomdationBullet2"/>
      <w:lvlText w:val="-"/>
      <w:lvlJc w:val="left"/>
      <w:pPr>
        <w:tabs>
          <w:tab w:val="num" w:pos="1440"/>
        </w:tabs>
        <w:ind w:left="1440" w:hanging="360"/>
      </w:pPr>
      <w:rPr>
        <w:rFonts w:ascii="Calibri" w:hAnsi="Calibri" w:hint="default"/>
      </w:rPr>
    </w:lvl>
    <w:lvl w:ilvl="2" w:tplc="DCDED4AE" w:tentative="1">
      <w:start w:val="1"/>
      <w:numFmt w:val="bullet"/>
      <w:lvlText w:val=""/>
      <w:lvlJc w:val="left"/>
      <w:pPr>
        <w:tabs>
          <w:tab w:val="num" w:pos="2160"/>
        </w:tabs>
        <w:ind w:left="2160" w:hanging="360"/>
      </w:pPr>
      <w:rPr>
        <w:rFonts w:ascii="Wingdings" w:hAnsi="Wingdings" w:hint="default"/>
      </w:rPr>
    </w:lvl>
    <w:lvl w:ilvl="3" w:tplc="9D2AE74A" w:tentative="1">
      <w:start w:val="1"/>
      <w:numFmt w:val="bullet"/>
      <w:lvlText w:val=""/>
      <w:lvlJc w:val="left"/>
      <w:pPr>
        <w:tabs>
          <w:tab w:val="num" w:pos="2880"/>
        </w:tabs>
        <w:ind w:left="2880" w:hanging="360"/>
      </w:pPr>
      <w:rPr>
        <w:rFonts w:ascii="Symbol" w:hAnsi="Symbol" w:hint="default"/>
      </w:rPr>
    </w:lvl>
    <w:lvl w:ilvl="4" w:tplc="8E3AA9EE" w:tentative="1">
      <w:start w:val="1"/>
      <w:numFmt w:val="bullet"/>
      <w:lvlText w:val="o"/>
      <w:lvlJc w:val="left"/>
      <w:pPr>
        <w:tabs>
          <w:tab w:val="num" w:pos="3600"/>
        </w:tabs>
        <w:ind w:left="3600" w:hanging="360"/>
      </w:pPr>
      <w:rPr>
        <w:rFonts w:ascii="Courier New" w:hAnsi="Courier New" w:cs="Courier New" w:hint="default"/>
      </w:rPr>
    </w:lvl>
    <w:lvl w:ilvl="5" w:tplc="997C9982" w:tentative="1">
      <w:start w:val="1"/>
      <w:numFmt w:val="bullet"/>
      <w:lvlText w:val=""/>
      <w:lvlJc w:val="left"/>
      <w:pPr>
        <w:tabs>
          <w:tab w:val="num" w:pos="4320"/>
        </w:tabs>
        <w:ind w:left="4320" w:hanging="360"/>
      </w:pPr>
      <w:rPr>
        <w:rFonts w:ascii="Wingdings" w:hAnsi="Wingdings" w:hint="default"/>
      </w:rPr>
    </w:lvl>
    <w:lvl w:ilvl="6" w:tplc="BDAC25BC" w:tentative="1">
      <w:start w:val="1"/>
      <w:numFmt w:val="bullet"/>
      <w:lvlText w:val=""/>
      <w:lvlJc w:val="left"/>
      <w:pPr>
        <w:tabs>
          <w:tab w:val="num" w:pos="5040"/>
        </w:tabs>
        <w:ind w:left="5040" w:hanging="360"/>
      </w:pPr>
      <w:rPr>
        <w:rFonts w:ascii="Symbol" w:hAnsi="Symbol" w:hint="default"/>
      </w:rPr>
    </w:lvl>
    <w:lvl w:ilvl="7" w:tplc="23FE4DD2" w:tentative="1">
      <w:start w:val="1"/>
      <w:numFmt w:val="bullet"/>
      <w:lvlText w:val="o"/>
      <w:lvlJc w:val="left"/>
      <w:pPr>
        <w:tabs>
          <w:tab w:val="num" w:pos="5760"/>
        </w:tabs>
        <w:ind w:left="5760" w:hanging="360"/>
      </w:pPr>
      <w:rPr>
        <w:rFonts w:ascii="Courier New" w:hAnsi="Courier New" w:cs="Courier New" w:hint="default"/>
      </w:rPr>
    </w:lvl>
    <w:lvl w:ilvl="8" w:tplc="E59052E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9C23EF"/>
    <w:multiLevelType w:val="hybridMultilevel"/>
    <w:tmpl w:val="323686C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 w15:restartNumberingAfterBreak="0">
    <w:nsid w:val="392751B1"/>
    <w:multiLevelType w:val="hybridMultilevel"/>
    <w:tmpl w:val="323686C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 w15:restartNumberingAfterBreak="0">
    <w:nsid w:val="426F6567"/>
    <w:multiLevelType w:val="hybridMultilevel"/>
    <w:tmpl w:val="D5E8B81E"/>
    <w:lvl w:ilvl="0" w:tplc="C3C4D778">
      <w:start w:val="1"/>
      <w:numFmt w:val="bullet"/>
      <w:lvlText w:val=""/>
      <w:lvlJc w:val="left"/>
      <w:pPr>
        <w:tabs>
          <w:tab w:val="num" w:pos="1429"/>
        </w:tabs>
        <w:ind w:left="1429" w:hanging="360"/>
      </w:pPr>
      <w:rPr>
        <w:rFonts w:ascii="Symbol" w:hAnsi="Symbol" w:hint="default"/>
      </w:rPr>
    </w:lvl>
    <w:lvl w:ilvl="1" w:tplc="CC1CC7B4">
      <w:start w:val="1"/>
      <w:numFmt w:val="bullet"/>
      <w:pStyle w:val="PPVQuoteBullet2"/>
      <w:lvlText w:val="-"/>
      <w:lvlJc w:val="left"/>
      <w:pPr>
        <w:tabs>
          <w:tab w:val="num" w:pos="1440"/>
        </w:tabs>
        <w:ind w:left="1440" w:hanging="360"/>
      </w:pPr>
      <w:rPr>
        <w:rFonts w:ascii="Calibri" w:hAnsi="Calibri" w:hint="default"/>
      </w:rPr>
    </w:lvl>
    <w:lvl w:ilvl="2" w:tplc="DCDED4AE" w:tentative="1">
      <w:start w:val="1"/>
      <w:numFmt w:val="bullet"/>
      <w:lvlText w:val=""/>
      <w:lvlJc w:val="left"/>
      <w:pPr>
        <w:tabs>
          <w:tab w:val="num" w:pos="2160"/>
        </w:tabs>
        <w:ind w:left="2160" w:hanging="360"/>
      </w:pPr>
      <w:rPr>
        <w:rFonts w:ascii="Wingdings" w:hAnsi="Wingdings" w:hint="default"/>
      </w:rPr>
    </w:lvl>
    <w:lvl w:ilvl="3" w:tplc="9D2AE74A" w:tentative="1">
      <w:start w:val="1"/>
      <w:numFmt w:val="bullet"/>
      <w:lvlText w:val=""/>
      <w:lvlJc w:val="left"/>
      <w:pPr>
        <w:tabs>
          <w:tab w:val="num" w:pos="2880"/>
        </w:tabs>
        <w:ind w:left="2880" w:hanging="360"/>
      </w:pPr>
      <w:rPr>
        <w:rFonts w:ascii="Symbol" w:hAnsi="Symbol" w:hint="default"/>
      </w:rPr>
    </w:lvl>
    <w:lvl w:ilvl="4" w:tplc="8E3AA9EE" w:tentative="1">
      <w:start w:val="1"/>
      <w:numFmt w:val="bullet"/>
      <w:lvlText w:val="o"/>
      <w:lvlJc w:val="left"/>
      <w:pPr>
        <w:tabs>
          <w:tab w:val="num" w:pos="3600"/>
        </w:tabs>
        <w:ind w:left="3600" w:hanging="360"/>
      </w:pPr>
      <w:rPr>
        <w:rFonts w:ascii="Courier New" w:hAnsi="Courier New" w:cs="Courier New" w:hint="default"/>
      </w:rPr>
    </w:lvl>
    <w:lvl w:ilvl="5" w:tplc="997C9982" w:tentative="1">
      <w:start w:val="1"/>
      <w:numFmt w:val="bullet"/>
      <w:lvlText w:val=""/>
      <w:lvlJc w:val="left"/>
      <w:pPr>
        <w:tabs>
          <w:tab w:val="num" w:pos="4320"/>
        </w:tabs>
        <w:ind w:left="4320" w:hanging="360"/>
      </w:pPr>
      <w:rPr>
        <w:rFonts w:ascii="Wingdings" w:hAnsi="Wingdings" w:hint="default"/>
      </w:rPr>
    </w:lvl>
    <w:lvl w:ilvl="6" w:tplc="BDAC25BC" w:tentative="1">
      <w:start w:val="1"/>
      <w:numFmt w:val="bullet"/>
      <w:lvlText w:val=""/>
      <w:lvlJc w:val="left"/>
      <w:pPr>
        <w:tabs>
          <w:tab w:val="num" w:pos="5040"/>
        </w:tabs>
        <w:ind w:left="5040" w:hanging="360"/>
      </w:pPr>
      <w:rPr>
        <w:rFonts w:ascii="Symbol" w:hAnsi="Symbol" w:hint="default"/>
      </w:rPr>
    </w:lvl>
    <w:lvl w:ilvl="7" w:tplc="23FE4DD2" w:tentative="1">
      <w:start w:val="1"/>
      <w:numFmt w:val="bullet"/>
      <w:lvlText w:val="o"/>
      <w:lvlJc w:val="left"/>
      <w:pPr>
        <w:tabs>
          <w:tab w:val="num" w:pos="5760"/>
        </w:tabs>
        <w:ind w:left="5760" w:hanging="360"/>
      </w:pPr>
      <w:rPr>
        <w:rFonts w:ascii="Courier New" w:hAnsi="Courier New" w:cs="Courier New" w:hint="default"/>
      </w:rPr>
    </w:lvl>
    <w:lvl w:ilvl="8" w:tplc="E59052E6"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6503F93"/>
    <w:multiLevelType w:val="hybridMultilevel"/>
    <w:tmpl w:val="B42CB2CC"/>
    <w:lvl w:ilvl="0" w:tplc="D8780CA2">
      <w:start w:val="1"/>
      <w:numFmt w:val="bullet"/>
      <w:pStyle w:val="PPVTableTextBullet"/>
      <w:lvlText w:val="-"/>
      <w:lvlJc w:val="left"/>
      <w:pPr>
        <w:ind w:left="1179" w:hanging="360"/>
      </w:pPr>
      <w:rPr>
        <w:rFonts w:ascii="Calibri" w:hAnsi="Calibri" w:hint="default"/>
      </w:rPr>
    </w:lvl>
    <w:lvl w:ilvl="1" w:tplc="0C090003" w:tentative="1">
      <w:start w:val="1"/>
      <w:numFmt w:val="bullet"/>
      <w:lvlText w:val="o"/>
      <w:lvlJc w:val="left"/>
      <w:pPr>
        <w:ind w:left="1899" w:hanging="360"/>
      </w:pPr>
      <w:rPr>
        <w:rFonts w:ascii="Courier New" w:hAnsi="Courier New" w:cs="Courier New" w:hint="default"/>
      </w:rPr>
    </w:lvl>
    <w:lvl w:ilvl="2" w:tplc="0C090005" w:tentative="1">
      <w:start w:val="1"/>
      <w:numFmt w:val="bullet"/>
      <w:lvlText w:val=""/>
      <w:lvlJc w:val="left"/>
      <w:pPr>
        <w:ind w:left="2619" w:hanging="360"/>
      </w:pPr>
      <w:rPr>
        <w:rFonts w:ascii="Wingdings" w:hAnsi="Wingdings" w:hint="default"/>
      </w:rPr>
    </w:lvl>
    <w:lvl w:ilvl="3" w:tplc="0C090001" w:tentative="1">
      <w:start w:val="1"/>
      <w:numFmt w:val="bullet"/>
      <w:lvlText w:val=""/>
      <w:lvlJc w:val="left"/>
      <w:pPr>
        <w:ind w:left="3339" w:hanging="360"/>
      </w:pPr>
      <w:rPr>
        <w:rFonts w:ascii="Symbol" w:hAnsi="Symbol" w:hint="default"/>
      </w:rPr>
    </w:lvl>
    <w:lvl w:ilvl="4" w:tplc="0C090003" w:tentative="1">
      <w:start w:val="1"/>
      <w:numFmt w:val="bullet"/>
      <w:lvlText w:val="o"/>
      <w:lvlJc w:val="left"/>
      <w:pPr>
        <w:ind w:left="4059" w:hanging="360"/>
      </w:pPr>
      <w:rPr>
        <w:rFonts w:ascii="Courier New" w:hAnsi="Courier New" w:cs="Courier New" w:hint="default"/>
      </w:rPr>
    </w:lvl>
    <w:lvl w:ilvl="5" w:tplc="0C090005" w:tentative="1">
      <w:start w:val="1"/>
      <w:numFmt w:val="bullet"/>
      <w:lvlText w:val=""/>
      <w:lvlJc w:val="left"/>
      <w:pPr>
        <w:ind w:left="4779" w:hanging="360"/>
      </w:pPr>
      <w:rPr>
        <w:rFonts w:ascii="Wingdings" w:hAnsi="Wingdings" w:hint="default"/>
      </w:rPr>
    </w:lvl>
    <w:lvl w:ilvl="6" w:tplc="0C090001" w:tentative="1">
      <w:start w:val="1"/>
      <w:numFmt w:val="bullet"/>
      <w:lvlText w:val=""/>
      <w:lvlJc w:val="left"/>
      <w:pPr>
        <w:ind w:left="5499" w:hanging="360"/>
      </w:pPr>
      <w:rPr>
        <w:rFonts w:ascii="Symbol" w:hAnsi="Symbol" w:hint="default"/>
      </w:rPr>
    </w:lvl>
    <w:lvl w:ilvl="7" w:tplc="0C090003" w:tentative="1">
      <w:start w:val="1"/>
      <w:numFmt w:val="bullet"/>
      <w:lvlText w:val="o"/>
      <w:lvlJc w:val="left"/>
      <w:pPr>
        <w:ind w:left="6219" w:hanging="360"/>
      </w:pPr>
      <w:rPr>
        <w:rFonts w:ascii="Courier New" w:hAnsi="Courier New" w:cs="Courier New" w:hint="default"/>
      </w:rPr>
    </w:lvl>
    <w:lvl w:ilvl="8" w:tplc="0C090005" w:tentative="1">
      <w:start w:val="1"/>
      <w:numFmt w:val="bullet"/>
      <w:lvlText w:val=""/>
      <w:lvlJc w:val="left"/>
      <w:pPr>
        <w:ind w:left="6939" w:hanging="360"/>
      </w:pPr>
      <w:rPr>
        <w:rFonts w:ascii="Wingdings" w:hAnsi="Wingdings" w:hint="default"/>
      </w:rPr>
    </w:lvl>
  </w:abstractNum>
  <w:abstractNum w:abstractNumId="13" w15:restartNumberingAfterBreak="0">
    <w:nsid w:val="49DE1E47"/>
    <w:multiLevelType w:val="hybridMultilevel"/>
    <w:tmpl w:val="FD8A5518"/>
    <w:lvl w:ilvl="0" w:tplc="0C1CCC3A">
      <w:start w:val="1"/>
      <w:numFmt w:val="bullet"/>
      <w:pStyle w:val="Checkbox"/>
      <w:lvlText w:val=""/>
      <w:lvlJc w:val="left"/>
      <w:pPr>
        <w:tabs>
          <w:tab w:val="num" w:pos="720"/>
        </w:tabs>
        <w:ind w:left="720" w:hanging="360"/>
      </w:pPr>
      <w:rPr>
        <w:rFonts w:ascii="ZapfDingbats" w:hAnsi="ZapfDingba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BD32B2B"/>
    <w:multiLevelType w:val="hybridMultilevel"/>
    <w:tmpl w:val="135E82F0"/>
    <w:lvl w:ilvl="0" w:tplc="A60CC746">
      <w:start w:val="1"/>
      <w:numFmt w:val="bullet"/>
      <w:lvlText w:val="-"/>
      <w:lvlJc w:val="left"/>
      <w:pPr>
        <w:ind w:left="1571" w:hanging="360"/>
      </w:pPr>
      <w:rPr>
        <w:rFonts w:ascii="Calibri" w:hAnsi="Calibri" w:hint="default"/>
      </w:rPr>
    </w:lvl>
    <w:lvl w:ilvl="1" w:tplc="0C090003" w:tentative="1">
      <w:start w:val="1"/>
      <w:numFmt w:val="bullet"/>
      <w:lvlText w:val="o"/>
      <w:lvlJc w:val="left"/>
      <w:pPr>
        <w:ind w:left="2291" w:hanging="360"/>
      </w:pPr>
      <w:rPr>
        <w:rFonts w:ascii="Courier New" w:hAnsi="Courier New" w:cs="Courier New" w:hint="default"/>
      </w:rPr>
    </w:lvl>
    <w:lvl w:ilvl="2" w:tplc="0C090005" w:tentative="1">
      <w:start w:val="1"/>
      <w:numFmt w:val="bullet"/>
      <w:lvlText w:val=""/>
      <w:lvlJc w:val="left"/>
      <w:pPr>
        <w:ind w:left="3011" w:hanging="360"/>
      </w:pPr>
      <w:rPr>
        <w:rFonts w:ascii="Wingdings" w:hAnsi="Wingdings" w:hint="default"/>
      </w:rPr>
    </w:lvl>
    <w:lvl w:ilvl="3" w:tplc="0C090001" w:tentative="1">
      <w:start w:val="1"/>
      <w:numFmt w:val="bullet"/>
      <w:lvlText w:val=""/>
      <w:lvlJc w:val="left"/>
      <w:pPr>
        <w:ind w:left="3731" w:hanging="360"/>
      </w:pPr>
      <w:rPr>
        <w:rFonts w:ascii="Symbol" w:hAnsi="Symbol" w:hint="default"/>
      </w:rPr>
    </w:lvl>
    <w:lvl w:ilvl="4" w:tplc="0C090003" w:tentative="1">
      <w:start w:val="1"/>
      <w:numFmt w:val="bullet"/>
      <w:lvlText w:val="o"/>
      <w:lvlJc w:val="left"/>
      <w:pPr>
        <w:ind w:left="4451" w:hanging="360"/>
      </w:pPr>
      <w:rPr>
        <w:rFonts w:ascii="Courier New" w:hAnsi="Courier New" w:cs="Courier New" w:hint="default"/>
      </w:rPr>
    </w:lvl>
    <w:lvl w:ilvl="5" w:tplc="0C090005" w:tentative="1">
      <w:start w:val="1"/>
      <w:numFmt w:val="bullet"/>
      <w:lvlText w:val=""/>
      <w:lvlJc w:val="left"/>
      <w:pPr>
        <w:ind w:left="5171" w:hanging="360"/>
      </w:pPr>
      <w:rPr>
        <w:rFonts w:ascii="Wingdings" w:hAnsi="Wingdings" w:hint="default"/>
      </w:rPr>
    </w:lvl>
    <w:lvl w:ilvl="6" w:tplc="0C090001" w:tentative="1">
      <w:start w:val="1"/>
      <w:numFmt w:val="bullet"/>
      <w:lvlText w:val=""/>
      <w:lvlJc w:val="left"/>
      <w:pPr>
        <w:ind w:left="5891" w:hanging="360"/>
      </w:pPr>
      <w:rPr>
        <w:rFonts w:ascii="Symbol" w:hAnsi="Symbol" w:hint="default"/>
      </w:rPr>
    </w:lvl>
    <w:lvl w:ilvl="7" w:tplc="0C090003" w:tentative="1">
      <w:start w:val="1"/>
      <w:numFmt w:val="bullet"/>
      <w:lvlText w:val="o"/>
      <w:lvlJc w:val="left"/>
      <w:pPr>
        <w:ind w:left="6611" w:hanging="360"/>
      </w:pPr>
      <w:rPr>
        <w:rFonts w:ascii="Courier New" w:hAnsi="Courier New" w:cs="Courier New" w:hint="default"/>
      </w:rPr>
    </w:lvl>
    <w:lvl w:ilvl="8" w:tplc="0C090005" w:tentative="1">
      <w:start w:val="1"/>
      <w:numFmt w:val="bullet"/>
      <w:lvlText w:val=""/>
      <w:lvlJc w:val="left"/>
      <w:pPr>
        <w:ind w:left="7331" w:hanging="360"/>
      </w:pPr>
      <w:rPr>
        <w:rFonts w:ascii="Wingdings" w:hAnsi="Wingdings" w:hint="default"/>
      </w:rPr>
    </w:lvl>
  </w:abstractNum>
  <w:abstractNum w:abstractNumId="15" w15:restartNumberingAfterBreak="0">
    <w:nsid w:val="52A72493"/>
    <w:multiLevelType w:val="hybridMultilevel"/>
    <w:tmpl w:val="C71E5DDA"/>
    <w:lvl w:ilvl="0" w:tplc="C3C4D778">
      <w:start w:val="1"/>
      <w:numFmt w:val="bullet"/>
      <w:pStyle w:val="PPVQuoteBullet1"/>
      <w:lvlText w:val=""/>
      <w:lvlJc w:val="left"/>
      <w:pPr>
        <w:tabs>
          <w:tab w:val="num" w:pos="1429"/>
        </w:tabs>
        <w:ind w:left="1429" w:hanging="360"/>
      </w:pPr>
      <w:rPr>
        <w:rFonts w:ascii="Symbol" w:hAnsi="Symbol" w:hint="default"/>
      </w:rPr>
    </w:lvl>
    <w:lvl w:ilvl="1" w:tplc="CA70CAE2">
      <w:start w:val="1"/>
      <w:numFmt w:val="bullet"/>
      <w:lvlText w:val="o"/>
      <w:lvlJc w:val="left"/>
      <w:pPr>
        <w:tabs>
          <w:tab w:val="num" w:pos="1440"/>
        </w:tabs>
        <w:ind w:left="1440" w:hanging="360"/>
      </w:pPr>
      <w:rPr>
        <w:rFonts w:ascii="Courier New" w:hAnsi="Courier New" w:cs="Courier New" w:hint="default"/>
      </w:rPr>
    </w:lvl>
    <w:lvl w:ilvl="2" w:tplc="DCDED4AE" w:tentative="1">
      <w:start w:val="1"/>
      <w:numFmt w:val="bullet"/>
      <w:lvlText w:val=""/>
      <w:lvlJc w:val="left"/>
      <w:pPr>
        <w:tabs>
          <w:tab w:val="num" w:pos="2160"/>
        </w:tabs>
        <w:ind w:left="2160" w:hanging="360"/>
      </w:pPr>
      <w:rPr>
        <w:rFonts w:ascii="Wingdings" w:hAnsi="Wingdings" w:hint="default"/>
      </w:rPr>
    </w:lvl>
    <w:lvl w:ilvl="3" w:tplc="9D2AE74A" w:tentative="1">
      <w:start w:val="1"/>
      <w:numFmt w:val="bullet"/>
      <w:lvlText w:val=""/>
      <w:lvlJc w:val="left"/>
      <w:pPr>
        <w:tabs>
          <w:tab w:val="num" w:pos="2880"/>
        </w:tabs>
        <w:ind w:left="2880" w:hanging="360"/>
      </w:pPr>
      <w:rPr>
        <w:rFonts w:ascii="Symbol" w:hAnsi="Symbol" w:hint="default"/>
      </w:rPr>
    </w:lvl>
    <w:lvl w:ilvl="4" w:tplc="8E3AA9EE" w:tentative="1">
      <w:start w:val="1"/>
      <w:numFmt w:val="bullet"/>
      <w:lvlText w:val="o"/>
      <w:lvlJc w:val="left"/>
      <w:pPr>
        <w:tabs>
          <w:tab w:val="num" w:pos="3600"/>
        </w:tabs>
        <w:ind w:left="3600" w:hanging="360"/>
      </w:pPr>
      <w:rPr>
        <w:rFonts w:ascii="Courier New" w:hAnsi="Courier New" w:cs="Courier New" w:hint="default"/>
      </w:rPr>
    </w:lvl>
    <w:lvl w:ilvl="5" w:tplc="997C9982" w:tentative="1">
      <w:start w:val="1"/>
      <w:numFmt w:val="bullet"/>
      <w:lvlText w:val=""/>
      <w:lvlJc w:val="left"/>
      <w:pPr>
        <w:tabs>
          <w:tab w:val="num" w:pos="4320"/>
        </w:tabs>
        <w:ind w:left="4320" w:hanging="360"/>
      </w:pPr>
      <w:rPr>
        <w:rFonts w:ascii="Wingdings" w:hAnsi="Wingdings" w:hint="default"/>
      </w:rPr>
    </w:lvl>
    <w:lvl w:ilvl="6" w:tplc="BDAC25BC" w:tentative="1">
      <w:start w:val="1"/>
      <w:numFmt w:val="bullet"/>
      <w:lvlText w:val=""/>
      <w:lvlJc w:val="left"/>
      <w:pPr>
        <w:tabs>
          <w:tab w:val="num" w:pos="5040"/>
        </w:tabs>
        <w:ind w:left="5040" w:hanging="360"/>
      </w:pPr>
      <w:rPr>
        <w:rFonts w:ascii="Symbol" w:hAnsi="Symbol" w:hint="default"/>
      </w:rPr>
    </w:lvl>
    <w:lvl w:ilvl="7" w:tplc="23FE4DD2" w:tentative="1">
      <w:start w:val="1"/>
      <w:numFmt w:val="bullet"/>
      <w:lvlText w:val="o"/>
      <w:lvlJc w:val="left"/>
      <w:pPr>
        <w:tabs>
          <w:tab w:val="num" w:pos="5760"/>
        </w:tabs>
        <w:ind w:left="5760" w:hanging="360"/>
      </w:pPr>
      <w:rPr>
        <w:rFonts w:ascii="Courier New" w:hAnsi="Courier New" w:cs="Courier New" w:hint="default"/>
      </w:rPr>
    </w:lvl>
    <w:lvl w:ilvl="8" w:tplc="E59052E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9D8769A"/>
    <w:multiLevelType w:val="hybridMultilevel"/>
    <w:tmpl w:val="CB5650E4"/>
    <w:lvl w:ilvl="0" w:tplc="5B1EE646">
      <w:start w:val="1"/>
      <w:numFmt w:val="decimal"/>
      <w:lvlText w:val="%1."/>
      <w:lvlJc w:val="left"/>
      <w:pPr>
        <w:ind w:left="1494" w:hanging="36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7" w15:restartNumberingAfterBreak="0">
    <w:nsid w:val="5BB90CBA"/>
    <w:multiLevelType w:val="hybridMultilevel"/>
    <w:tmpl w:val="D9ECC81E"/>
    <w:lvl w:ilvl="0" w:tplc="B418A588">
      <w:start w:val="4"/>
      <w:numFmt w:val="bullet"/>
      <w:lvlText w:val="-"/>
      <w:lvlJc w:val="left"/>
      <w:pPr>
        <w:ind w:left="2509" w:hanging="360"/>
      </w:pPr>
      <w:rPr>
        <w:rFonts w:ascii="Calibri" w:eastAsia="Times New Roman" w:hAnsi="Calibri" w:cs="Times New Roman" w:hint="default"/>
      </w:rPr>
    </w:lvl>
    <w:lvl w:ilvl="1" w:tplc="0C090003" w:tentative="1">
      <w:start w:val="1"/>
      <w:numFmt w:val="bullet"/>
      <w:lvlText w:val="o"/>
      <w:lvlJc w:val="left"/>
      <w:pPr>
        <w:ind w:left="3229" w:hanging="360"/>
      </w:pPr>
      <w:rPr>
        <w:rFonts w:ascii="Courier New" w:hAnsi="Courier New" w:cs="Courier New" w:hint="default"/>
      </w:rPr>
    </w:lvl>
    <w:lvl w:ilvl="2" w:tplc="0C090005" w:tentative="1">
      <w:start w:val="1"/>
      <w:numFmt w:val="bullet"/>
      <w:lvlText w:val=""/>
      <w:lvlJc w:val="left"/>
      <w:pPr>
        <w:ind w:left="3949" w:hanging="360"/>
      </w:pPr>
      <w:rPr>
        <w:rFonts w:ascii="Wingdings" w:hAnsi="Wingdings" w:hint="default"/>
      </w:rPr>
    </w:lvl>
    <w:lvl w:ilvl="3" w:tplc="0C090001" w:tentative="1">
      <w:start w:val="1"/>
      <w:numFmt w:val="bullet"/>
      <w:lvlText w:val=""/>
      <w:lvlJc w:val="left"/>
      <w:pPr>
        <w:ind w:left="4669" w:hanging="360"/>
      </w:pPr>
      <w:rPr>
        <w:rFonts w:ascii="Symbol" w:hAnsi="Symbol" w:hint="default"/>
      </w:rPr>
    </w:lvl>
    <w:lvl w:ilvl="4" w:tplc="0C090003" w:tentative="1">
      <w:start w:val="1"/>
      <w:numFmt w:val="bullet"/>
      <w:lvlText w:val="o"/>
      <w:lvlJc w:val="left"/>
      <w:pPr>
        <w:ind w:left="5389" w:hanging="360"/>
      </w:pPr>
      <w:rPr>
        <w:rFonts w:ascii="Courier New" w:hAnsi="Courier New" w:cs="Courier New" w:hint="default"/>
      </w:rPr>
    </w:lvl>
    <w:lvl w:ilvl="5" w:tplc="0C090005" w:tentative="1">
      <w:start w:val="1"/>
      <w:numFmt w:val="bullet"/>
      <w:lvlText w:val=""/>
      <w:lvlJc w:val="left"/>
      <w:pPr>
        <w:ind w:left="6109" w:hanging="360"/>
      </w:pPr>
      <w:rPr>
        <w:rFonts w:ascii="Wingdings" w:hAnsi="Wingdings" w:hint="default"/>
      </w:rPr>
    </w:lvl>
    <w:lvl w:ilvl="6" w:tplc="0C090001" w:tentative="1">
      <w:start w:val="1"/>
      <w:numFmt w:val="bullet"/>
      <w:lvlText w:val=""/>
      <w:lvlJc w:val="left"/>
      <w:pPr>
        <w:ind w:left="6829" w:hanging="360"/>
      </w:pPr>
      <w:rPr>
        <w:rFonts w:ascii="Symbol" w:hAnsi="Symbol" w:hint="default"/>
      </w:rPr>
    </w:lvl>
    <w:lvl w:ilvl="7" w:tplc="0C090003" w:tentative="1">
      <w:start w:val="1"/>
      <w:numFmt w:val="bullet"/>
      <w:lvlText w:val="o"/>
      <w:lvlJc w:val="left"/>
      <w:pPr>
        <w:ind w:left="7549" w:hanging="360"/>
      </w:pPr>
      <w:rPr>
        <w:rFonts w:ascii="Courier New" w:hAnsi="Courier New" w:cs="Courier New" w:hint="default"/>
      </w:rPr>
    </w:lvl>
    <w:lvl w:ilvl="8" w:tplc="0C090005" w:tentative="1">
      <w:start w:val="1"/>
      <w:numFmt w:val="bullet"/>
      <w:lvlText w:val=""/>
      <w:lvlJc w:val="left"/>
      <w:pPr>
        <w:ind w:left="8269" w:hanging="360"/>
      </w:pPr>
      <w:rPr>
        <w:rFonts w:ascii="Wingdings" w:hAnsi="Wingdings" w:hint="default"/>
      </w:rPr>
    </w:lvl>
  </w:abstractNum>
  <w:abstractNum w:abstractNumId="18" w15:restartNumberingAfterBreak="0">
    <w:nsid w:val="5FDB1FBE"/>
    <w:multiLevelType w:val="hybridMultilevel"/>
    <w:tmpl w:val="3A84486C"/>
    <w:lvl w:ilvl="0" w:tplc="8DF2DE9A">
      <w:start w:val="1"/>
      <w:numFmt w:val="lowerLetter"/>
      <w:lvlText w:val="%1."/>
      <w:lvlJc w:val="left"/>
      <w:pPr>
        <w:ind w:left="1211" w:hanging="360"/>
      </w:pPr>
      <w:rPr>
        <w:rFonts w:hint="default"/>
      </w:rPr>
    </w:lvl>
    <w:lvl w:ilvl="1" w:tplc="0C090019" w:tentative="1">
      <w:start w:val="1"/>
      <w:numFmt w:val="lowerLetter"/>
      <w:lvlText w:val="%2."/>
      <w:lvlJc w:val="left"/>
      <w:pPr>
        <w:ind w:left="1931" w:hanging="360"/>
      </w:pPr>
    </w:lvl>
    <w:lvl w:ilvl="2" w:tplc="0C09001B" w:tentative="1">
      <w:start w:val="1"/>
      <w:numFmt w:val="lowerRoman"/>
      <w:lvlText w:val="%3."/>
      <w:lvlJc w:val="right"/>
      <w:pPr>
        <w:ind w:left="2651" w:hanging="180"/>
      </w:pPr>
    </w:lvl>
    <w:lvl w:ilvl="3" w:tplc="0C09000F" w:tentative="1">
      <w:start w:val="1"/>
      <w:numFmt w:val="decimal"/>
      <w:lvlText w:val="%4."/>
      <w:lvlJc w:val="left"/>
      <w:pPr>
        <w:ind w:left="3371" w:hanging="360"/>
      </w:pPr>
    </w:lvl>
    <w:lvl w:ilvl="4" w:tplc="0C090019" w:tentative="1">
      <w:start w:val="1"/>
      <w:numFmt w:val="lowerLetter"/>
      <w:lvlText w:val="%5."/>
      <w:lvlJc w:val="left"/>
      <w:pPr>
        <w:ind w:left="4091" w:hanging="360"/>
      </w:pPr>
    </w:lvl>
    <w:lvl w:ilvl="5" w:tplc="0C09001B" w:tentative="1">
      <w:start w:val="1"/>
      <w:numFmt w:val="lowerRoman"/>
      <w:lvlText w:val="%6."/>
      <w:lvlJc w:val="right"/>
      <w:pPr>
        <w:ind w:left="4811" w:hanging="180"/>
      </w:pPr>
    </w:lvl>
    <w:lvl w:ilvl="6" w:tplc="0C09000F" w:tentative="1">
      <w:start w:val="1"/>
      <w:numFmt w:val="decimal"/>
      <w:lvlText w:val="%7."/>
      <w:lvlJc w:val="left"/>
      <w:pPr>
        <w:ind w:left="5531" w:hanging="360"/>
      </w:pPr>
    </w:lvl>
    <w:lvl w:ilvl="7" w:tplc="0C090019" w:tentative="1">
      <w:start w:val="1"/>
      <w:numFmt w:val="lowerLetter"/>
      <w:lvlText w:val="%8."/>
      <w:lvlJc w:val="left"/>
      <w:pPr>
        <w:ind w:left="6251" w:hanging="360"/>
      </w:pPr>
    </w:lvl>
    <w:lvl w:ilvl="8" w:tplc="0C09001B" w:tentative="1">
      <w:start w:val="1"/>
      <w:numFmt w:val="lowerRoman"/>
      <w:lvlText w:val="%9."/>
      <w:lvlJc w:val="right"/>
      <w:pPr>
        <w:ind w:left="6971" w:hanging="180"/>
      </w:pPr>
    </w:lvl>
  </w:abstractNum>
  <w:abstractNum w:abstractNumId="19" w15:restartNumberingAfterBreak="0">
    <w:nsid w:val="64236D2C"/>
    <w:multiLevelType w:val="hybridMultilevel"/>
    <w:tmpl w:val="323686C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 w15:restartNumberingAfterBreak="0">
    <w:nsid w:val="64902959"/>
    <w:multiLevelType w:val="hybridMultilevel"/>
    <w:tmpl w:val="323686C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1" w15:restartNumberingAfterBreak="0">
    <w:nsid w:val="67E75F0F"/>
    <w:multiLevelType w:val="hybridMultilevel"/>
    <w:tmpl w:val="54A810C0"/>
    <w:lvl w:ilvl="0" w:tplc="9898659A">
      <w:start w:val="1"/>
      <w:numFmt w:val="bullet"/>
      <w:pStyle w:val="Bullet1"/>
      <w:lvlText w:val=""/>
      <w:lvlJc w:val="left"/>
      <w:pPr>
        <w:tabs>
          <w:tab w:val="num" w:pos="340"/>
        </w:tabs>
        <w:ind w:left="340" w:hanging="34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BF71EA1"/>
    <w:multiLevelType w:val="hybridMultilevel"/>
    <w:tmpl w:val="9D7878DC"/>
    <w:lvl w:ilvl="0" w:tplc="0C090001">
      <w:start w:val="1"/>
      <w:numFmt w:val="bullet"/>
      <w:lvlText w:val=""/>
      <w:lvlJc w:val="left"/>
      <w:pPr>
        <w:ind w:left="2149" w:hanging="360"/>
      </w:pPr>
      <w:rPr>
        <w:rFonts w:ascii="Symbol" w:hAnsi="Symbol" w:hint="default"/>
      </w:rPr>
    </w:lvl>
    <w:lvl w:ilvl="1" w:tplc="0C090003">
      <w:start w:val="1"/>
      <w:numFmt w:val="bullet"/>
      <w:lvlText w:val="o"/>
      <w:lvlJc w:val="left"/>
      <w:pPr>
        <w:ind w:left="2869" w:hanging="360"/>
      </w:pPr>
      <w:rPr>
        <w:rFonts w:ascii="Courier New" w:hAnsi="Courier New" w:cs="Courier New" w:hint="default"/>
      </w:rPr>
    </w:lvl>
    <w:lvl w:ilvl="2" w:tplc="0C090005" w:tentative="1">
      <w:start w:val="1"/>
      <w:numFmt w:val="bullet"/>
      <w:lvlText w:val=""/>
      <w:lvlJc w:val="left"/>
      <w:pPr>
        <w:ind w:left="3589" w:hanging="360"/>
      </w:pPr>
      <w:rPr>
        <w:rFonts w:ascii="Wingdings" w:hAnsi="Wingdings" w:hint="default"/>
      </w:rPr>
    </w:lvl>
    <w:lvl w:ilvl="3" w:tplc="0C090001" w:tentative="1">
      <w:start w:val="1"/>
      <w:numFmt w:val="bullet"/>
      <w:lvlText w:val=""/>
      <w:lvlJc w:val="left"/>
      <w:pPr>
        <w:ind w:left="4309" w:hanging="360"/>
      </w:pPr>
      <w:rPr>
        <w:rFonts w:ascii="Symbol" w:hAnsi="Symbol" w:hint="default"/>
      </w:rPr>
    </w:lvl>
    <w:lvl w:ilvl="4" w:tplc="0C090003" w:tentative="1">
      <w:start w:val="1"/>
      <w:numFmt w:val="bullet"/>
      <w:lvlText w:val="o"/>
      <w:lvlJc w:val="left"/>
      <w:pPr>
        <w:ind w:left="5029" w:hanging="360"/>
      </w:pPr>
      <w:rPr>
        <w:rFonts w:ascii="Courier New" w:hAnsi="Courier New" w:cs="Courier New" w:hint="default"/>
      </w:rPr>
    </w:lvl>
    <w:lvl w:ilvl="5" w:tplc="0C090005" w:tentative="1">
      <w:start w:val="1"/>
      <w:numFmt w:val="bullet"/>
      <w:lvlText w:val=""/>
      <w:lvlJc w:val="left"/>
      <w:pPr>
        <w:ind w:left="5749" w:hanging="360"/>
      </w:pPr>
      <w:rPr>
        <w:rFonts w:ascii="Wingdings" w:hAnsi="Wingdings" w:hint="default"/>
      </w:rPr>
    </w:lvl>
    <w:lvl w:ilvl="6" w:tplc="0C090001" w:tentative="1">
      <w:start w:val="1"/>
      <w:numFmt w:val="bullet"/>
      <w:lvlText w:val=""/>
      <w:lvlJc w:val="left"/>
      <w:pPr>
        <w:ind w:left="6469" w:hanging="360"/>
      </w:pPr>
      <w:rPr>
        <w:rFonts w:ascii="Symbol" w:hAnsi="Symbol" w:hint="default"/>
      </w:rPr>
    </w:lvl>
    <w:lvl w:ilvl="7" w:tplc="0C090003" w:tentative="1">
      <w:start w:val="1"/>
      <w:numFmt w:val="bullet"/>
      <w:lvlText w:val="o"/>
      <w:lvlJc w:val="left"/>
      <w:pPr>
        <w:ind w:left="7189" w:hanging="360"/>
      </w:pPr>
      <w:rPr>
        <w:rFonts w:ascii="Courier New" w:hAnsi="Courier New" w:cs="Courier New" w:hint="default"/>
      </w:rPr>
    </w:lvl>
    <w:lvl w:ilvl="8" w:tplc="0C090005" w:tentative="1">
      <w:start w:val="1"/>
      <w:numFmt w:val="bullet"/>
      <w:lvlText w:val=""/>
      <w:lvlJc w:val="left"/>
      <w:pPr>
        <w:ind w:left="7909" w:hanging="360"/>
      </w:pPr>
      <w:rPr>
        <w:rFonts w:ascii="Wingdings" w:hAnsi="Wingdings" w:hint="default"/>
      </w:rPr>
    </w:lvl>
  </w:abstractNum>
  <w:abstractNum w:abstractNumId="23" w15:restartNumberingAfterBreak="0">
    <w:nsid w:val="6C485ABC"/>
    <w:multiLevelType w:val="multilevel"/>
    <w:tmpl w:val="F4D41A9C"/>
    <w:lvl w:ilvl="0">
      <w:start w:val="1"/>
      <w:numFmt w:val="bullet"/>
      <w:lvlText w:val=""/>
      <w:lvlJc w:val="left"/>
      <w:pPr>
        <w:tabs>
          <w:tab w:val="num" w:pos="851"/>
        </w:tabs>
        <w:ind w:left="851" w:hanging="284"/>
      </w:pPr>
      <w:rPr>
        <w:rFonts w:ascii="Symbol" w:hAnsi="Symbol" w:hint="default"/>
      </w:rPr>
    </w:lvl>
    <w:lvl w:ilvl="1">
      <w:start w:val="1"/>
      <w:numFmt w:val="bullet"/>
      <w:lvlText w:val="-"/>
      <w:lvlJc w:val="left"/>
      <w:pPr>
        <w:tabs>
          <w:tab w:val="num" w:pos="1080"/>
        </w:tabs>
        <w:ind w:left="1080" w:hanging="360"/>
      </w:pPr>
      <w:rPr>
        <w:rFonts w:ascii="Calibri" w:hAnsi="Calibri"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7DFD19B6"/>
    <w:multiLevelType w:val="multilevel"/>
    <w:tmpl w:val="ED348AAC"/>
    <w:lvl w:ilvl="0">
      <w:start w:val="1"/>
      <w:numFmt w:val="decimal"/>
      <w:pStyle w:val="Heading1"/>
      <w:lvlText w:val="%1"/>
      <w:lvlJc w:val="left"/>
      <w:pPr>
        <w:tabs>
          <w:tab w:val="num" w:pos="2007"/>
        </w:tabs>
        <w:ind w:left="1418" w:hanging="851"/>
      </w:pPr>
      <w:rPr>
        <w:rFonts w:cs="Times New Roman"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1724"/>
        </w:tabs>
        <w:ind w:left="1135" w:hanging="851"/>
      </w:pPr>
      <w:rPr>
        <w:rFonts w:hint="default"/>
        <w:bCs w:val="0"/>
        <w:i w:val="0"/>
        <w:iCs w:val="0"/>
        <w:caps w:val="0"/>
        <w:smallCaps w:val="0"/>
        <w:strike w:val="0"/>
        <w:dstrike w:val="0"/>
        <w:vanish w:val="0"/>
        <w:color w:val="000000"/>
        <w:spacing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1440"/>
        </w:tabs>
        <w:ind w:left="851" w:hanging="851"/>
      </w:pPr>
      <w:rPr>
        <w:rFonts w:hint="default"/>
        <w:b/>
        <w:i w:val="0"/>
        <w:caps w:val="0"/>
        <w:strike w:val="0"/>
        <w:dstrike w:val="0"/>
        <w:vanish w:val="0"/>
        <w:color w:val="000000"/>
        <w:sz w:val="26"/>
        <w:szCs w:val="26"/>
        <w:u w:val="none"/>
        <w:effec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lowerRoman"/>
      <w:pStyle w:val="Heading4"/>
      <w:lvlText w:val="(%4)"/>
      <w:lvlJc w:val="left"/>
      <w:pPr>
        <w:ind w:left="851" w:hanging="851"/>
      </w:pPr>
      <w:rPr>
        <w:rFonts w:hint="default"/>
      </w:rPr>
    </w:lvl>
    <w:lvl w:ilvl="4">
      <w:start w:val="1"/>
      <w:numFmt w:val="none"/>
      <w:lvlRestart w:val="0"/>
      <w:lvlText w:val=""/>
      <w:lvlJc w:val="left"/>
      <w:pPr>
        <w:ind w:left="851" w:hanging="851"/>
      </w:pPr>
      <w:rPr>
        <w:rFonts w:hint="default"/>
      </w:rPr>
    </w:lvl>
    <w:lvl w:ilvl="5">
      <w:start w:val="1"/>
      <w:numFmt w:val="decimal"/>
      <w:isLgl/>
      <w:lvlText w:val="%1.%2.%3.%4.%5.%6"/>
      <w:lvlJc w:val="left"/>
      <w:pPr>
        <w:tabs>
          <w:tab w:val="num" w:pos="1440"/>
        </w:tabs>
        <w:ind w:left="851" w:hanging="851"/>
      </w:pPr>
      <w:rPr>
        <w:rFonts w:hint="default"/>
      </w:rPr>
    </w:lvl>
    <w:lvl w:ilvl="6">
      <w:start w:val="1"/>
      <w:numFmt w:val="decimal"/>
      <w:isLgl/>
      <w:lvlText w:val="%1.%2.%3.%4.%5.%6.%7"/>
      <w:lvlJc w:val="left"/>
      <w:pPr>
        <w:tabs>
          <w:tab w:val="num" w:pos="1440"/>
        </w:tabs>
        <w:ind w:left="851" w:hanging="851"/>
      </w:pPr>
      <w:rPr>
        <w:rFonts w:hint="default"/>
      </w:rPr>
    </w:lvl>
    <w:lvl w:ilvl="7">
      <w:start w:val="1"/>
      <w:numFmt w:val="decimal"/>
      <w:isLgl/>
      <w:lvlText w:val="%1.%2.%3.%4.%5.%6.%7.%8"/>
      <w:lvlJc w:val="left"/>
      <w:pPr>
        <w:tabs>
          <w:tab w:val="num" w:pos="1440"/>
        </w:tabs>
        <w:ind w:left="851" w:hanging="851"/>
      </w:pPr>
      <w:rPr>
        <w:rFonts w:hint="default"/>
      </w:rPr>
    </w:lvl>
    <w:lvl w:ilvl="8">
      <w:start w:val="1"/>
      <w:numFmt w:val="decimal"/>
      <w:isLgl/>
      <w:lvlText w:val="%1.%2.%3.%4.%5.%6.%7.%8.%9"/>
      <w:lvlJc w:val="left"/>
      <w:pPr>
        <w:tabs>
          <w:tab w:val="num" w:pos="1440"/>
        </w:tabs>
        <w:ind w:left="851" w:hanging="851"/>
      </w:pPr>
      <w:rPr>
        <w:rFonts w:hint="default"/>
      </w:rPr>
    </w:lvl>
  </w:abstractNum>
  <w:num w:numId="1">
    <w:abstractNumId w:val="6"/>
  </w:num>
  <w:num w:numId="2">
    <w:abstractNumId w:val="15"/>
  </w:num>
  <w:num w:numId="3">
    <w:abstractNumId w:val="1"/>
  </w:num>
  <w:num w:numId="4">
    <w:abstractNumId w:val="24"/>
  </w:num>
  <w:num w:numId="5">
    <w:abstractNumId w:val="12"/>
  </w:num>
  <w:num w:numId="6">
    <w:abstractNumId w:val="7"/>
  </w:num>
  <w:num w:numId="7">
    <w:abstractNumId w:val="0"/>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16"/>
  </w:num>
  <w:num w:numId="11">
    <w:abstractNumId w:val="22"/>
  </w:num>
  <w:num w:numId="12">
    <w:abstractNumId w:val="17"/>
  </w:num>
  <w:num w:numId="13">
    <w:abstractNumId w:val="23"/>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num>
  <w:num w:numId="15">
    <w:abstractNumId w:val="8"/>
  </w:num>
  <w:num w:numId="16">
    <w:abstractNumId w:val="11"/>
  </w:num>
  <w:num w:numId="17">
    <w:abstractNumId w:val="18"/>
  </w:num>
  <w:num w:numId="18">
    <w:abstractNumId w:val="2"/>
  </w:num>
  <w:num w:numId="19">
    <w:abstractNumId w:val="3"/>
  </w:num>
  <w:num w:numId="20">
    <w:abstractNumId w:val="21"/>
  </w:num>
  <w:num w:numId="21">
    <w:abstractNumId w:val="4"/>
  </w:num>
  <w:num w:numId="22">
    <w:abstractNumId w:val="5"/>
  </w:num>
  <w:num w:numId="23">
    <w:abstractNumId w:val="9"/>
  </w:num>
  <w:num w:numId="24">
    <w:abstractNumId w:val="19"/>
  </w:num>
  <w:num w:numId="25">
    <w:abstractNumId w:val="10"/>
  </w:num>
  <w:num w:numId="26">
    <w:abstractNumId w:val="2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30"/>
  <w:removePersonalInformation/>
  <w:removeDateAndTime/>
  <w:hideSpellingErrors/>
  <w:hideGrammaticalErrors/>
  <w:activeWritingStyle w:appName="MSWord" w:lang="en-AU" w:vendorID="64" w:dllVersion="6" w:nlCheck="1" w:checkStyle="0"/>
  <w:activeWritingStyle w:appName="MSWord" w:lang="en-US" w:vendorID="64" w:dllVersion="6"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rawingGridHorizontalSpacing w:val="120"/>
  <w:displayHorizontalDrawingGridEvery w:val="0"/>
  <w:displayVerticalDrawingGridEvery w:val="0"/>
  <w:noPunctuationKerning/>
  <w:characterSpacingControl w:val="doNotCompress"/>
  <w:hdrShapeDefaults>
    <o:shapedefaults v:ext="edit" spidmax="716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5A03"/>
    <w:rsid w:val="00002386"/>
    <w:rsid w:val="00004430"/>
    <w:rsid w:val="00005205"/>
    <w:rsid w:val="0000525E"/>
    <w:rsid w:val="000063DE"/>
    <w:rsid w:val="00006D3B"/>
    <w:rsid w:val="00007C27"/>
    <w:rsid w:val="00007F7A"/>
    <w:rsid w:val="00011BCC"/>
    <w:rsid w:val="000124BB"/>
    <w:rsid w:val="0001273D"/>
    <w:rsid w:val="00013119"/>
    <w:rsid w:val="00013A1C"/>
    <w:rsid w:val="00014116"/>
    <w:rsid w:val="00020B0B"/>
    <w:rsid w:val="00020D23"/>
    <w:rsid w:val="00021489"/>
    <w:rsid w:val="00022E29"/>
    <w:rsid w:val="0002344F"/>
    <w:rsid w:val="0002345A"/>
    <w:rsid w:val="000245C0"/>
    <w:rsid w:val="00025134"/>
    <w:rsid w:val="000263AF"/>
    <w:rsid w:val="00027336"/>
    <w:rsid w:val="0003091F"/>
    <w:rsid w:val="00030C93"/>
    <w:rsid w:val="00032967"/>
    <w:rsid w:val="000336D9"/>
    <w:rsid w:val="00041877"/>
    <w:rsid w:val="00041A8E"/>
    <w:rsid w:val="00042451"/>
    <w:rsid w:val="00042B0B"/>
    <w:rsid w:val="000438D8"/>
    <w:rsid w:val="00043C59"/>
    <w:rsid w:val="00045036"/>
    <w:rsid w:val="000455FF"/>
    <w:rsid w:val="0004597D"/>
    <w:rsid w:val="000472D4"/>
    <w:rsid w:val="000507EF"/>
    <w:rsid w:val="00050BC6"/>
    <w:rsid w:val="000513D7"/>
    <w:rsid w:val="00051415"/>
    <w:rsid w:val="000539A1"/>
    <w:rsid w:val="000559BA"/>
    <w:rsid w:val="00057781"/>
    <w:rsid w:val="00063E05"/>
    <w:rsid w:val="00064C55"/>
    <w:rsid w:val="000654A5"/>
    <w:rsid w:val="00066A12"/>
    <w:rsid w:val="00067A1E"/>
    <w:rsid w:val="00070412"/>
    <w:rsid w:val="00071D5D"/>
    <w:rsid w:val="0007233A"/>
    <w:rsid w:val="000723EB"/>
    <w:rsid w:val="00072BE2"/>
    <w:rsid w:val="00074D55"/>
    <w:rsid w:val="00076FA6"/>
    <w:rsid w:val="00080D3F"/>
    <w:rsid w:val="000810A2"/>
    <w:rsid w:val="000825EE"/>
    <w:rsid w:val="000832BB"/>
    <w:rsid w:val="00083962"/>
    <w:rsid w:val="0008561C"/>
    <w:rsid w:val="00087370"/>
    <w:rsid w:val="00087495"/>
    <w:rsid w:val="000877AB"/>
    <w:rsid w:val="00087F5D"/>
    <w:rsid w:val="00087F61"/>
    <w:rsid w:val="000907E6"/>
    <w:rsid w:val="00092280"/>
    <w:rsid w:val="00094349"/>
    <w:rsid w:val="000947CB"/>
    <w:rsid w:val="00094AA5"/>
    <w:rsid w:val="00094C4B"/>
    <w:rsid w:val="000A2667"/>
    <w:rsid w:val="000A2EC1"/>
    <w:rsid w:val="000A379A"/>
    <w:rsid w:val="000A4033"/>
    <w:rsid w:val="000A449D"/>
    <w:rsid w:val="000A5990"/>
    <w:rsid w:val="000A6F04"/>
    <w:rsid w:val="000A6F58"/>
    <w:rsid w:val="000A72CD"/>
    <w:rsid w:val="000A7A6D"/>
    <w:rsid w:val="000B0B45"/>
    <w:rsid w:val="000B2F54"/>
    <w:rsid w:val="000B2FBD"/>
    <w:rsid w:val="000B40EE"/>
    <w:rsid w:val="000B5766"/>
    <w:rsid w:val="000C06D6"/>
    <w:rsid w:val="000C281B"/>
    <w:rsid w:val="000C5DD2"/>
    <w:rsid w:val="000C60A8"/>
    <w:rsid w:val="000C7F97"/>
    <w:rsid w:val="000D119D"/>
    <w:rsid w:val="000D6B6C"/>
    <w:rsid w:val="000D7853"/>
    <w:rsid w:val="000E0848"/>
    <w:rsid w:val="000E1FB1"/>
    <w:rsid w:val="000E2082"/>
    <w:rsid w:val="000E2353"/>
    <w:rsid w:val="000E2B2A"/>
    <w:rsid w:val="000E4530"/>
    <w:rsid w:val="000E6D34"/>
    <w:rsid w:val="000E7757"/>
    <w:rsid w:val="000F2F46"/>
    <w:rsid w:val="000F348F"/>
    <w:rsid w:val="000F3A79"/>
    <w:rsid w:val="000F4511"/>
    <w:rsid w:val="000F4ED9"/>
    <w:rsid w:val="000F5B3F"/>
    <w:rsid w:val="000F78DD"/>
    <w:rsid w:val="00100178"/>
    <w:rsid w:val="001030F0"/>
    <w:rsid w:val="001042A1"/>
    <w:rsid w:val="001060CC"/>
    <w:rsid w:val="0010689D"/>
    <w:rsid w:val="00106BE5"/>
    <w:rsid w:val="001074C9"/>
    <w:rsid w:val="00107A7F"/>
    <w:rsid w:val="00110EA0"/>
    <w:rsid w:val="0011294F"/>
    <w:rsid w:val="00113CA0"/>
    <w:rsid w:val="001149B4"/>
    <w:rsid w:val="00117F31"/>
    <w:rsid w:val="001210EB"/>
    <w:rsid w:val="00122750"/>
    <w:rsid w:val="00123570"/>
    <w:rsid w:val="00124F29"/>
    <w:rsid w:val="001251B9"/>
    <w:rsid w:val="00125287"/>
    <w:rsid w:val="00125537"/>
    <w:rsid w:val="00126224"/>
    <w:rsid w:val="001263A8"/>
    <w:rsid w:val="00126AA9"/>
    <w:rsid w:val="00126E8D"/>
    <w:rsid w:val="00127AD8"/>
    <w:rsid w:val="00127BD5"/>
    <w:rsid w:val="00132ACA"/>
    <w:rsid w:val="0013315D"/>
    <w:rsid w:val="00133209"/>
    <w:rsid w:val="0013526F"/>
    <w:rsid w:val="001369A3"/>
    <w:rsid w:val="00136C59"/>
    <w:rsid w:val="0014001C"/>
    <w:rsid w:val="0014005B"/>
    <w:rsid w:val="001427A8"/>
    <w:rsid w:val="001428B0"/>
    <w:rsid w:val="00145D23"/>
    <w:rsid w:val="001507E2"/>
    <w:rsid w:val="0015128B"/>
    <w:rsid w:val="00152971"/>
    <w:rsid w:val="001531DE"/>
    <w:rsid w:val="00154B75"/>
    <w:rsid w:val="00155B1F"/>
    <w:rsid w:val="00155CE3"/>
    <w:rsid w:val="00160125"/>
    <w:rsid w:val="001601F7"/>
    <w:rsid w:val="00160515"/>
    <w:rsid w:val="00160551"/>
    <w:rsid w:val="00160C51"/>
    <w:rsid w:val="00160C74"/>
    <w:rsid w:val="00161D6D"/>
    <w:rsid w:val="00161D97"/>
    <w:rsid w:val="00162307"/>
    <w:rsid w:val="00162C28"/>
    <w:rsid w:val="001643B7"/>
    <w:rsid w:val="0016463B"/>
    <w:rsid w:val="001646D0"/>
    <w:rsid w:val="0016536B"/>
    <w:rsid w:val="00165DB1"/>
    <w:rsid w:val="00170637"/>
    <w:rsid w:val="00170966"/>
    <w:rsid w:val="00170C10"/>
    <w:rsid w:val="0017131F"/>
    <w:rsid w:val="001734F7"/>
    <w:rsid w:val="00175493"/>
    <w:rsid w:val="001806EB"/>
    <w:rsid w:val="00180DA1"/>
    <w:rsid w:val="00181298"/>
    <w:rsid w:val="00182C45"/>
    <w:rsid w:val="00183A89"/>
    <w:rsid w:val="00185124"/>
    <w:rsid w:val="00186075"/>
    <w:rsid w:val="0019084C"/>
    <w:rsid w:val="00192607"/>
    <w:rsid w:val="00193CCD"/>
    <w:rsid w:val="00193E0E"/>
    <w:rsid w:val="00194749"/>
    <w:rsid w:val="00195496"/>
    <w:rsid w:val="0019600C"/>
    <w:rsid w:val="001961BF"/>
    <w:rsid w:val="001969B0"/>
    <w:rsid w:val="0019708D"/>
    <w:rsid w:val="0019781A"/>
    <w:rsid w:val="001A1F8C"/>
    <w:rsid w:val="001A255F"/>
    <w:rsid w:val="001A3452"/>
    <w:rsid w:val="001A5029"/>
    <w:rsid w:val="001A5AFF"/>
    <w:rsid w:val="001A639E"/>
    <w:rsid w:val="001A6C1E"/>
    <w:rsid w:val="001B43D3"/>
    <w:rsid w:val="001B44C4"/>
    <w:rsid w:val="001B50BE"/>
    <w:rsid w:val="001B575F"/>
    <w:rsid w:val="001B5C9E"/>
    <w:rsid w:val="001B7F78"/>
    <w:rsid w:val="001C078B"/>
    <w:rsid w:val="001C338F"/>
    <w:rsid w:val="001C449D"/>
    <w:rsid w:val="001C58D4"/>
    <w:rsid w:val="001C77B5"/>
    <w:rsid w:val="001D010C"/>
    <w:rsid w:val="001D01DB"/>
    <w:rsid w:val="001D253C"/>
    <w:rsid w:val="001D342A"/>
    <w:rsid w:val="001D4740"/>
    <w:rsid w:val="001D4F05"/>
    <w:rsid w:val="001E1814"/>
    <w:rsid w:val="001E18FE"/>
    <w:rsid w:val="001E1DAE"/>
    <w:rsid w:val="001E24F2"/>
    <w:rsid w:val="001E2A06"/>
    <w:rsid w:val="001E3A29"/>
    <w:rsid w:val="001E3ED4"/>
    <w:rsid w:val="001E480A"/>
    <w:rsid w:val="001E5610"/>
    <w:rsid w:val="001E5DCF"/>
    <w:rsid w:val="001E6A04"/>
    <w:rsid w:val="001E73BE"/>
    <w:rsid w:val="001E76A0"/>
    <w:rsid w:val="001E7D0E"/>
    <w:rsid w:val="001E7E50"/>
    <w:rsid w:val="001F042A"/>
    <w:rsid w:val="001F102A"/>
    <w:rsid w:val="001F2948"/>
    <w:rsid w:val="001F37AE"/>
    <w:rsid w:val="001F49C8"/>
    <w:rsid w:val="001F4E06"/>
    <w:rsid w:val="001F4FB4"/>
    <w:rsid w:val="001F5F20"/>
    <w:rsid w:val="001F7C60"/>
    <w:rsid w:val="0020081F"/>
    <w:rsid w:val="002016D7"/>
    <w:rsid w:val="002026A8"/>
    <w:rsid w:val="00203C74"/>
    <w:rsid w:val="00203E65"/>
    <w:rsid w:val="002043EA"/>
    <w:rsid w:val="002050F3"/>
    <w:rsid w:val="00205428"/>
    <w:rsid w:val="002057A3"/>
    <w:rsid w:val="00205A2F"/>
    <w:rsid w:val="00210CCA"/>
    <w:rsid w:val="002120E0"/>
    <w:rsid w:val="0021276C"/>
    <w:rsid w:val="0021356D"/>
    <w:rsid w:val="00214017"/>
    <w:rsid w:val="0021418A"/>
    <w:rsid w:val="00216DC9"/>
    <w:rsid w:val="00217AEF"/>
    <w:rsid w:val="002223C6"/>
    <w:rsid w:val="00222978"/>
    <w:rsid w:val="00222A51"/>
    <w:rsid w:val="00223FC9"/>
    <w:rsid w:val="0022534A"/>
    <w:rsid w:val="002265D3"/>
    <w:rsid w:val="00230525"/>
    <w:rsid w:val="00231F6F"/>
    <w:rsid w:val="002328D6"/>
    <w:rsid w:val="00232B63"/>
    <w:rsid w:val="00233351"/>
    <w:rsid w:val="002337D8"/>
    <w:rsid w:val="002348D8"/>
    <w:rsid w:val="00234A34"/>
    <w:rsid w:val="0024359D"/>
    <w:rsid w:val="00245302"/>
    <w:rsid w:val="0024587A"/>
    <w:rsid w:val="00245F42"/>
    <w:rsid w:val="00247D20"/>
    <w:rsid w:val="0025070D"/>
    <w:rsid w:val="00251F3F"/>
    <w:rsid w:val="00252DD5"/>
    <w:rsid w:val="00253F89"/>
    <w:rsid w:val="00254249"/>
    <w:rsid w:val="002563B6"/>
    <w:rsid w:val="002566E0"/>
    <w:rsid w:val="00257E46"/>
    <w:rsid w:val="0026131E"/>
    <w:rsid w:val="00262806"/>
    <w:rsid w:val="00263B06"/>
    <w:rsid w:val="00264C80"/>
    <w:rsid w:val="002659AA"/>
    <w:rsid w:val="00272392"/>
    <w:rsid w:val="00272660"/>
    <w:rsid w:val="00272FD2"/>
    <w:rsid w:val="002764C2"/>
    <w:rsid w:val="00276AA9"/>
    <w:rsid w:val="0027768D"/>
    <w:rsid w:val="002818CC"/>
    <w:rsid w:val="00295873"/>
    <w:rsid w:val="00295C79"/>
    <w:rsid w:val="00296E21"/>
    <w:rsid w:val="002977EB"/>
    <w:rsid w:val="0029799A"/>
    <w:rsid w:val="002A27E4"/>
    <w:rsid w:val="002A2FE9"/>
    <w:rsid w:val="002A3D3B"/>
    <w:rsid w:val="002A3F9E"/>
    <w:rsid w:val="002A4918"/>
    <w:rsid w:val="002A4BE1"/>
    <w:rsid w:val="002A6A07"/>
    <w:rsid w:val="002A71F2"/>
    <w:rsid w:val="002B315A"/>
    <w:rsid w:val="002B3D61"/>
    <w:rsid w:val="002B41A5"/>
    <w:rsid w:val="002B6623"/>
    <w:rsid w:val="002C122E"/>
    <w:rsid w:val="002C21E8"/>
    <w:rsid w:val="002C23B1"/>
    <w:rsid w:val="002C49BF"/>
    <w:rsid w:val="002C4A94"/>
    <w:rsid w:val="002C5E1B"/>
    <w:rsid w:val="002C6060"/>
    <w:rsid w:val="002C797E"/>
    <w:rsid w:val="002D10FF"/>
    <w:rsid w:val="002D2C49"/>
    <w:rsid w:val="002D647C"/>
    <w:rsid w:val="002D7109"/>
    <w:rsid w:val="002E0D88"/>
    <w:rsid w:val="002E1CEE"/>
    <w:rsid w:val="002E4470"/>
    <w:rsid w:val="002E66B6"/>
    <w:rsid w:val="002F0807"/>
    <w:rsid w:val="002F0ACC"/>
    <w:rsid w:val="002F0B81"/>
    <w:rsid w:val="002F0E53"/>
    <w:rsid w:val="002F3EE3"/>
    <w:rsid w:val="002F50EC"/>
    <w:rsid w:val="002F62D7"/>
    <w:rsid w:val="002F63B1"/>
    <w:rsid w:val="002F72AC"/>
    <w:rsid w:val="00300895"/>
    <w:rsid w:val="00301D5A"/>
    <w:rsid w:val="003027D1"/>
    <w:rsid w:val="00302D22"/>
    <w:rsid w:val="003030DE"/>
    <w:rsid w:val="00303FDF"/>
    <w:rsid w:val="00304469"/>
    <w:rsid w:val="00304A6A"/>
    <w:rsid w:val="003058FF"/>
    <w:rsid w:val="00305949"/>
    <w:rsid w:val="00305A1C"/>
    <w:rsid w:val="00306260"/>
    <w:rsid w:val="0030647E"/>
    <w:rsid w:val="00306773"/>
    <w:rsid w:val="00312C08"/>
    <w:rsid w:val="00312E12"/>
    <w:rsid w:val="00312E7B"/>
    <w:rsid w:val="00313ED2"/>
    <w:rsid w:val="00314E42"/>
    <w:rsid w:val="00314F09"/>
    <w:rsid w:val="00315A64"/>
    <w:rsid w:val="0031609C"/>
    <w:rsid w:val="003174D7"/>
    <w:rsid w:val="00320E3C"/>
    <w:rsid w:val="003213E4"/>
    <w:rsid w:val="003222A1"/>
    <w:rsid w:val="00323442"/>
    <w:rsid w:val="00325B83"/>
    <w:rsid w:val="00326AFC"/>
    <w:rsid w:val="00326F6F"/>
    <w:rsid w:val="003274C5"/>
    <w:rsid w:val="00333553"/>
    <w:rsid w:val="00333796"/>
    <w:rsid w:val="003341C7"/>
    <w:rsid w:val="00335C6F"/>
    <w:rsid w:val="00337EA2"/>
    <w:rsid w:val="0034112D"/>
    <w:rsid w:val="00341B5B"/>
    <w:rsid w:val="00344765"/>
    <w:rsid w:val="00345509"/>
    <w:rsid w:val="00346B0A"/>
    <w:rsid w:val="00346D68"/>
    <w:rsid w:val="003503D3"/>
    <w:rsid w:val="00350ED7"/>
    <w:rsid w:val="0035209E"/>
    <w:rsid w:val="0035340E"/>
    <w:rsid w:val="003535CA"/>
    <w:rsid w:val="003540F0"/>
    <w:rsid w:val="003554DB"/>
    <w:rsid w:val="00356F5A"/>
    <w:rsid w:val="00360538"/>
    <w:rsid w:val="0036269B"/>
    <w:rsid w:val="003634D6"/>
    <w:rsid w:val="00363CC3"/>
    <w:rsid w:val="00363FB4"/>
    <w:rsid w:val="00364C79"/>
    <w:rsid w:val="003653BE"/>
    <w:rsid w:val="0036552D"/>
    <w:rsid w:val="00365A57"/>
    <w:rsid w:val="00365D63"/>
    <w:rsid w:val="00366278"/>
    <w:rsid w:val="003670C1"/>
    <w:rsid w:val="00367440"/>
    <w:rsid w:val="0036760E"/>
    <w:rsid w:val="00374E11"/>
    <w:rsid w:val="0037500E"/>
    <w:rsid w:val="00376509"/>
    <w:rsid w:val="003810F9"/>
    <w:rsid w:val="00381822"/>
    <w:rsid w:val="0038339B"/>
    <w:rsid w:val="003844C2"/>
    <w:rsid w:val="00384D3D"/>
    <w:rsid w:val="0038654C"/>
    <w:rsid w:val="00387440"/>
    <w:rsid w:val="00387B7B"/>
    <w:rsid w:val="00387F7C"/>
    <w:rsid w:val="0039034E"/>
    <w:rsid w:val="00392BCD"/>
    <w:rsid w:val="00394E77"/>
    <w:rsid w:val="00395FC6"/>
    <w:rsid w:val="0039656E"/>
    <w:rsid w:val="003A11FD"/>
    <w:rsid w:val="003A2639"/>
    <w:rsid w:val="003A54A8"/>
    <w:rsid w:val="003B113F"/>
    <w:rsid w:val="003B2656"/>
    <w:rsid w:val="003B2F48"/>
    <w:rsid w:val="003B3945"/>
    <w:rsid w:val="003B41F6"/>
    <w:rsid w:val="003B4DFE"/>
    <w:rsid w:val="003B5387"/>
    <w:rsid w:val="003B7FA0"/>
    <w:rsid w:val="003C1E8A"/>
    <w:rsid w:val="003C1FCE"/>
    <w:rsid w:val="003C26C2"/>
    <w:rsid w:val="003C32A8"/>
    <w:rsid w:val="003C3AA9"/>
    <w:rsid w:val="003C4BD3"/>
    <w:rsid w:val="003C5AFE"/>
    <w:rsid w:val="003D1DF8"/>
    <w:rsid w:val="003D1FDD"/>
    <w:rsid w:val="003D314A"/>
    <w:rsid w:val="003D3896"/>
    <w:rsid w:val="003D77D3"/>
    <w:rsid w:val="003E3261"/>
    <w:rsid w:val="003E35DB"/>
    <w:rsid w:val="003E3BDA"/>
    <w:rsid w:val="003E3D33"/>
    <w:rsid w:val="003E4C42"/>
    <w:rsid w:val="003E53DA"/>
    <w:rsid w:val="003E5C27"/>
    <w:rsid w:val="003E6457"/>
    <w:rsid w:val="003E64DC"/>
    <w:rsid w:val="003E6E24"/>
    <w:rsid w:val="003E756D"/>
    <w:rsid w:val="003F01E4"/>
    <w:rsid w:val="003F10AC"/>
    <w:rsid w:val="003F40A4"/>
    <w:rsid w:val="003F4B1C"/>
    <w:rsid w:val="00402EB7"/>
    <w:rsid w:val="004074FF"/>
    <w:rsid w:val="00407C64"/>
    <w:rsid w:val="00407DA9"/>
    <w:rsid w:val="00411136"/>
    <w:rsid w:val="0041343D"/>
    <w:rsid w:val="004141CC"/>
    <w:rsid w:val="00414351"/>
    <w:rsid w:val="00414D18"/>
    <w:rsid w:val="00415A03"/>
    <w:rsid w:val="0041644B"/>
    <w:rsid w:val="00416A3C"/>
    <w:rsid w:val="00416A95"/>
    <w:rsid w:val="00420B8D"/>
    <w:rsid w:val="0042558F"/>
    <w:rsid w:val="0042708B"/>
    <w:rsid w:val="00427DF3"/>
    <w:rsid w:val="00431492"/>
    <w:rsid w:val="00432270"/>
    <w:rsid w:val="004335DE"/>
    <w:rsid w:val="00434DBD"/>
    <w:rsid w:val="004364DB"/>
    <w:rsid w:val="0043760B"/>
    <w:rsid w:val="0043763B"/>
    <w:rsid w:val="00441192"/>
    <w:rsid w:val="004415A2"/>
    <w:rsid w:val="004424FD"/>
    <w:rsid w:val="00442804"/>
    <w:rsid w:val="0044367D"/>
    <w:rsid w:val="004438DD"/>
    <w:rsid w:val="00445060"/>
    <w:rsid w:val="0044614B"/>
    <w:rsid w:val="00447FF4"/>
    <w:rsid w:val="00450690"/>
    <w:rsid w:val="00453430"/>
    <w:rsid w:val="00453C9E"/>
    <w:rsid w:val="00453EB3"/>
    <w:rsid w:val="00454572"/>
    <w:rsid w:val="004548ED"/>
    <w:rsid w:val="004616CE"/>
    <w:rsid w:val="00462061"/>
    <w:rsid w:val="0046475D"/>
    <w:rsid w:val="00464F8D"/>
    <w:rsid w:val="00465059"/>
    <w:rsid w:val="004651ED"/>
    <w:rsid w:val="00466FEA"/>
    <w:rsid w:val="004711F1"/>
    <w:rsid w:val="004721FA"/>
    <w:rsid w:val="004734D8"/>
    <w:rsid w:val="00473925"/>
    <w:rsid w:val="004739EE"/>
    <w:rsid w:val="00475975"/>
    <w:rsid w:val="00475C1E"/>
    <w:rsid w:val="00475FEB"/>
    <w:rsid w:val="00480ADE"/>
    <w:rsid w:val="004831B0"/>
    <w:rsid w:val="00483B0A"/>
    <w:rsid w:val="004867EC"/>
    <w:rsid w:val="00492A43"/>
    <w:rsid w:val="00493ECA"/>
    <w:rsid w:val="0049493E"/>
    <w:rsid w:val="00495E9C"/>
    <w:rsid w:val="004961AE"/>
    <w:rsid w:val="00496947"/>
    <w:rsid w:val="004A115A"/>
    <w:rsid w:val="004A17B0"/>
    <w:rsid w:val="004A264B"/>
    <w:rsid w:val="004A3634"/>
    <w:rsid w:val="004A440D"/>
    <w:rsid w:val="004B0CA0"/>
    <w:rsid w:val="004B1EB0"/>
    <w:rsid w:val="004B2395"/>
    <w:rsid w:val="004B3180"/>
    <w:rsid w:val="004B75A0"/>
    <w:rsid w:val="004B7CA1"/>
    <w:rsid w:val="004C070B"/>
    <w:rsid w:val="004C0C5B"/>
    <w:rsid w:val="004C0CFF"/>
    <w:rsid w:val="004C2238"/>
    <w:rsid w:val="004C33E7"/>
    <w:rsid w:val="004C79B9"/>
    <w:rsid w:val="004D1EA3"/>
    <w:rsid w:val="004D29A1"/>
    <w:rsid w:val="004D5584"/>
    <w:rsid w:val="004D7524"/>
    <w:rsid w:val="004E0562"/>
    <w:rsid w:val="004E1A49"/>
    <w:rsid w:val="004E2A3D"/>
    <w:rsid w:val="004E31EE"/>
    <w:rsid w:val="004E335E"/>
    <w:rsid w:val="004E68B0"/>
    <w:rsid w:val="004E6FA9"/>
    <w:rsid w:val="004E73F1"/>
    <w:rsid w:val="004E7C1E"/>
    <w:rsid w:val="004F3F21"/>
    <w:rsid w:val="004F5A44"/>
    <w:rsid w:val="004F626C"/>
    <w:rsid w:val="004F6781"/>
    <w:rsid w:val="004F7690"/>
    <w:rsid w:val="004F78ED"/>
    <w:rsid w:val="005007F7"/>
    <w:rsid w:val="005018FE"/>
    <w:rsid w:val="005046FF"/>
    <w:rsid w:val="00504D0B"/>
    <w:rsid w:val="00505E80"/>
    <w:rsid w:val="00505FA7"/>
    <w:rsid w:val="00506419"/>
    <w:rsid w:val="0050679F"/>
    <w:rsid w:val="0050743D"/>
    <w:rsid w:val="005101B7"/>
    <w:rsid w:val="005107AD"/>
    <w:rsid w:val="00514727"/>
    <w:rsid w:val="00522C9C"/>
    <w:rsid w:val="0052304D"/>
    <w:rsid w:val="005301DC"/>
    <w:rsid w:val="005318C8"/>
    <w:rsid w:val="00532635"/>
    <w:rsid w:val="0053278E"/>
    <w:rsid w:val="00532956"/>
    <w:rsid w:val="00532AA3"/>
    <w:rsid w:val="00533D03"/>
    <w:rsid w:val="00535646"/>
    <w:rsid w:val="00536FE9"/>
    <w:rsid w:val="00541BA3"/>
    <w:rsid w:val="00541E1A"/>
    <w:rsid w:val="00544083"/>
    <w:rsid w:val="00544450"/>
    <w:rsid w:val="00545B99"/>
    <w:rsid w:val="00546F9E"/>
    <w:rsid w:val="00547D69"/>
    <w:rsid w:val="0055040B"/>
    <w:rsid w:val="00554905"/>
    <w:rsid w:val="00554E10"/>
    <w:rsid w:val="0055523A"/>
    <w:rsid w:val="00557189"/>
    <w:rsid w:val="00562496"/>
    <w:rsid w:val="00562AEE"/>
    <w:rsid w:val="00562EAD"/>
    <w:rsid w:val="00563163"/>
    <w:rsid w:val="00566CAE"/>
    <w:rsid w:val="00571AB2"/>
    <w:rsid w:val="00573583"/>
    <w:rsid w:val="00573BC7"/>
    <w:rsid w:val="005741DD"/>
    <w:rsid w:val="005749BB"/>
    <w:rsid w:val="00574C4B"/>
    <w:rsid w:val="00575497"/>
    <w:rsid w:val="00576010"/>
    <w:rsid w:val="00576170"/>
    <w:rsid w:val="00576336"/>
    <w:rsid w:val="00576484"/>
    <w:rsid w:val="00585668"/>
    <w:rsid w:val="005875CB"/>
    <w:rsid w:val="00587AE6"/>
    <w:rsid w:val="005912AF"/>
    <w:rsid w:val="00591AD9"/>
    <w:rsid w:val="0059220C"/>
    <w:rsid w:val="00592767"/>
    <w:rsid w:val="005A2C7B"/>
    <w:rsid w:val="005A32F3"/>
    <w:rsid w:val="005A4156"/>
    <w:rsid w:val="005A60AC"/>
    <w:rsid w:val="005A67BE"/>
    <w:rsid w:val="005A6E02"/>
    <w:rsid w:val="005A710F"/>
    <w:rsid w:val="005A7DF2"/>
    <w:rsid w:val="005B3C58"/>
    <w:rsid w:val="005B4C14"/>
    <w:rsid w:val="005B50F3"/>
    <w:rsid w:val="005B64F7"/>
    <w:rsid w:val="005B778D"/>
    <w:rsid w:val="005C0443"/>
    <w:rsid w:val="005C1889"/>
    <w:rsid w:val="005C1A55"/>
    <w:rsid w:val="005C259B"/>
    <w:rsid w:val="005C2C48"/>
    <w:rsid w:val="005C564C"/>
    <w:rsid w:val="005C5705"/>
    <w:rsid w:val="005C60E4"/>
    <w:rsid w:val="005C7E73"/>
    <w:rsid w:val="005D1101"/>
    <w:rsid w:val="005D1F6F"/>
    <w:rsid w:val="005D2D45"/>
    <w:rsid w:val="005D5117"/>
    <w:rsid w:val="005D6890"/>
    <w:rsid w:val="005D7A4E"/>
    <w:rsid w:val="005E07A8"/>
    <w:rsid w:val="005E1275"/>
    <w:rsid w:val="005E578D"/>
    <w:rsid w:val="005E5EC2"/>
    <w:rsid w:val="005E674A"/>
    <w:rsid w:val="005E7D7C"/>
    <w:rsid w:val="005F1D1C"/>
    <w:rsid w:val="005F20A2"/>
    <w:rsid w:val="005F43FF"/>
    <w:rsid w:val="005F5BC4"/>
    <w:rsid w:val="005F5FAE"/>
    <w:rsid w:val="005F70C8"/>
    <w:rsid w:val="005F74D3"/>
    <w:rsid w:val="00601526"/>
    <w:rsid w:val="006016A4"/>
    <w:rsid w:val="0060322C"/>
    <w:rsid w:val="00604382"/>
    <w:rsid w:val="006049EC"/>
    <w:rsid w:val="00604B61"/>
    <w:rsid w:val="00604E27"/>
    <w:rsid w:val="00606969"/>
    <w:rsid w:val="00607994"/>
    <w:rsid w:val="006115BB"/>
    <w:rsid w:val="00611FB3"/>
    <w:rsid w:val="00612649"/>
    <w:rsid w:val="00613E7F"/>
    <w:rsid w:val="006146F4"/>
    <w:rsid w:val="006177C9"/>
    <w:rsid w:val="006224B7"/>
    <w:rsid w:val="00622643"/>
    <w:rsid w:val="00623590"/>
    <w:rsid w:val="006236F3"/>
    <w:rsid w:val="00623C98"/>
    <w:rsid w:val="00624AF8"/>
    <w:rsid w:val="00625204"/>
    <w:rsid w:val="006255A4"/>
    <w:rsid w:val="00627EB8"/>
    <w:rsid w:val="00632624"/>
    <w:rsid w:val="006328EC"/>
    <w:rsid w:val="00632952"/>
    <w:rsid w:val="00634634"/>
    <w:rsid w:val="00634F92"/>
    <w:rsid w:val="00641216"/>
    <w:rsid w:val="006415E3"/>
    <w:rsid w:val="00645270"/>
    <w:rsid w:val="006459AB"/>
    <w:rsid w:val="006463F7"/>
    <w:rsid w:val="0064660E"/>
    <w:rsid w:val="00646A2C"/>
    <w:rsid w:val="0065029D"/>
    <w:rsid w:val="00651662"/>
    <w:rsid w:val="00651E76"/>
    <w:rsid w:val="00651EE1"/>
    <w:rsid w:val="0065324C"/>
    <w:rsid w:val="006534E0"/>
    <w:rsid w:val="00653AB3"/>
    <w:rsid w:val="00655150"/>
    <w:rsid w:val="00655299"/>
    <w:rsid w:val="00655E64"/>
    <w:rsid w:val="00660BED"/>
    <w:rsid w:val="00664406"/>
    <w:rsid w:val="006678E7"/>
    <w:rsid w:val="00667D5D"/>
    <w:rsid w:val="00667D92"/>
    <w:rsid w:val="00667DC6"/>
    <w:rsid w:val="00671103"/>
    <w:rsid w:val="00671F7E"/>
    <w:rsid w:val="00673475"/>
    <w:rsid w:val="00673AF0"/>
    <w:rsid w:val="00681141"/>
    <w:rsid w:val="00681189"/>
    <w:rsid w:val="00681DCE"/>
    <w:rsid w:val="00682231"/>
    <w:rsid w:val="006832E6"/>
    <w:rsid w:val="006837A3"/>
    <w:rsid w:val="00683833"/>
    <w:rsid w:val="00684142"/>
    <w:rsid w:val="006860BC"/>
    <w:rsid w:val="006875DE"/>
    <w:rsid w:val="00691A12"/>
    <w:rsid w:val="006924CE"/>
    <w:rsid w:val="00693005"/>
    <w:rsid w:val="00693943"/>
    <w:rsid w:val="00693FC1"/>
    <w:rsid w:val="0069443B"/>
    <w:rsid w:val="00694AF8"/>
    <w:rsid w:val="00694E36"/>
    <w:rsid w:val="00695E8B"/>
    <w:rsid w:val="00696FE7"/>
    <w:rsid w:val="006A0F3A"/>
    <w:rsid w:val="006A0FB0"/>
    <w:rsid w:val="006A3A9E"/>
    <w:rsid w:val="006A6047"/>
    <w:rsid w:val="006A64B4"/>
    <w:rsid w:val="006A6FD4"/>
    <w:rsid w:val="006A75CD"/>
    <w:rsid w:val="006B06DF"/>
    <w:rsid w:val="006B34CB"/>
    <w:rsid w:val="006B7FA2"/>
    <w:rsid w:val="006C10B6"/>
    <w:rsid w:val="006C28F2"/>
    <w:rsid w:val="006C2AFC"/>
    <w:rsid w:val="006C32DA"/>
    <w:rsid w:val="006C3A59"/>
    <w:rsid w:val="006C410F"/>
    <w:rsid w:val="006C7424"/>
    <w:rsid w:val="006D1F3C"/>
    <w:rsid w:val="006D30D7"/>
    <w:rsid w:val="006D34A4"/>
    <w:rsid w:val="006D3954"/>
    <w:rsid w:val="006D3B39"/>
    <w:rsid w:val="006D5134"/>
    <w:rsid w:val="006D5891"/>
    <w:rsid w:val="006D5D63"/>
    <w:rsid w:val="006D6991"/>
    <w:rsid w:val="006D7F21"/>
    <w:rsid w:val="006E0CC8"/>
    <w:rsid w:val="006E274B"/>
    <w:rsid w:val="006E4169"/>
    <w:rsid w:val="006E4AE0"/>
    <w:rsid w:val="006E4CD4"/>
    <w:rsid w:val="006E6026"/>
    <w:rsid w:val="006E6D02"/>
    <w:rsid w:val="006E7B00"/>
    <w:rsid w:val="006E7C09"/>
    <w:rsid w:val="006F1174"/>
    <w:rsid w:val="006F3FAA"/>
    <w:rsid w:val="006F4F1E"/>
    <w:rsid w:val="006F5279"/>
    <w:rsid w:val="006F558E"/>
    <w:rsid w:val="006F709B"/>
    <w:rsid w:val="006F72B1"/>
    <w:rsid w:val="007008E1"/>
    <w:rsid w:val="00703A79"/>
    <w:rsid w:val="00703F8A"/>
    <w:rsid w:val="00705289"/>
    <w:rsid w:val="007073E8"/>
    <w:rsid w:val="00707827"/>
    <w:rsid w:val="00711B37"/>
    <w:rsid w:val="00711DCB"/>
    <w:rsid w:val="00712227"/>
    <w:rsid w:val="0071355F"/>
    <w:rsid w:val="007152C4"/>
    <w:rsid w:val="007155A1"/>
    <w:rsid w:val="007161D3"/>
    <w:rsid w:val="00716DBB"/>
    <w:rsid w:val="00720A02"/>
    <w:rsid w:val="00720BA7"/>
    <w:rsid w:val="00720F24"/>
    <w:rsid w:val="00722F80"/>
    <w:rsid w:val="0072439D"/>
    <w:rsid w:val="0072463E"/>
    <w:rsid w:val="00726576"/>
    <w:rsid w:val="00727F98"/>
    <w:rsid w:val="00727FB9"/>
    <w:rsid w:val="00732EA0"/>
    <w:rsid w:val="00732F0B"/>
    <w:rsid w:val="007339EB"/>
    <w:rsid w:val="00734DC5"/>
    <w:rsid w:val="007361FE"/>
    <w:rsid w:val="00736808"/>
    <w:rsid w:val="00742F84"/>
    <w:rsid w:val="0074381B"/>
    <w:rsid w:val="00743D85"/>
    <w:rsid w:val="00744C08"/>
    <w:rsid w:val="0074522A"/>
    <w:rsid w:val="00745D30"/>
    <w:rsid w:val="0075054F"/>
    <w:rsid w:val="00751250"/>
    <w:rsid w:val="0075129C"/>
    <w:rsid w:val="00751390"/>
    <w:rsid w:val="00751AFE"/>
    <w:rsid w:val="00753D82"/>
    <w:rsid w:val="0075471D"/>
    <w:rsid w:val="007551FF"/>
    <w:rsid w:val="00756D59"/>
    <w:rsid w:val="007617E9"/>
    <w:rsid w:val="00761BF2"/>
    <w:rsid w:val="007629AB"/>
    <w:rsid w:val="00763AAC"/>
    <w:rsid w:val="007646B9"/>
    <w:rsid w:val="00764EC9"/>
    <w:rsid w:val="0076687D"/>
    <w:rsid w:val="00767A22"/>
    <w:rsid w:val="00767DF5"/>
    <w:rsid w:val="007716E8"/>
    <w:rsid w:val="00771B54"/>
    <w:rsid w:val="00772D9C"/>
    <w:rsid w:val="007737CD"/>
    <w:rsid w:val="00774C89"/>
    <w:rsid w:val="007757AF"/>
    <w:rsid w:val="00777F37"/>
    <w:rsid w:val="0078145E"/>
    <w:rsid w:val="0078184A"/>
    <w:rsid w:val="00783179"/>
    <w:rsid w:val="00783234"/>
    <w:rsid w:val="00785416"/>
    <w:rsid w:val="00785D81"/>
    <w:rsid w:val="0078675A"/>
    <w:rsid w:val="007901A4"/>
    <w:rsid w:val="0079402A"/>
    <w:rsid w:val="00794645"/>
    <w:rsid w:val="00794B3E"/>
    <w:rsid w:val="00795BD7"/>
    <w:rsid w:val="00797469"/>
    <w:rsid w:val="007974D0"/>
    <w:rsid w:val="00797B8B"/>
    <w:rsid w:val="007A1D5D"/>
    <w:rsid w:val="007A25D4"/>
    <w:rsid w:val="007A25E6"/>
    <w:rsid w:val="007A27D6"/>
    <w:rsid w:val="007A2A9C"/>
    <w:rsid w:val="007A3C68"/>
    <w:rsid w:val="007A66DF"/>
    <w:rsid w:val="007A6A24"/>
    <w:rsid w:val="007A7D08"/>
    <w:rsid w:val="007B04FE"/>
    <w:rsid w:val="007B26F5"/>
    <w:rsid w:val="007B739A"/>
    <w:rsid w:val="007C0D11"/>
    <w:rsid w:val="007C100A"/>
    <w:rsid w:val="007C1417"/>
    <w:rsid w:val="007C2203"/>
    <w:rsid w:val="007C2EF1"/>
    <w:rsid w:val="007C3ECC"/>
    <w:rsid w:val="007C4E3B"/>
    <w:rsid w:val="007C66D7"/>
    <w:rsid w:val="007C7956"/>
    <w:rsid w:val="007D0B37"/>
    <w:rsid w:val="007D0B42"/>
    <w:rsid w:val="007D159D"/>
    <w:rsid w:val="007D3363"/>
    <w:rsid w:val="007D606A"/>
    <w:rsid w:val="007D6422"/>
    <w:rsid w:val="007E0E68"/>
    <w:rsid w:val="007E2F78"/>
    <w:rsid w:val="007E3240"/>
    <w:rsid w:val="007E3B23"/>
    <w:rsid w:val="007E6542"/>
    <w:rsid w:val="007E6B8E"/>
    <w:rsid w:val="007E6D6A"/>
    <w:rsid w:val="007E7734"/>
    <w:rsid w:val="007F043A"/>
    <w:rsid w:val="007F07E8"/>
    <w:rsid w:val="007F099E"/>
    <w:rsid w:val="007F16EB"/>
    <w:rsid w:val="007F1716"/>
    <w:rsid w:val="007F28E8"/>
    <w:rsid w:val="007F2EA3"/>
    <w:rsid w:val="007F383F"/>
    <w:rsid w:val="007F4086"/>
    <w:rsid w:val="007F485B"/>
    <w:rsid w:val="007F5709"/>
    <w:rsid w:val="007F5BFA"/>
    <w:rsid w:val="007F6137"/>
    <w:rsid w:val="00802C82"/>
    <w:rsid w:val="00806994"/>
    <w:rsid w:val="0080713C"/>
    <w:rsid w:val="008106B7"/>
    <w:rsid w:val="00810795"/>
    <w:rsid w:val="00810F0E"/>
    <w:rsid w:val="00811044"/>
    <w:rsid w:val="00812948"/>
    <w:rsid w:val="008150FF"/>
    <w:rsid w:val="00815675"/>
    <w:rsid w:val="00815C76"/>
    <w:rsid w:val="00816801"/>
    <w:rsid w:val="00820B43"/>
    <w:rsid w:val="00821670"/>
    <w:rsid w:val="00823032"/>
    <w:rsid w:val="008242E0"/>
    <w:rsid w:val="00824A51"/>
    <w:rsid w:val="00827876"/>
    <w:rsid w:val="0083087C"/>
    <w:rsid w:val="0083360F"/>
    <w:rsid w:val="00834EE2"/>
    <w:rsid w:val="00836F74"/>
    <w:rsid w:val="00840FF5"/>
    <w:rsid w:val="00841880"/>
    <w:rsid w:val="00841B6B"/>
    <w:rsid w:val="00841E1C"/>
    <w:rsid w:val="008430C9"/>
    <w:rsid w:val="008441D8"/>
    <w:rsid w:val="0084591A"/>
    <w:rsid w:val="00845B49"/>
    <w:rsid w:val="00845C69"/>
    <w:rsid w:val="00846C0A"/>
    <w:rsid w:val="00851B33"/>
    <w:rsid w:val="00851B84"/>
    <w:rsid w:val="00851D79"/>
    <w:rsid w:val="00851DC3"/>
    <w:rsid w:val="00852B52"/>
    <w:rsid w:val="00852B81"/>
    <w:rsid w:val="008535E6"/>
    <w:rsid w:val="00854522"/>
    <w:rsid w:val="0085697C"/>
    <w:rsid w:val="00861DB5"/>
    <w:rsid w:val="00861EB5"/>
    <w:rsid w:val="0086392A"/>
    <w:rsid w:val="00865286"/>
    <w:rsid w:val="008678E5"/>
    <w:rsid w:val="00867D92"/>
    <w:rsid w:val="0087071A"/>
    <w:rsid w:val="00870920"/>
    <w:rsid w:val="0087197E"/>
    <w:rsid w:val="00871F05"/>
    <w:rsid w:val="0087209D"/>
    <w:rsid w:val="008721D2"/>
    <w:rsid w:val="008731DF"/>
    <w:rsid w:val="00874125"/>
    <w:rsid w:val="008744A3"/>
    <w:rsid w:val="008759BE"/>
    <w:rsid w:val="0088031A"/>
    <w:rsid w:val="008817B2"/>
    <w:rsid w:val="00882960"/>
    <w:rsid w:val="00882E53"/>
    <w:rsid w:val="008844B3"/>
    <w:rsid w:val="00884708"/>
    <w:rsid w:val="00884929"/>
    <w:rsid w:val="00884E37"/>
    <w:rsid w:val="00886411"/>
    <w:rsid w:val="0088694A"/>
    <w:rsid w:val="00886BD0"/>
    <w:rsid w:val="008871E8"/>
    <w:rsid w:val="00891487"/>
    <w:rsid w:val="0089283D"/>
    <w:rsid w:val="00893811"/>
    <w:rsid w:val="008944EF"/>
    <w:rsid w:val="00894EB7"/>
    <w:rsid w:val="008A16D0"/>
    <w:rsid w:val="008A2789"/>
    <w:rsid w:val="008A3A32"/>
    <w:rsid w:val="008A3B0D"/>
    <w:rsid w:val="008A576B"/>
    <w:rsid w:val="008A669B"/>
    <w:rsid w:val="008A711F"/>
    <w:rsid w:val="008A7CF6"/>
    <w:rsid w:val="008B09ED"/>
    <w:rsid w:val="008B0A60"/>
    <w:rsid w:val="008B0F30"/>
    <w:rsid w:val="008B29A9"/>
    <w:rsid w:val="008B3FF6"/>
    <w:rsid w:val="008B4D9C"/>
    <w:rsid w:val="008B4DDD"/>
    <w:rsid w:val="008B60EA"/>
    <w:rsid w:val="008B68A1"/>
    <w:rsid w:val="008B6D66"/>
    <w:rsid w:val="008B6FB5"/>
    <w:rsid w:val="008B7560"/>
    <w:rsid w:val="008B7FB7"/>
    <w:rsid w:val="008C01B2"/>
    <w:rsid w:val="008C0394"/>
    <w:rsid w:val="008C06DD"/>
    <w:rsid w:val="008C2128"/>
    <w:rsid w:val="008C2705"/>
    <w:rsid w:val="008C3707"/>
    <w:rsid w:val="008C470A"/>
    <w:rsid w:val="008C663B"/>
    <w:rsid w:val="008D010E"/>
    <w:rsid w:val="008D3983"/>
    <w:rsid w:val="008D40EF"/>
    <w:rsid w:val="008D421B"/>
    <w:rsid w:val="008D47EB"/>
    <w:rsid w:val="008D4EFE"/>
    <w:rsid w:val="008D51CE"/>
    <w:rsid w:val="008D5B1C"/>
    <w:rsid w:val="008D6E4A"/>
    <w:rsid w:val="008D7047"/>
    <w:rsid w:val="008E065F"/>
    <w:rsid w:val="008E468B"/>
    <w:rsid w:val="008E4F2F"/>
    <w:rsid w:val="008E6605"/>
    <w:rsid w:val="008E7B5D"/>
    <w:rsid w:val="008F042D"/>
    <w:rsid w:val="008F04EC"/>
    <w:rsid w:val="008F274D"/>
    <w:rsid w:val="008F2C53"/>
    <w:rsid w:val="008F389F"/>
    <w:rsid w:val="008F4106"/>
    <w:rsid w:val="008F5D1D"/>
    <w:rsid w:val="008F5F3B"/>
    <w:rsid w:val="008F649D"/>
    <w:rsid w:val="008F7212"/>
    <w:rsid w:val="00902B3B"/>
    <w:rsid w:val="00903B9C"/>
    <w:rsid w:val="00903CCF"/>
    <w:rsid w:val="009054A4"/>
    <w:rsid w:val="00907282"/>
    <w:rsid w:val="009072F2"/>
    <w:rsid w:val="0091003A"/>
    <w:rsid w:val="00910C5A"/>
    <w:rsid w:val="00911A54"/>
    <w:rsid w:val="00912886"/>
    <w:rsid w:val="00913F98"/>
    <w:rsid w:val="009147E6"/>
    <w:rsid w:val="00914FF4"/>
    <w:rsid w:val="009155AC"/>
    <w:rsid w:val="0091718F"/>
    <w:rsid w:val="00917CAC"/>
    <w:rsid w:val="00921866"/>
    <w:rsid w:val="00921EFF"/>
    <w:rsid w:val="00922DFF"/>
    <w:rsid w:val="00923A1A"/>
    <w:rsid w:val="00924519"/>
    <w:rsid w:val="00924F1A"/>
    <w:rsid w:val="009254B7"/>
    <w:rsid w:val="00925D09"/>
    <w:rsid w:val="0092689A"/>
    <w:rsid w:val="00927125"/>
    <w:rsid w:val="009274C2"/>
    <w:rsid w:val="009274FB"/>
    <w:rsid w:val="00927965"/>
    <w:rsid w:val="00927CA9"/>
    <w:rsid w:val="00927E8A"/>
    <w:rsid w:val="009303B8"/>
    <w:rsid w:val="00930602"/>
    <w:rsid w:val="009308B0"/>
    <w:rsid w:val="00933421"/>
    <w:rsid w:val="00933E9A"/>
    <w:rsid w:val="0093559C"/>
    <w:rsid w:val="00940A4D"/>
    <w:rsid w:val="00942E97"/>
    <w:rsid w:val="00943394"/>
    <w:rsid w:val="00943C88"/>
    <w:rsid w:val="00944ABE"/>
    <w:rsid w:val="00944F69"/>
    <w:rsid w:val="00945B6A"/>
    <w:rsid w:val="00945B76"/>
    <w:rsid w:val="00947222"/>
    <w:rsid w:val="00947781"/>
    <w:rsid w:val="00947872"/>
    <w:rsid w:val="00947BEB"/>
    <w:rsid w:val="00950DFC"/>
    <w:rsid w:val="00952057"/>
    <w:rsid w:val="00953151"/>
    <w:rsid w:val="00953B8B"/>
    <w:rsid w:val="00956B14"/>
    <w:rsid w:val="009572F9"/>
    <w:rsid w:val="0095776E"/>
    <w:rsid w:val="00957B51"/>
    <w:rsid w:val="00960588"/>
    <w:rsid w:val="00960BCF"/>
    <w:rsid w:val="00960C7D"/>
    <w:rsid w:val="009625BD"/>
    <w:rsid w:val="009636A5"/>
    <w:rsid w:val="00963A54"/>
    <w:rsid w:val="00963FEA"/>
    <w:rsid w:val="009652B8"/>
    <w:rsid w:val="00970D90"/>
    <w:rsid w:val="00971782"/>
    <w:rsid w:val="00972F46"/>
    <w:rsid w:val="0097365E"/>
    <w:rsid w:val="00973F09"/>
    <w:rsid w:val="0097583D"/>
    <w:rsid w:val="00975BA0"/>
    <w:rsid w:val="009760DA"/>
    <w:rsid w:val="0098047C"/>
    <w:rsid w:val="00983585"/>
    <w:rsid w:val="00984F2B"/>
    <w:rsid w:val="00985CD6"/>
    <w:rsid w:val="00992C81"/>
    <w:rsid w:val="009934BD"/>
    <w:rsid w:val="00993842"/>
    <w:rsid w:val="0099414D"/>
    <w:rsid w:val="0099477A"/>
    <w:rsid w:val="00995068"/>
    <w:rsid w:val="009951A6"/>
    <w:rsid w:val="00995BE4"/>
    <w:rsid w:val="00996B00"/>
    <w:rsid w:val="009970BE"/>
    <w:rsid w:val="009A41AF"/>
    <w:rsid w:val="009A54E6"/>
    <w:rsid w:val="009B050E"/>
    <w:rsid w:val="009B14D8"/>
    <w:rsid w:val="009B4103"/>
    <w:rsid w:val="009B5F46"/>
    <w:rsid w:val="009B6A8B"/>
    <w:rsid w:val="009C020F"/>
    <w:rsid w:val="009C08B4"/>
    <w:rsid w:val="009C406A"/>
    <w:rsid w:val="009C4700"/>
    <w:rsid w:val="009C7266"/>
    <w:rsid w:val="009C7790"/>
    <w:rsid w:val="009D23F5"/>
    <w:rsid w:val="009D27B4"/>
    <w:rsid w:val="009D2C0B"/>
    <w:rsid w:val="009D3420"/>
    <w:rsid w:val="009D7F02"/>
    <w:rsid w:val="009E421C"/>
    <w:rsid w:val="009E44A7"/>
    <w:rsid w:val="009E592B"/>
    <w:rsid w:val="009E733F"/>
    <w:rsid w:val="009E7A8B"/>
    <w:rsid w:val="009F2236"/>
    <w:rsid w:val="009F3220"/>
    <w:rsid w:val="009F5F06"/>
    <w:rsid w:val="009F68B9"/>
    <w:rsid w:val="009F7BD0"/>
    <w:rsid w:val="00A00B8E"/>
    <w:rsid w:val="00A0169B"/>
    <w:rsid w:val="00A017BE"/>
    <w:rsid w:val="00A01A4C"/>
    <w:rsid w:val="00A02B89"/>
    <w:rsid w:val="00A02D55"/>
    <w:rsid w:val="00A03494"/>
    <w:rsid w:val="00A03CD2"/>
    <w:rsid w:val="00A03DD2"/>
    <w:rsid w:val="00A05E1B"/>
    <w:rsid w:val="00A061B2"/>
    <w:rsid w:val="00A0648D"/>
    <w:rsid w:val="00A06978"/>
    <w:rsid w:val="00A06D3E"/>
    <w:rsid w:val="00A06FC2"/>
    <w:rsid w:val="00A1032C"/>
    <w:rsid w:val="00A1097B"/>
    <w:rsid w:val="00A112F1"/>
    <w:rsid w:val="00A11A88"/>
    <w:rsid w:val="00A12492"/>
    <w:rsid w:val="00A1299E"/>
    <w:rsid w:val="00A1535B"/>
    <w:rsid w:val="00A17813"/>
    <w:rsid w:val="00A20986"/>
    <w:rsid w:val="00A21B88"/>
    <w:rsid w:val="00A22446"/>
    <w:rsid w:val="00A22899"/>
    <w:rsid w:val="00A2488B"/>
    <w:rsid w:val="00A25871"/>
    <w:rsid w:val="00A26A9D"/>
    <w:rsid w:val="00A26D59"/>
    <w:rsid w:val="00A26DCD"/>
    <w:rsid w:val="00A307EC"/>
    <w:rsid w:val="00A33796"/>
    <w:rsid w:val="00A33ACC"/>
    <w:rsid w:val="00A33AED"/>
    <w:rsid w:val="00A35456"/>
    <w:rsid w:val="00A36DA2"/>
    <w:rsid w:val="00A36DCB"/>
    <w:rsid w:val="00A416E4"/>
    <w:rsid w:val="00A42DD6"/>
    <w:rsid w:val="00A4461C"/>
    <w:rsid w:val="00A448F3"/>
    <w:rsid w:val="00A458B0"/>
    <w:rsid w:val="00A46016"/>
    <w:rsid w:val="00A47ADE"/>
    <w:rsid w:val="00A47D0E"/>
    <w:rsid w:val="00A50367"/>
    <w:rsid w:val="00A504B1"/>
    <w:rsid w:val="00A5107C"/>
    <w:rsid w:val="00A511FA"/>
    <w:rsid w:val="00A55944"/>
    <w:rsid w:val="00A56168"/>
    <w:rsid w:val="00A5678C"/>
    <w:rsid w:val="00A56825"/>
    <w:rsid w:val="00A60460"/>
    <w:rsid w:val="00A61129"/>
    <w:rsid w:val="00A614E6"/>
    <w:rsid w:val="00A6168A"/>
    <w:rsid w:val="00A61A36"/>
    <w:rsid w:val="00A62EDC"/>
    <w:rsid w:val="00A64CA7"/>
    <w:rsid w:val="00A6554F"/>
    <w:rsid w:val="00A66795"/>
    <w:rsid w:val="00A66887"/>
    <w:rsid w:val="00A66970"/>
    <w:rsid w:val="00A66B84"/>
    <w:rsid w:val="00A707F1"/>
    <w:rsid w:val="00A734E4"/>
    <w:rsid w:val="00A73CFB"/>
    <w:rsid w:val="00A74CD5"/>
    <w:rsid w:val="00A76BF2"/>
    <w:rsid w:val="00A77517"/>
    <w:rsid w:val="00A80B82"/>
    <w:rsid w:val="00A8149D"/>
    <w:rsid w:val="00A820FB"/>
    <w:rsid w:val="00A82161"/>
    <w:rsid w:val="00A824E2"/>
    <w:rsid w:val="00A82A30"/>
    <w:rsid w:val="00A86782"/>
    <w:rsid w:val="00A8710D"/>
    <w:rsid w:val="00A87905"/>
    <w:rsid w:val="00A87D3B"/>
    <w:rsid w:val="00A90A87"/>
    <w:rsid w:val="00A90D8B"/>
    <w:rsid w:val="00A90F8A"/>
    <w:rsid w:val="00A91AEC"/>
    <w:rsid w:val="00A93866"/>
    <w:rsid w:val="00A93C54"/>
    <w:rsid w:val="00A96E0D"/>
    <w:rsid w:val="00A9761F"/>
    <w:rsid w:val="00AA1BD6"/>
    <w:rsid w:val="00AA1FD8"/>
    <w:rsid w:val="00AA230F"/>
    <w:rsid w:val="00AA3070"/>
    <w:rsid w:val="00AA3A0C"/>
    <w:rsid w:val="00AA4D59"/>
    <w:rsid w:val="00AA4D5A"/>
    <w:rsid w:val="00AA4DDE"/>
    <w:rsid w:val="00AA5006"/>
    <w:rsid w:val="00AA50A7"/>
    <w:rsid w:val="00AA5863"/>
    <w:rsid w:val="00AB13C1"/>
    <w:rsid w:val="00AB35F3"/>
    <w:rsid w:val="00AB409D"/>
    <w:rsid w:val="00AB49BA"/>
    <w:rsid w:val="00AB5936"/>
    <w:rsid w:val="00AB6DEE"/>
    <w:rsid w:val="00AB7523"/>
    <w:rsid w:val="00AC0551"/>
    <w:rsid w:val="00AC1850"/>
    <w:rsid w:val="00AC2E38"/>
    <w:rsid w:val="00AC32EE"/>
    <w:rsid w:val="00AC330D"/>
    <w:rsid w:val="00AC45CE"/>
    <w:rsid w:val="00AC6F5C"/>
    <w:rsid w:val="00AD10C5"/>
    <w:rsid w:val="00AD26C5"/>
    <w:rsid w:val="00AD73C3"/>
    <w:rsid w:val="00AD79B0"/>
    <w:rsid w:val="00AE1D7A"/>
    <w:rsid w:val="00AE3838"/>
    <w:rsid w:val="00AE7AA6"/>
    <w:rsid w:val="00AE7DBC"/>
    <w:rsid w:val="00AF4156"/>
    <w:rsid w:val="00AF4777"/>
    <w:rsid w:val="00AF5216"/>
    <w:rsid w:val="00AF55A5"/>
    <w:rsid w:val="00AF6500"/>
    <w:rsid w:val="00AF6604"/>
    <w:rsid w:val="00AF7357"/>
    <w:rsid w:val="00AF76AF"/>
    <w:rsid w:val="00B00326"/>
    <w:rsid w:val="00B01C9E"/>
    <w:rsid w:val="00B02A65"/>
    <w:rsid w:val="00B02DBF"/>
    <w:rsid w:val="00B03018"/>
    <w:rsid w:val="00B05DD4"/>
    <w:rsid w:val="00B1080D"/>
    <w:rsid w:val="00B11559"/>
    <w:rsid w:val="00B12142"/>
    <w:rsid w:val="00B12F5D"/>
    <w:rsid w:val="00B13277"/>
    <w:rsid w:val="00B13971"/>
    <w:rsid w:val="00B149DB"/>
    <w:rsid w:val="00B15C5F"/>
    <w:rsid w:val="00B16E14"/>
    <w:rsid w:val="00B17762"/>
    <w:rsid w:val="00B24B72"/>
    <w:rsid w:val="00B25A00"/>
    <w:rsid w:val="00B26A9E"/>
    <w:rsid w:val="00B278F1"/>
    <w:rsid w:val="00B30AC0"/>
    <w:rsid w:val="00B32419"/>
    <w:rsid w:val="00B32A29"/>
    <w:rsid w:val="00B3342B"/>
    <w:rsid w:val="00B3386C"/>
    <w:rsid w:val="00B34723"/>
    <w:rsid w:val="00B34842"/>
    <w:rsid w:val="00B3745C"/>
    <w:rsid w:val="00B37954"/>
    <w:rsid w:val="00B37E76"/>
    <w:rsid w:val="00B40278"/>
    <w:rsid w:val="00B40574"/>
    <w:rsid w:val="00B40C70"/>
    <w:rsid w:val="00B41C54"/>
    <w:rsid w:val="00B42892"/>
    <w:rsid w:val="00B4353C"/>
    <w:rsid w:val="00B474D4"/>
    <w:rsid w:val="00B50848"/>
    <w:rsid w:val="00B52835"/>
    <w:rsid w:val="00B5290C"/>
    <w:rsid w:val="00B54EA3"/>
    <w:rsid w:val="00B5573D"/>
    <w:rsid w:val="00B56727"/>
    <w:rsid w:val="00B57642"/>
    <w:rsid w:val="00B5798B"/>
    <w:rsid w:val="00B607EB"/>
    <w:rsid w:val="00B60CE7"/>
    <w:rsid w:val="00B60D59"/>
    <w:rsid w:val="00B61A9E"/>
    <w:rsid w:val="00B63986"/>
    <w:rsid w:val="00B64947"/>
    <w:rsid w:val="00B664DA"/>
    <w:rsid w:val="00B67CC7"/>
    <w:rsid w:val="00B67D4A"/>
    <w:rsid w:val="00B70071"/>
    <w:rsid w:val="00B701E6"/>
    <w:rsid w:val="00B711A4"/>
    <w:rsid w:val="00B713B9"/>
    <w:rsid w:val="00B71A7B"/>
    <w:rsid w:val="00B74AF4"/>
    <w:rsid w:val="00B75836"/>
    <w:rsid w:val="00B76EAB"/>
    <w:rsid w:val="00B81424"/>
    <w:rsid w:val="00B82F07"/>
    <w:rsid w:val="00B858F1"/>
    <w:rsid w:val="00B873D0"/>
    <w:rsid w:val="00B90258"/>
    <w:rsid w:val="00B92982"/>
    <w:rsid w:val="00B92C1F"/>
    <w:rsid w:val="00B93FAD"/>
    <w:rsid w:val="00B94E96"/>
    <w:rsid w:val="00B97913"/>
    <w:rsid w:val="00BA14A2"/>
    <w:rsid w:val="00BA1F48"/>
    <w:rsid w:val="00BA61E5"/>
    <w:rsid w:val="00BA6F3D"/>
    <w:rsid w:val="00BB014A"/>
    <w:rsid w:val="00BB03A2"/>
    <w:rsid w:val="00BB1442"/>
    <w:rsid w:val="00BB518B"/>
    <w:rsid w:val="00BB667D"/>
    <w:rsid w:val="00BB75BC"/>
    <w:rsid w:val="00BB766C"/>
    <w:rsid w:val="00BC1357"/>
    <w:rsid w:val="00BC1E04"/>
    <w:rsid w:val="00BC2F70"/>
    <w:rsid w:val="00BC433E"/>
    <w:rsid w:val="00BC5D60"/>
    <w:rsid w:val="00BC5EF6"/>
    <w:rsid w:val="00BD2CFC"/>
    <w:rsid w:val="00BD3A87"/>
    <w:rsid w:val="00BE0508"/>
    <w:rsid w:val="00BE09EF"/>
    <w:rsid w:val="00BE0A0B"/>
    <w:rsid w:val="00BE0DFF"/>
    <w:rsid w:val="00BE24C1"/>
    <w:rsid w:val="00BE3318"/>
    <w:rsid w:val="00BE5696"/>
    <w:rsid w:val="00BF166F"/>
    <w:rsid w:val="00BF45DA"/>
    <w:rsid w:val="00C0058C"/>
    <w:rsid w:val="00C01B40"/>
    <w:rsid w:val="00C04084"/>
    <w:rsid w:val="00C04E28"/>
    <w:rsid w:val="00C05922"/>
    <w:rsid w:val="00C10534"/>
    <w:rsid w:val="00C1140E"/>
    <w:rsid w:val="00C1231F"/>
    <w:rsid w:val="00C1243D"/>
    <w:rsid w:val="00C12D40"/>
    <w:rsid w:val="00C149B3"/>
    <w:rsid w:val="00C166F2"/>
    <w:rsid w:val="00C17163"/>
    <w:rsid w:val="00C17569"/>
    <w:rsid w:val="00C17EBA"/>
    <w:rsid w:val="00C20D12"/>
    <w:rsid w:val="00C21C9E"/>
    <w:rsid w:val="00C22383"/>
    <w:rsid w:val="00C25FB9"/>
    <w:rsid w:val="00C2762D"/>
    <w:rsid w:val="00C27CDD"/>
    <w:rsid w:val="00C30038"/>
    <w:rsid w:val="00C3789F"/>
    <w:rsid w:val="00C37D75"/>
    <w:rsid w:val="00C42263"/>
    <w:rsid w:val="00C427FD"/>
    <w:rsid w:val="00C4312E"/>
    <w:rsid w:val="00C449B2"/>
    <w:rsid w:val="00C449DA"/>
    <w:rsid w:val="00C44A47"/>
    <w:rsid w:val="00C45F36"/>
    <w:rsid w:val="00C47149"/>
    <w:rsid w:val="00C505B8"/>
    <w:rsid w:val="00C53DA0"/>
    <w:rsid w:val="00C54C5D"/>
    <w:rsid w:val="00C56290"/>
    <w:rsid w:val="00C56DD9"/>
    <w:rsid w:val="00C56EE5"/>
    <w:rsid w:val="00C61951"/>
    <w:rsid w:val="00C63B95"/>
    <w:rsid w:val="00C64A1A"/>
    <w:rsid w:val="00C64E21"/>
    <w:rsid w:val="00C65AE0"/>
    <w:rsid w:val="00C66E0F"/>
    <w:rsid w:val="00C70DD2"/>
    <w:rsid w:val="00C716A6"/>
    <w:rsid w:val="00C75042"/>
    <w:rsid w:val="00C75152"/>
    <w:rsid w:val="00C76040"/>
    <w:rsid w:val="00C766C6"/>
    <w:rsid w:val="00C76C8E"/>
    <w:rsid w:val="00C7761C"/>
    <w:rsid w:val="00C7773C"/>
    <w:rsid w:val="00C803BF"/>
    <w:rsid w:val="00C8349B"/>
    <w:rsid w:val="00C84E8A"/>
    <w:rsid w:val="00C862CB"/>
    <w:rsid w:val="00C92273"/>
    <w:rsid w:val="00C928C1"/>
    <w:rsid w:val="00C942B1"/>
    <w:rsid w:val="00C94A8A"/>
    <w:rsid w:val="00C94FA5"/>
    <w:rsid w:val="00C95897"/>
    <w:rsid w:val="00CA1B9A"/>
    <w:rsid w:val="00CA2C38"/>
    <w:rsid w:val="00CA31CE"/>
    <w:rsid w:val="00CA3E24"/>
    <w:rsid w:val="00CA4D29"/>
    <w:rsid w:val="00CA6A23"/>
    <w:rsid w:val="00CB04BD"/>
    <w:rsid w:val="00CB3450"/>
    <w:rsid w:val="00CB3638"/>
    <w:rsid w:val="00CB395E"/>
    <w:rsid w:val="00CB710D"/>
    <w:rsid w:val="00CB745C"/>
    <w:rsid w:val="00CC03B0"/>
    <w:rsid w:val="00CC07AB"/>
    <w:rsid w:val="00CC1340"/>
    <w:rsid w:val="00CC167E"/>
    <w:rsid w:val="00CC184F"/>
    <w:rsid w:val="00CC27DD"/>
    <w:rsid w:val="00CC2F23"/>
    <w:rsid w:val="00CC3AAF"/>
    <w:rsid w:val="00CC4E13"/>
    <w:rsid w:val="00CC5E3C"/>
    <w:rsid w:val="00CD1B37"/>
    <w:rsid w:val="00CD2779"/>
    <w:rsid w:val="00CD4D5C"/>
    <w:rsid w:val="00CD6B99"/>
    <w:rsid w:val="00CD6C97"/>
    <w:rsid w:val="00CE084D"/>
    <w:rsid w:val="00CE1285"/>
    <w:rsid w:val="00CE3446"/>
    <w:rsid w:val="00CE35F3"/>
    <w:rsid w:val="00CE5AB8"/>
    <w:rsid w:val="00CE793E"/>
    <w:rsid w:val="00CF24E1"/>
    <w:rsid w:val="00CF3836"/>
    <w:rsid w:val="00CF50D5"/>
    <w:rsid w:val="00CF6BE4"/>
    <w:rsid w:val="00CF6EB3"/>
    <w:rsid w:val="00CF7FAB"/>
    <w:rsid w:val="00D02333"/>
    <w:rsid w:val="00D02491"/>
    <w:rsid w:val="00D02A8F"/>
    <w:rsid w:val="00D03F0E"/>
    <w:rsid w:val="00D04855"/>
    <w:rsid w:val="00D05708"/>
    <w:rsid w:val="00D0578A"/>
    <w:rsid w:val="00D0646B"/>
    <w:rsid w:val="00D067BC"/>
    <w:rsid w:val="00D07606"/>
    <w:rsid w:val="00D137BD"/>
    <w:rsid w:val="00D155D3"/>
    <w:rsid w:val="00D158F5"/>
    <w:rsid w:val="00D15CD5"/>
    <w:rsid w:val="00D164A8"/>
    <w:rsid w:val="00D21084"/>
    <w:rsid w:val="00D23AA7"/>
    <w:rsid w:val="00D24B54"/>
    <w:rsid w:val="00D25890"/>
    <w:rsid w:val="00D2621F"/>
    <w:rsid w:val="00D3051D"/>
    <w:rsid w:val="00D315FD"/>
    <w:rsid w:val="00D33234"/>
    <w:rsid w:val="00D335EA"/>
    <w:rsid w:val="00D34A19"/>
    <w:rsid w:val="00D3735F"/>
    <w:rsid w:val="00D37D3A"/>
    <w:rsid w:val="00D4049C"/>
    <w:rsid w:val="00D404DD"/>
    <w:rsid w:val="00D41003"/>
    <w:rsid w:val="00D41559"/>
    <w:rsid w:val="00D43B84"/>
    <w:rsid w:val="00D43BD8"/>
    <w:rsid w:val="00D45296"/>
    <w:rsid w:val="00D47977"/>
    <w:rsid w:val="00D47FC7"/>
    <w:rsid w:val="00D52143"/>
    <w:rsid w:val="00D530AB"/>
    <w:rsid w:val="00D531D8"/>
    <w:rsid w:val="00D53611"/>
    <w:rsid w:val="00D5469E"/>
    <w:rsid w:val="00D54F67"/>
    <w:rsid w:val="00D578DC"/>
    <w:rsid w:val="00D60396"/>
    <w:rsid w:val="00D60CBA"/>
    <w:rsid w:val="00D625AE"/>
    <w:rsid w:val="00D64B35"/>
    <w:rsid w:val="00D65431"/>
    <w:rsid w:val="00D65C0E"/>
    <w:rsid w:val="00D65E56"/>
    <w:rsid w:val="00D65FA8"/>
    <w:rsid w:val="00D666FE"/>
    <w:rsid w:val="00D6747D"/>
    <w:rsid w:val="00D70C8D"/>
    <w:rsid w:val="00D724F7"/>
    <w:rsid w:val="00D73C9F"/>
    <w:rsid w:val="00D75166"/>
    <w:rsid w:val="00D76261"/>
    <w:rsid w:val="00D775D4"/>
    <w:rsid w:val="00D777FE"/>
    <w:rsid w:val="00D83163"/>
    <w:rsid w:val="00D83A98"/>
    <w:rsid w:val="00D871EC"/>
    <w:rsid w:val="00D91C50"/>
    <w:rsid w:val="00D92306"/>
    <w:rsid w:val="00D9307F"/>
    <w:rsid w:val="00D94D14"/>
    <w:rsid w:val="00D97090"/>
    <w:rsid w:val="00D9710D"/>
    <w:rsid w:val="00DA32F2"/>
    <w:rsid w:val="00DA358C"/>
    <w:rsid w:val="00DA3E6D"/>
    <w:rsid w:val="00DA3EEA"/>
    <w:rsid w:val="00DA4155"/>
    <w:rsid w:val="00DA4F19"/>
    <w:rsid w:val="00DA6BA1"/>
    <w:rsid w:val="00DB122F"/>
    <w:rsid w:val="00DB35EB"/>
    <w:rsid w:val="00DB463E"/>
    <w:rsid w:val="00DB51DF"/>
    <w:rsid w:val="00DB5CA5"/>
    <w:rsid w:val="00DB706C"/>
    <w:rsid w:val="00DB79F3"/>
    <w:rsid w:val="00DC1FB6"/>
    <w:rsid w:val="00DC3356"/>
    <w:rsid w:val="00DC426F"/>
    <w:rsid w:val="00DC511F"/>
    <w:rsid w:val="00DC5CA8"/>
    <w:rsid w:val="00DC62A2"/>
    <w:rsid w:val="00DD16CB"/>
    <w:rsid w:val="00DD1F54"/>
    <w:rsid w:val="00DD273A"/>
    <w:rsid w:val="00DD4224"/>
    <w:rsid w:val="00DD59D1"/>
    <w:rsid w:val="00DD5F47"/>
    <w:rsid w:val="00DD6314"/>
    <w:rsid w:val="00DD74BA"/>
    <w:rsid w:val="00DE110D"/>
    <w:rsid w:val="00DE1A27"/>
    <w:rsid w:val="00DE35C5"/>
    <w:rsid w:val="00DE5BBE"/>
    <w:rsid w:val="00DE69B5"/>
    <w:rsid w:val="00DE7A0D"/>
    <w:rsid w:val="00DF1AD6"/>
    <w:rsid w:val="00DF1FBF"/>
    <w:rsid w:val="00DF244A"/>
    <w:rsid w:val="00DF2590"/>
    <w:rsid w:val="00DF2F78"/>
    <w:rsid w:val="00DF3472"/>
    <w:rsid w:val="00DF3960"/>
    <w:rsid w:val="00DF3C8F"/>
    <w:rsid w:val="00DF43BB"/>
    <w:rsid w:val="00DF504D"/>
    <w:rsid w:val="00DF7833"/>
    <w:rsid w:val="00E008DB"/>
    <w:rsid w:val="00E01736"/>
    <w:rsid w:val="00E023CC"/>
    <w:rsid w:val="00E045DB"/>
    <w:rsid w:val="00E056CF"/>
    <w:rsid w:val="00E06C53"/>
    <w:rsid w:val="00E070FF"/>
    <w:rsid w:val="00E11243"/>
    <w:rsid w:val="00E1200D"/>
    <w:rsid w:val="00E1247D"/>
    <w:rsid w:val="00E1766F"/>
    <w:rsid w:val="00E20040"/>
    <w:rsid w:val="00E21DCD"/>
    <w:rsid w:val="00E24674"/>
    <w:rsid w:val="00E24DB0"/>
    <w:rsid w:val="00E24EE6"/>
    <w:rsid w:val="00E25036"/>
    <w:rsid w:val="00E257AD"/>
    <w:rsid w:val="00E2638F"/>
    <w:rsid w:val="00E26B24"/>
    <w:rsid w:val="00E2713F"/>
    <w:rsid w:val="00E27D62"/>
    <w:rsid w:val="00E301FA"/>
    <w:rsid w:val="00E31FE1"/>
    <w:rsid w:val="00E320A5"/>
    <w:rsid w:val="00E32C7D"/>
    <w:rsid w:val="00E32D19"/>
    <w:rsid w:val="00E3501E"/>
    <w:rsid w:val="00E351D5"/>
    <w:rsid w:val="00E367D4"/>
    <w:rsid w:val="00E379C6"/>
    <w:rsid w:val="00E404C4"/>
    <w:rsid w:val="00E407C4"/>
    <w:rsid w:val="00E42DBF"/>
    <w:rsid w:val="00E4382F"/>
    <w:rsid w:val="00E43DFC"/>
    <w:rsid w:val="00E4408E"/>
    <w:rsid w:val="00E456D9"/>
    <w:rsid w:val="00E4734B"/>
    <w:rsid w:val="00E500BC"/>
    <w:rsid w:val="00E511B8"/>
    <w:rsid w:val="00E5286E"/>
    <w:rsid w:val="00E56D35"/>
    <w:rsid w:val="00E57727"/>
    <w:rsid w:val="00E60E8F"/>
    <w:rsid w:val="00E61171"/>
    <w:rsid w:val="00E61A3F"/>
    <w:rsid w:val="00E61E0B"/>
    <w:rsid w:val="00E63BF8"/>
    <w:rsid w:val="00E64255"/>
    <w:rsid w:val="00E64CFF"/>
    <w:rsid w:val="00E65266"/>
    <w:rsid w:val="00E66D5C"/>
    <w:rsid w:val="00E67D6F"/>
    <w:rsid w:val="00E7164D"/>
    <w:rsid w:val="00E73462"/>
    <w:rsid w:val="00E73DF7"/>
    <w:rsid w:val="00E765FC"/>
    <w:rsid w:val="00E769A5"/>
    <w:rsid w:val="00E77E08"/>
    <w:rsid w:val="00E80120"/>
    <w:rsid w:val="00E805F0"/>
    <w:rsid w:val="00E822E7"/>
    <w:rsid w:val="00E833A5"/>
    <w:rsid w:val="00E837F9"/>
    <w:rsid w:val="00E86739"/>
    <w:rsid w:val="00E90142"/>
    <w:rsid w:val="00E927C6"/>
    <w:rsid w:val="00E939C6"/>
    <w:rsid w:val="00E939DB"/>
    <w:rsid w:val="00E95BB6"/>
    <w:rsid w:val="00E95F9F"/>
    <w:rsid w:val="00E97CA8"/>
    <w:rsid w:val="00E97CD9"/>
    <w:rsid w:val="00EA00ED"/>
    <w:rsid w:val="00EA08B4"/>
    <w:rsid w:val="00EA133C"/>
    <w:rsid w:val="00EA290E"/>
    <w:rsid w:val="00EA570B"/>
    <w:rsid w:val="00EA672F"/>
    <w:rsid w:val="00EA6C03"/>
    <w:rsid w:val="00EB1BBD"/>
    <w:rsid w:val="00EB2A23"/>
    <w:rsid w:val="00EB2C5B"/>
    <w:rsid w:val="00EB4031"/>
    <w:rsid w:val="00EB59F1"/>
    <w:rsid w:val="00EB6581"/>
    <w:rsid w:val="00EB70E7"/>
    <w:rsid w:val="00EB7798"/>
    <w:rsid w:val="00EC1209"/>
    <w:rsid w:val="00EC4170"/>
    <w:rsid w:val="00EC4181"/>
    <w:rsid w:val="00EC48CC"/>
    <w:rsid w:val="00EC4A14"/>
    <w:rsid w:val="00EC7629"/>
    <w:rsid w:val="00ED0DDB"/>
    <w:rsid w:val="00ED17B5"/>
    <w:rsid w:val="00ED1EB4"/>
    <w:rsid w:val="00ED28F8"/>
    <w:rsid w:val="00ED3803"/>
    <w:rsid w:val="00ED4889"/>
    <w:rsid w:val="00ED5C17"/>
    <w:rsid w:val="00ED603F"/>
    <w:rsid w:val="00ED6D39"/>
    <w:rsid w:val="00ED711F"/>
    <w:rsid w:val="00ED79F7"/>
    <w:rsid w:val="00EE0BED"/>
    <w:rsid w:val="00EE0E52"/>
    <w:rsid w:val="00EE113E"/>
    <w:rsid w:val="00EE24C3"/>
    <w:rsid w:val="00EE461B"/>
    <w:rsid w:val="00EE4BCC"/>
    <w:rsid w:val="00EE531A"/>
    <w:rsid w:val="00EF20D5"/>
    <w:rsid w:val="00EF309B"/>
    <w:rsid w:val="00EF32F5"/>
    <w:rsid w:val="00EF3DAC"/>
    <w:rsid w:val="00EF4124"/>
    <w:rsid w:val="00EF5A8E"/>
    <w:rsid w:val="00EF7E81"/>
    <w:rsid w:val="00F00EE1"/>
    <w:rsid w:val="00F04B23"/>
    <w:rsid w:val="00F05851"/>
    <w:rsid w:val="00F11120"/>
    <w:rsid w:val="00F11E90"/>
    <w:rsid w:val="00F13476"/>
    <w:rsid w:val="00F139CB"/>
    <w:rsid w:val="00F20CA6"/>
    <w:rsid w:val="00F21892"/>
    <w:rsid w:val="00F21A44"/>
    <w:rsid w:val="00F224D9"/>
    <w:rsid w:val="00F22AFF"/>
    <w:rsid w:val="00F236E4"/>
    <w:rsid w:val="00F236E7"/>
    <w:rsid w:val="00F243A8"/>
    <w:rsid w:val="00F246C7"/>
    <w:rsid w:val="00F2553F"/>
    <w:rsid w:val="00F2566A"/>
    <w:rsid w:val="00F260D1"/>
    <w:rsid w:val="00F26CA8"/>
    <w:rsid w:val="00F274E4"/>
    <w:rsid w:val="00F311B2"/>
    <w:rsid w:val="00F3227C"/>
    <w:rsid w:val="00F3421A"/>
    <w:rsid w:val="00F34841"/>
    <w:rsid w:val="00F34EE4"/>
    <w:rsid w:val="00F3588A"/>
    <w:rsid w:val="00F374BF"/>
    <w:rsid w:val="00F37D0C"/>
    <w:rsid w:val="00F37ECA"/>
    <w:rsid w:val="00F41285"/>
    <w:rsid w:val="00F4133B"/>
    <w:rsid w:val="00F41F02"/>
    <w:rsid w:val="00F43BBB"/>
    <w:rsid w:val="00F44072"/>
    <w:rsid w:val="00F466F2"/>
    <w:rsid w:val="00F47B2E"/>
    <w:rsid w:val="00F521F6"/>
    <w:rsid w:val="00F53BA7"/>
    <w:rsid w:val="00F54700"/>
    <w:rsid w:val="00F55A5E"/>
    <w:rsid w:val="00F606B4"/>
    <w:rsid w:val="00F611A4"/>
    <w:rsid w:val="00F61290"/>
    <w:rsid w:val="00F6194C"/>
    <w:rsid w:val="00F62414"/>
    <w:rsid w:val="00F62A03"/>
    <w:rsid w:val="00F62D4E"/>
    <w:rsid w:val="00F62E93"/>
    <w:rsid w:val="00F62FF8"/>
    <w:rsid w:val="00F656A6"/>
    <w:rsid w:val="00F66BB2"/>
    <w:rsid w:val="00F679A5"/>
    <w:rsid w:val="00F70663"/>
    <w:rsid w:val="00F70EB7"/>
    <w:rsid w:val="00F7108C"/>
    <w:rsid w:val="00F71224"/>
    <w:rsid w:val="00F72A92"/>
    <w:rsid w:val="00F72BBB"/>
    <w:rsid w:val="00F72F25"/>
    <w:rsid w:val="00F7399A"/>
    <w:rsid w:val="00F74729"/>
    <w:rsid w:val="00F750AC"/>
    <w:rsid w:val="00F75143"/>
    <w:rsid w:val="00F76313"/>
    <w:rsid w:val="00F77BE3"/>
    <w:rsid w:val="00F8002C"/>
    <w:rsid w:val="00F8104B"/>
    <w:rsid w:val="00F83640"/>
    <w:rsid w:val="00F843A1"/>
    <w:rsid w:val="00F84528"/>
    <w:rsid w:val="00F84C3E"/>
    <w:rsid w:val="00F85863"/>
    <w:rsid w:val="00F86088"/>
    <w:rsid w:val="00F879EB"/>
    <w:rsid w:val="00F87B67"/>
    <w:rsid w:val="00F9090B"/>
    <w:rsid w:val="00F90D45"/>
    <w:rsid w:val="00F914AF"/>
    <w:rsid w:val="00F927B1"/>
    <w:rsid w:val="00F927E5"/>
    <w:rsid w:val="00F9393D"/>
    <w:rsid w:val="00F94E08"/>
    <w:rsid w:val="00F95241"/>
    <w:rsid w:val="00F95884"/>
    <w:rsid w:val="00F97293"/>
    <w:rsid w:val="00F976FF"/>
    <w:rsid w:val="00F97818"/>
    <w:rsid w:val="00FA0A71"/>
    <w:rsid w:val="00FA4122"/>
    <w:rsid w:val="00FA57D3"/>
    <w:rsid w:val="00FA6606"/>
    <w:rsid w:val="00FA67EB"/>
    <w:rsid w:val="00FA6FEC"/>
    <w:rsid w:val="00FA703F"/>
    <w:rsid w:val="00FB0CEB"/>
    <w:rsid w:val="00FB1981"/>
    <w:rsid w:val="00FB2936"/>
    <w:rsid w:val="00FB35EE"/>
    <w:rsid w:val="00FB3639"/>
    <w:rsid w:val="00FB3ADF"/>
    <w:rsid w:val="00FB3E61"/>
    <w:rsid w:val="00FB44CD"/>
    <w:rsid w:val="00FB6118"/>
    <w:rsid w:val="00FB6C04"/>
    <w:rsid w:val="00FC0608"/>
    <w:rsid w:val="00FC14F6"/>
    <w:rsid w:val="00FC26E5"/>
    <w:rsid w:val="00FC29C7"/>
    <w:rsid w:val="00FC2F90"/>
    <w:rsid w:val="00FC3D00"/>
    <w:rsid w:val="00FC4DB7"/>
    <w:rsid w:val="00FC563B"/>
    <w:rsid w:val="00FC60DB"/>
    <w:rsid w:val="00FC7388"/>
    <w:rsid w:val="00FC770B"/>
    <w:rsid w:val="00FC7992"/>
    <w:rsid w:val="00FC7CAD"/>
    <w:rsid w:val="00FD1E71"/>
    <w:rsid w:val="00FD2400"/>
    <w:rsid w:val="00FD2522"/>
    <w:rsid w:val="00FD27E0"/>
    <w:rsid w:val="00FD29AD"/>
    <w:rsid w:val="00FD2ABD"/>
    <w:rsid w:val="00FD3926"/>
    <w:rsid w:val="00FD3C19"/>
    <w:rsid w:val="00FD429D"/>
    <w:rsid w:val="00FD5665"/>
    <w:rsid w:val="00FD5693"/>
    <w:rsid w:val="00FD6222"/>
    <w:rsid w:val="00FD6FF9"/>
    <w:rsid w:val="00FD79F6"/>
    <w:rsid w:val="00FE0A85"/>
    <w:rsid w:val="00FE3348"/>
    <w:rsid w:val="00FE4E0E"/>
    <w:rsid w:val="00FE521E"/>
    <w:rsid w:val="00FE62DD"/>
    <w:rsid w:val="00FE7B02"/>
    <w:rsid w:val="00FE7C10"/>
    <w:rsid w:val="00FF0A67"/>
    <w:rsid w:val="00FF1933"/>
    <w:rsid w:val="00FF4521"/>
    <w:rsid w:val="00FF5F53"/>
    <w:rsid w:val="00FF5FCC"/>
    <w:rsid w:val="00FF627B"/>
    <w:rsid w:val="00FF74F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heading 1" w:qFormat="1"/>
    <w:lsdException w:name="heading 2" w:qFormat="1"/>
    <w:lsdException w:name="heading 3" w:uiPriority="9" w:qFormat="1"/>
    <w:lsdException w:name="heading 4"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qFormat="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qFormat="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rsid w:val="00D52143"/>
    <w:pPr>
      <w:spacing w:before="120"/>
      <w:jc w:val="both"/>
    </w:pPr>
    <w:rPr>
      <w:rFonts w:ascii="Calibri" w:hAnsi="Calibri" w:cs="Calibri"/>
      <w:sz w:val="24"/>
      <w:szCs w:val="24"/>
    </w:rPr>
  </w:style>
  <w:style w:type="paragraph" w:styleId="Heading1">
    <w:name w:val="heading 1"/>
    <w:aliases w:val="H1 PPV Heading 1"/>
    <w:basedOn w:val="Normal"/>
    <w:next w:val="PPVBody"/>
    <w:link w:val="Heading1Char"/>
    <w:qFormat/>
    <w:rsid w:val="008B68A1"/>
    <w:pPr>
      <w:keepNext/>
      <w:pageBreakBefore/>
      <w:numPr>
        <w:numId w:val="4"/>
      </w:numPr>
      <w:spacing w:before="0" w:after="240"/>
      <w:ind w:left="851"/>
      <w:outlineLvl w:val="0"/>
    </w:pPr>
    <w:rPr>
      <w:rFonts w:eastAsia="Dotum"/>
      <w:b/>
      <w:kern w:val="32"/>
      <w:sz w:val="40"/>
      <w:szCs w:val="40"/>
    </w:rPr>
  </w:style>
  <w:style w:type="paragraph" w:styleId="Heading2">
    <w:name w:val="heading 2"/>
    <w:aliases w:val="H2 PPV Heading 2"/>
    <w:basedOn w:val="Heading1"/>
    <w:next w:val="PPVBody"/>
    <w:link w:val="Heading2Char"/>
    <w:qFormat/>
    <w:rsid w:val="00DD6314"/>
    <w:pPr>
      <w:pageBreakBefore w:val="0"/>
      <w:numPr>
        <w:ilvl w:val="1"/>
      </w:numPr>
      <w:tabs>
        <w:tab w:val="clear" w:pos="1724"/>
        <w:tab w:val="num" w:pos="851"/>
      </w:tabs>
      <w:spacing w:before="240" w:after="120"/>
      <w:ind w:left="851"/>
      <w:outlineLvl w:val="1"/>
    </w:pPr>
    <w:rPr>
      <w:sz w:val="28"/>
      <w:szCs w:val="28"/>
    </w:rPr>
  </w:style>
  <w:style w:type="paragraph" w:styleId="Heading3">
    <w:name w:val="heading 3"/>
    <w:aliases w:val="H3 PPV Heading 3"/>
    <w:basedOn w:val="Heading1"/>
    <w:next w:val="Normal"/>
    <w:link w:val="Heading3Char"/>
    <w:uiPriority w:val="9"/>
    <w:qFormat/>
    <w:rsid w:val="00A82161"/>
    <w:pPr>
      <w:pageBreakBefore w:val="0"/>
      <w:numPr>
        <w:ilvl w:val="2"/>
      </w:numPr>
      <w:tabs>
        <w:tab w:val="clear" w:pos="1440"/>
        <w:tab w:val="left" w:pos="851"/>
      </w:tabs>
      <w:spacing w:before="180" w:after="120"/>
      <w:outlineLvl w:val="2"/>
    </w:pPr>
    <w:rPr>
      <w:sz w:val="26"/>
      <w:szCs w:val="26"/>
    </w:rPr>
  </w:style>
  <w:style w:type="paragraph" w:styleId="Heading4">
    <w:name w:val="heading 4"/>
    <w:aliases w:val="H4 PPV Heading 3A (roman),H4 PPV Heading 4"/>
    <w:basedOn w:val="Normal"/>
    <w:next w:val="PPVBody"/>
    <w:link w:val="Heading4Char"/>
    <w:qFormat/>
    <w:rsid w:val="00A82161"/>
    <w:pPr>
      <w:keepNext/>
      <w:numPr>
        <w:ilvl w:val="3"/>
        <w:numId w:val="4"/>
      </w:numPr>
      <w:tabs>
        <w:tab w:val="left" w:pos="851"/>
      </w:tabs>
      <w:spacing w:before="240"/>
      <w:outlineLvl w:val="3"/>
    </w:pPr>
    <w:rPr>
      <w:b/>
    </w:rPr>
  </w:style>
  <w:style w:type="paragraph" w:styleId="Heading5">
    <w:name w:val="heading 5"/>
    <w:aliases w:val="PPV Heading 5"/>
    <w:basedOn w:val="Normal"/>
    <w:next w:val="PPVBody"/>
    <w:link w:val="Heading5Char"/>
    <w:rsid w:val="00F34841"/>
    <w:pPr>
      <w:keepNext/>
      <w:spacing w:after="60"/>
      <w:outlineLvl w:val="4"/>
    </w:pPr>
    <w:rPr>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PVBody">
    <w:name w:val="PPV Body"/>
    <w:basedOn w:val="Normal"/>
    <w:link w:val="PPVBodyChar"/>
    <w:qFormat/>
    <w:rsid w:val="003B2656"/>
  </w:style>
  <w:style w:type="character" w:customStyle="1" w:styleId="PPVBodyChar">
    <w:name w:val="PPV Body Char"/>
    <w:basedOn w:val="DefaultParagraphFont"/>
    <w:link w:val="PPVBody"/>
    <w:rsid w:val="003B2656"/>
    <w:rPr>
      <w:rFonts w:ascii="Calibri" w:hAnsi="Calibri" w:cs="Calibri"/>
      <w:sz w:val="26"/>
      <w:szCs w:val="26"/>
    </w:rPr>
  </w:style>
  <w:style w:type="character" w:customStyle="1" w:styleId="Heading1Char">
    <w:name w:val="Heading 1 Char"/>
    <w:aliases w:val="H1 PPV Heading 1 Char"/>
    <w:basedOn w:val="DefaultParagraphFont"/>
    <w:link w:val="Heading1"/>
    <w:rsid w:val="008B68A1"/>
    <w:rPr>
      <w:rFonts w:ascii="Calibri" w:eastAsia="Dotum" w:hAnsi="Calibri" w:cs="Calibri"/>
      <w:b/>
      <w:kern w:val="32"/>
      <w:sz w:val="40"/>
      <w:szCs w:val="40"/>
    </w:rPr>
  </w:style>
  <w:style w:type="character" w:customStyle="1" w:styleId="Heading2Char">
    <w:name w:val="Heading 2 Char"/>
    <w:aliases w:val="H2 PPV Heading 2 Char"/>
    <w:basedOn w:val="DefaultParagraphFont"/>
    <w:link w:val="Heading2"/>
    <w:rsid w:val="00DD6314"/>
    <w:rPr>
      <w:rFonts w:ascii="Calibri" w:eastAsia="Dotum" w:hAnsi="Calibri" w:cs="Calibri"/>
      <w:b/>
      <w:kern w:val="32"/>
      <w:sz w:val="28"/>
      <w:szCs w:val="28"/>
    </w:rPr>
  </w:style>
  <w:style w:type="character" w:customStyle="1" w:styleId="Heading3Char">
    <w:name w:val="Heading 3 Char"/>
    <w:aliases w:val="H3 PPV Heading 3 Char"/>
    <w:basedOn w:val="Heading1Char"/>
    <w:link w:val="Heading3"/>
    <w:uiPriority w:val="9"/>
    <w:rsid w:val="00A82161"/>
    <w:rPr>
      <w:rFonts w:ascii="Calibri" w:eastAsia="Dotum" w:hAnsi="Calibri" w:cs="Calibri"/>
      <w:b/>
      <w:kern w:val="32"/>
      <w:sz w:val="26"/>
      <w:szCs w:val="26"/>
    </w:rPr>
  </w:style>
  <w:style w:type="character" w:customStyle="1" w:styleId="Heading4Char">
    <w:name w:val="Heading 4 Char"/>
    <w:aliases w:val="H4 PPV Heading 3A (roman) Char,H4 PPV Heading 4 Char"/>
    <w:basedOn w:val="DefaultParagraphFont"/>
    <w:link w:val="Heading4"/>
    <w:rsid w:val="003844C2"/>
    <w:rPr>
      <w:rFonts w:ascii="Calibri" w:hAnsi="Calibri" w:cs="Calibri"/>
      <w:b/>
      <w:sz w:val="24"/>
      <w:szCs w:val="24"/>
    </w:rPr>
  </w:style>
  <w:style w:type="character" w:customStyle="1" w:styleId="Heading5Char">
    <w:name w:val="Heading 5 Char"/>
    <w:aliases w:val="PPV Heading 5 Char"/>
    <w:basedOn w:val="DefaultParagraphFont"/>
    <w:link w:val="Heading5"/>
    <w:rsid w:val="00F34841"/>
    <w:rPr>
      <w:rFonts w:ascii="Calibri" w:hAnsi="Calibri" w:cs="Calibri"/>
      <w:b/>
      <w:bCs/>
      <w:iCs/>
      <w:sz w:val="24"/>
      <w:szCs w:val="24"/>
    </w:rPr>
  </w:style>
  <w:style w:type="paragraph" w:customStyle="1" w:styleId="PPVAppendixHeading1">
    <w:name w:val="PPV Appendix Heading 1"/>
    <w:basedOn w:val="Heading1"/>
    <w:next w:val="Normal"/>
    <w:rsid w:val="00070412"/>
    <w:pPr>
      <w:numPr>
        <w:numId w:val="0"/>
      </w:numPr>
      <w:spacing w:after="120"/>
    </w:pPr>
    <w:rPr>
      <w:rFonts w:eastAsia="Times New Roman"/>
      <w:color w:val="215868" w:themeColor="accent5" w:themeShade="80"/>
      <w:kern w:val="0"/>
    </w:rPr>
  </w:style>
  <w:style w:type="paragraph" w:customStyle="1" w:styleId="PPVBullet1">
    <w:name w:val="PPV Bullet 1"/>
    <w:basedOn w:val="PPVBody"/>
    <w:link w:val="PPVBullet1Char"/>
    <w:qFormat/>
    <w:rsid w:val="00785D81"/>
    <w:pPr>
      <w:numPr>
        <w:numId w:val="1"/>
      </w:numPr>
      <w:spacing w:before="0"/>
      <w:contextualSpacing/>
    </w:pPr>
    <w:rPr>
      <w:rFonts w:cs="Times New Roman"/>
    </w:rPr>
  </w:style>
  <w:style w:type="character" w:customStyle="1" w:styleId="PPVBullet1Char">
    <w:name w:val="PPV Bullet 1 Char"/>
    <w:link w:val="PPVBullet1"/>
    <w:locked/>
    <w:rsid w:val="00785D81"/>
    <w:rPr>
      <w:rFonts w:ascii="Calibri" w:hAnsi="Calibri"/>
      <w:sz w:val="24"/>
      <w:szCs w:val="24"/>
    </w:rPr>
  </w:style>
  <w:style w:type="paragraph" w:customStyle="1" w:styleId="PPVBullet2">
    <w:name w:val="PPV Bullet 2"/>
    <w:basedOn w:val="PPVBullet1"/>
    <w:qFormat/>
    <w:rsid w:val="009155AC"/>
    <w:pPr>
      <w:numPr>
        <w:ilvl w:val="1"/>
      </w:numPr>
    </w:pPr>
  </w:style>
  <w:style w:type="paragraph" w:customStyle="1" w:styleId="PPVQuote">
    <w:name w:val="PPV Quote"/>
    <w:basedOn w:val="Normal"/>
    <w:link w:val="PPVQuoteChar"/>
    <w:qFormat/>
    <w:rsid w:val="00FA67EB"/>
    <w:pPr>
      <w:ind w:left="851" w:right="567"/>
    </w:pPr>
    <w:rPr>
      <w:rFonts w:eastAsia="Times"/>
      <w:i/>
    </w:rPr>
  </w:style>
  <w:style w:type="character" w:customStyle="1" w:styleId="PPVQuoteChar">
    <w:name w:val="PPV Quote Char"/>
    <w:basedOn w:val="DefaultParagraphFont"/>
    <w:link w:val="PPVQuote"/>
    <w:rsid w:val="00FA67EB"/>
    <w:rPr>
      <w:rFonts w:ascii="Calibri" w:eastAsia="Times" w:hAnsi="Calibri" w:cs="Calibri"/>
      <w:i/>
      <w:sz w:val="24"/>
      <w:szCs w:val="24"/>
    </w:rPr>
  </w:style>
  <w:style w:type="character" w:styleId="FootnoteReference">
    <w:name w:val="footnote reference"/>
    <w:basedOn w:val="DefaultParagraphFont"/>
    <w:uiPriority w:val="99"/>
    <w:rsid w:val="00F62A03"/>
    <w:rPr>
      <w:vertAlign w:val="superscript"/>
    </w:rPr>
  </w:style>
  <w:style w:type="paragraph" w:styleId="TOC1">
    <w:name w:val="toc 1"/>
    <w:basedOn w:val="Normal"/>
    <w:next w:val="Normal"/>
    <w:autoRedefine/>
    <w:uiPriority w:val="39"/>
    <w:rsid w:val="005D5117"/>
    <w:pPr>
      <w:tabs>
        <w:tab w:val="right" w:leader="dot" w:pos="9072"/>
      </w:tabs>
      <w:ind w:left="567" w:right="658" w:hanging="567"/>
    </w:pPr>
    <w:rPr>
      <w:b/>
      <w:noProof/>
    </w:rPr>
  </w:style>
  <w:style w:type="paragraph" w:styleId="TOC2">
    <w:name w:val="toc 2"/>
    <w:basedOn w:val="Normal"/>
    <w:next w:val="Normal"/>
    <w:autoRedefine/>
    <w:uiPriority w:val="39"/>
    <w:rsid w:val="005D5117"/>
    <w:pPr>
      <w:tabs>
        <w:tab w:val="left" w:pos="1276"/>
        <w:tab w:val="right" w:leader="dot" w:pos="9072"/>
      </w:tabs>
      <w:ind w:left="1134" w:right="851" w:hanging="567"/>
      <w:contextualSpacing/>
    </w:pPr>
    <w:rPr>
      <w:noProof/>
    </w:rPr>
  </w:style>
  <w:style w:type="paragraph" w:styleId="TOC3">
    <w:name w:val="toc 3"/>
    <w:basedOn w:val="Normal"/>
    <w:next w:val="Normal"/>
    <w:autoRedefine/>
    <w:uiPriority w:val="39"/>
    <w:rsid w:val="00681DCE"/>
    <w:pPr>
      <w:tabs>
        <w:tab w:val="left" w:pos="1701"/>
        <w:tab w:val="right" w:leader="dot" w:pos="9072"/>
      </w:tabs>
      <w:ind w:right="660"/>
    </w:pPr>
    <w:rPr>
      <w:b/>
      <w:noProof/>
      <w:color w:val="215868" w:themeColor="accent5" w:themeShade="80"/>
    </w:rPr>
  </w:style>
  <w:style w:type="paragraph" w:styleId="TableofFigures">
    <w:name w:val="table of figures"/>
    <w:basedOn w:val="Normal"/>
    <w:next w:val="Normal"/>
    <w:uiPriority w:val="99"/>
    <w:rsid w:val="005D5117"/>
    <w:pPr>
      <w:tabs>
        <w:tab w:val="left" w:leader="dot" w:pos="1418"/>
        <w:tab w:val="right" w:leader="dot" w:pos="9072"/>
      </w:tabs>
      <w:ind w:left="1134" w:right="1417" w:hanging="1134"/>
    </w:pPr>
  </w:style>
  <w:style w:type="paragraph" w:customStyle="1" w:styleId="PPVAppendixHeading2">
    <w:name w:val="PPV Appendix Heading 2"/>
    <w:basedOn w:val="Heading2"/>
    <w:next w:val="Normal"/>
    <w:rsid w:val="00B60CE7"/>
    <w:pPr>
      <w:numPr>
        <w:ilvl w:val="0"/>
        <w:numId w:val="0"/>
      </w:numPr>
      <w:tabs>
        <w:tab w:val="left" w:pos="851"/>
      </w:tabs>
      <w:spacing w:before="0" w:after="0"/>
      <w:ind w:left="851" w:hanging="851"/>
    </w:pPr>
    <w:rPr>
      <w:sz w:val="40"/>
      <w:szCs w:val="32"/>
    </w:rPr>
  </w:style>
  <w:style w:type="paragraph" w:customStyle="1" w:styleId="PPVQuoteBullet1">
    <w:name w:val="PPV Quote Bullet 1"/>
    <w:basedOn w:val="PPVQuote"/>
    <w:qFormat/>
    <w:rsid w:val="009155AC"/>
    <w:pPr>
      <w:numPr>
        <w:numId w:val="2"/>
      </w:numPr>
      <w:tabs>
        <w:tab w:val="clear" w:pos="1429"/>
      </w:tabs>
      <w:spacing w:before="0"/>
      <w:ind w:left="1134" w:hanging="283"/>
    </w:pPr>
  </w:style>
  <w:style w:type="paragraph" w:styleId="TOC5">
    <w:name w:val="toc 5"/>
    <w:basedOn w:val="Normal"/>
    <w:next w:val="Normal"/>
    <w:uiPriority w:val="39"/>
    <w:rsid w:val="00A06D3E"/>
    <w:pPr>
      <w:tabs>
        <w:tab w:val="right" w:leader="dot" w:pos="8354"/>
      </w:tabs>
      <w:spacing w:before="0"/>
      <w:ind w:left="1276" w:hanging="425"/>
    </w:pPr>
    <w:rPr>
      <w:b/>
      <w:noProof/>
    </w:rPr>
  </w:style>
  <w:style w:type="paragraph" w:styleId="TOC4">
    <w:name w:val="toc 4"/>
    <w:basedOn w:val="Normal"/>
    <w:next w:val="Normal"/>
    <w:autoRedefine/>
    <w:uiPriority w:val="39"/>
    <w:rsid w:val="00B15C5F"/>
    <w:pPr>
      <w:tabs>
        <w:tab w:val="left" w:pos="851"/>
        <w:tab w:val="right" w:pos="9072"/>
      </w:tabs>
      <w:ind w:left="851" w:hanging="567"/>
    </w:pPr>
    <w:rPr>
      <w:b/>
      <w:noProof/>
    </w:rPr>
  </w:style>
  <w:style w:type="paragraph" w:styleId="TOC6">
    <w:name w:val="toc 6"/>
    <w:basedOn w:val="Normal"/>
    <w:next w:val="Normal"/>
    <w:autoRedefine/>
    <w:uiPriority w:val="39"/>
    <w:rsid w:val="00DD6314"/>
    <w:pPr>
      <w:tabs>
        <w:tab w:val="right" w:leader="dot" w:pos="9060"/>
      </w:tabs>
      <w:spacing w:before="40"/>
      <w:ind w:left="1276" w:hanging="425"/>
    </w:pPr>
    <w:rPr>
      <w:b/>
      <w:noProof/>
    </w:rPr>
  </w:style>
  <w:style w:type="paragraph" w:styleId="TOC7">
    <w:name w:val="toc 7"/>
    <w:basedOn w:val="Normal"/>
    <w:next w:val="Normal"/>
    <w:autoRedefine/>
    <w:uiPriority w:val="39"/>
    <w:rsid w:val="00D3051D"/>
    <w:pPr>
      <w:tabs>
        <w:tab w:val="right" w:leader="dot" w:pos="9060"/>
      </w:tabs>
      <w:spacing w:before="40"/>
      <w:ind w:left="851" w:hanging="284"/>
    </w:pPr>
    <w:rPr>
      <w:rFonts w:asciiTheme="minorHAnsi" w:hAnsiTheme="minorHAnsi"/>
      <w:b/>
      <w:i/>
      <w:noProof/>
    </w:rPr>
  </w:style>
  <w:style w:type="paragraph" w:styleId="TOC8">
    <w:name w:val="toc 8"/>
    <w:basedOn w:val="Normal"/>
    <w:next w:val="Normal"/>
    <w:autoRedefine/>
    <w:uiPriority w:val="39"/>
    <w:rsid w:val="00F62A03"/>
    <w:pPr>
      <w:ind w:left="1680"/>
    </w:pPr>
    <w:rPr>
      <w:rFonts w:ascii="Times New Roman" w:hAnsi="Times New Roman"/>
      <w:sz w:val="18"/>
    </w:rPr>
  </w:style>
  <w:style w:type="paragraph" w:styleId="TOC9">
    <w:name w:val="toc 9"/>
    <w:basedOn w:val="Normal"/>
    <w:next w:val="Normal"/>
    <w:autoRedefine/>
    <w:uiPriority w:val="39"/>
    <w:rsid w:val="00F62A03"/>
    <w:pPr>
      <w:ind w:left="1920"/>
    </w:pPr>
    <w:rPr>
      <w:rFonts w:ascii="Times New Roman" w:hAnsi="Times New Roman"/>
      <w:sz w:val="18"/>
    </w:rPr>
  </w:style>
  <w:style w:type="paragraph" w:styleId="DocumentMap">
    <w:name w:val="Document Map"/>
    <w:basedOn w:val="Normal"/>
    <w:link w:val="DocumentMapChar"/>
    <w:semiHidden/>
    <w:rsid w:val="00F62A03"/>
    <w:pPr>
      <w:shd w:val="clear" w:color="auto" w:fill="000080"/>
    </w:pPr>
    <w:rPr>
      <w:rFonts w:ascii="Tahoma" w:hAnsi="Tahoma"/>
    </w:rPr>
  </w:style>
  <w:style w:type="paragraph" w:customStyle="1" w:styleId="PPVRecommendation">
    <w:name w:val="PPV Recommendation"/>
    <w:basedOn w:val="Normal"/>
    <w:link w:val="PPVRecommendationChar"/>
    <w:qFormat/>
    <w:rsid w:val="009155AC"/>
    <w:pPr>
      <w:numPr>
        <w:numId w:val="3"/>
      </w:numPr>
      <w:ind w:left="851" w:hanging="567"/>
    </w:pPr>
    <w:rPr>
      <w:b/>
    </w:rPr>
  </w:style>
  <w:style w:type="character" w:customStyle="1" w:styleId="PPVRecommendationChar">
    <w:name w:val="PPV Recommendation Char"/>
    <w:basedOn w:val="DefaultParagraphFont"/>
    <w:link w:val="PPVRecommendation"/>
    <w:rsid w:val="009155AC"/>
    <w:rPr>
      <w:rFonts w:ascii="Calibri" w:hAnsi="Calibri" w:cs="Calibri"/>
      <w:b/>
      <w:sz w:val="24"/>
      <w:szCs w:val="24"/>
    </w:rPr>
  </w:style>
  <w:style w:type="table" w:styleId="TableGrid">
    <w:name w:val="Table Grid"/>
    <w:basedOn w:val="TableNormal"/>
    <w:uiPriority w:val="39"/>
    <w:rsid w:val="001068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rsid w:val="0010689D"/>
    <w:pPr>
      <w:spacing w:before="2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ZZPPVContentsPage">
    <w:name w:val="ZZ PPV Contents Page"/>
    <w:basedOn w:val="Normal"/>
    <w:link w:val="ZZPPVContentsPageChar"/>
    <w:semiHidden/>
    <w:rsid w:val="00681DCE"/>
    <w:pPr>
      <w:tabs>
        <w:tab w:val="center" w:pos="4153"/>
        <w:tab w:val="right" w:pos="8306"/>
      </w:tabs>
    </w:pPr>
    <w:rPr>
      <w:b/>
      <w:color w:val="215868" w:themeColor="accent5" w:themeShade="80"/>
      <w:sz w:val="40"/>
      <w:szCs w:val="52"/>
    </w:rPr>
  </w:style>
  <w:style w:type="character" w:customStyle="1" w:styleId="ZZPPVContentsPageChar">
    <w:name w:val="ZZ PPV Contents Page Char"/>
    <w:basedOn w:val="DefaultParagraphFont"/>
    <w:link w:val="ZZPPVContentsPage"/>
    <w:semiHidden/>
    <w:rsid w:val="00C7773C"/>
    <w:rPr>
      <w:rFonts w:ascii="Calibri" w:hAnsi="Calibri" w:cs="Calibri"/>
      <w:b/>
      <w:color w:val="215868" w:themeColor="accent5" w:themeShade="80"/>
      <w:sz w:val="40"/>
      <w:szCs w:val="52"/>
    </w:rPr>
  </w:style>
  <w:style w:type="character" w:customStyle="1" w:styleId="PPVTrackedDeleted">
    <w:name w:val="PPV Tracked Deleted"/>
    <w:basedOn w:val="DefaultParagraphFont"/>
    <w:rsid w:val="00914FF4"/>
    <w:rPr>
      <w:strike/>
      <w:color w:val="FF0000"/>
    </w:rPr>
  </w:style>
  <w:style w:type="character" w:customStyle="1" w:styleId="PPVTrackedAdded">
    <w:name w:val="PPV Tracked Added"/>
    <w:basedOn w:val="DefaultParagraphFont"/>
    <w:qFormat/>
    <w:rsid w:val="00914FF4"/>
    <w:rPr>
      <w:color w:val="0A1AB6"/>
      <w:u w:val="single"/>
    </w:rPr>
  </w:style>
  <w:style w:type="paragraph" w:styleId="Header">
    <w:name w:val="header"/>
    <w:basedOn w:val="Normal"/>
    <w:link w:val="HeaderChar"/>
    <w:qFormat/>
    <w:rsid w:val="00F246C7"/>
    <w:pPr>
      <w:tabs>
        <w:tab w:val="center" w:pos="4513"/>
        <w:tab w:val="right" w:pos="9026"/>
      </w:tabs>
      <w:spacing w:before="0"/>
    </w:pPr>
  </w:style>
  <w:style w:type="character" w:customStyle="1" w:styleId="HeaderChar">
    <w:name w:val="Header Char"/>
    <w:basedOn w:val="DefaultParagraphFont"/>
    <w:link w:val="Header"/>
    <w:rsid w:val="00C7773C"/>
    <w:rPr>
      <w:rFonts w:ascii="Calibri" w:hAnsi="Calibri" w:cs="Calibri"/>
      <w:sz w:val="24"/>
      <w:szCs w:val="24"/>
    </w:rPr>
  </w:style>
  <w:style w:type="paragraph" w:customStyle="1" w:styleId="PPVTableText">
    <w:name w:val="PPV Table Text"/>
    <w:basedOn w:val="Normal"/>
    <w:rsid w:val="005018FE"/>
    <w:pPr>
      <w:spacing w:before="60" w:after="60"/>
      <w:jc w:val="left"/>
    </w:pPr>
    <w:rPr>
      <w:sz w:val="20"/>
    </w:rPr>
  </w:style>
  <w:style w:type="paragraph" w:customStyle="1" w:styleId="PPVTableTextBullet">
    <w:name w:val="PPV Table Text Bullet"/>
    <w:basedOn w:val="PPVTableText"/>
    <w:rsid w:val="00591AD9"/>
    <w:pPr>
      <w:numPr>
        <w:numId w:val="5"/>
      </w:numPr>
      <w:ind w:left="170" w:hanging="170"/>
    </w:pPr>
  </w:style>
  <w:style w:type="paragraph" w:customStyle="1" w:styleId="AAAPanelName">
    <w:name w:val="AAA Panel Name"/>
    <w:basedOn w:val="Normal"/>
    <w:link w:val="AAAPanelNameChar"/>
    <w:semiHidden/>
    <w:rsid w:val="00BE0A0B"/>
    <w:pPr>
      <w:jc w:val="left"/>
    </w:pPr>
    <w:rPr>
      <w:color w:val="FFFFFF" w:themeColor="background1"/>
      <w:sz w:val="40"/>
      <w:szCs w:val="40"/>
    </w:rPr>
  </w:style>
  <w:style w:type="character" w:customStyle="1" w:styleId="AAAPanelNameChar">
    <w:name w:val="AAA Panel Name Char"/>
    <w:basedOn w:val="DefaultParagraphFont"/>
    <w:link w:val="AAAPanelName"/>
    <w:semiHidden/>
    <w:rsid w:val="00BE0A0B"/>
    <w:rPr>
      <w:rFonts w:ascii="Calibri" w:hAnsi="Calibri" w:cs="Calibri"/>
      <w:color w:val="FFFFFF" w:themeColor="background1"/>
      <w:sz w:val="40"/>
      <w:szCs w:val="40"/>
    </w:rPr>
  </w:style>
  <w:style w:type="paragraph" w:customStyle="1" w:styleId="NormalBlue">
    <w:name w:val="Normal Blue"/>
    <w:basedOn w:val="Normal"/>
    <w:link w:val="NormalBlueChar"/>
    <w:semiHidden/>
    <w:rsid w:val="00D02491"/>
    <w:rPr>
      <w:color w:val="1F497D"/>
    </w:rPr>
  </w:style>
  <w:style w:type="character" w:customStyle="1" w:styleId="NormalBlueChar">
    <w:name w:val="Normal Blue Char"/>
    <w:basedOn w:val="DefaultParagraphFont"/>
    <w:link w:val="NormalBlue"/>
    <w:semiHidden/>
    <w:rsid w:val="00C7773C"/>
    <w:rPr>
      <w:rFonts w:ascii="Calibri" w:hAnsi="Calibri" w:cs="Calibri"/>
      <w:color w:val="1F497D"/>
      <w:sz w:val="24"/>
      <w:szCs w:val="24"/>
    </w:rPr>
  </w:style>
  <w:style w:type="paragraph" w:customStyle="1" w:styleId="ZZPPVContentsPageNo">
    <w:name w:val="ZZ PPV Contents Page No"/>
    <w:basedOn w:val="ZZPPVContentsPage"/>
    <w:link w:val="ZZPPVContentsPageNoChar"/>
    <w:semiHidden/>
    <w:rsid w:val="00C449DA"/>
    <w:pPr>
      <w:tabs>
        <w:tab w:val="clear" w:pos="4153"/>
      </w:tabs>
      <w:spacing w:before="240"/>
      <w:jc w:val="right"/>
    </w:pPr>
    <w:rPr>
      <w:sz w:val="24"/>
      <w:szCs w:val="24"/>
    </w:rPr>
  </w:style>
  <w:style w:type="character" w:customStyle="1" w:styleId="ZZPPVContentsPageNoChar">
    <w:name w:val="ZZ PPV Contents Page No Char"/>
    <w:basedOn w:val="ZZPPVContentsPageChar"/>
    <w:link w:val="ZZPPVContentsPageNo"/>
    <w:semiHidden/>
    <w:rsid w:val="00C7773C"/>
    <w:rPr>
      <w:rFonts w:ascii="Calibri" w:hAnsi="Calibri" w:cs="Calibri"/>
      <w:b/>
      <w:color w:val="215868" w:themeColor="accent5" w:themeShade="80"/>
      <w:sz w:val="24"/>
      <w:szCs w:val="24"/>
    </w:rPr>
  </w:style>
  <w:style w:type="character" w:styleId="Hyperlink">
    <w:name w:val="Hyperlink"/>
    <w:basedOn w:val="DefaultParagraphFont"/>
    <w:uiPriority w:val="99"/>
    <w:rsid w:val="005D5117"/>
    <w:rPr>
      <w:color w:val="000000" w:themeColor="text1"/>
      <w:u w:val="single"/>
    </w:rPr>
  </w:style>
  <w:style w:type="paragraph" w:customStyle="1" w:styleId="PPVRecommendationAlphaList">
    <w:name w:val="PPV Recommendation Alpha List"/>
    <w:basedOn w:val="PPVBullet1"/>
    <w:link w:val="PPVRecommendationAlphaListChar"/>
    <w:qFormat/>
    <w:rsid w:val="007F5BFA"/>
    <w:pPr>
      <w:numPr>
        <w:ilvl w:val="1"/>
        <w:numId w:val="3"/>
      </w:numPr>
      <w:ind w:left="1418" w:hanging="567"/>
    </w:pPr>
    <w:rPr>
      <w:b/>
    </w:rPr>
  </w:style>
  <w:style w:type="character" w:customStyle="1" w:styleId="PPVRecommendationAlphaListChar">
    <w:name w:val="PPV Recommendation Alpha List Char"/>
    <w:basedOn w:val="PPVBullet1Char"/>
    <w:link w:val="PPVRecommendationAlphaList"/>
    <w:rsid w:val="007F5BFA"/>
    <w:rPr>
      <w:rFonts w:ascii="Calibri" w:hAnsi="Calibri"/>
      <w:b/>
      <w:sz w:val="24"/>
      <w:szCs w:val="24"/>
    </w:rPr>
  </w:style>
  <w:style w:type="paragraph" w:customStyle="1" w:styleId="PPVTableHeader">
    <w:name w:val="PPV Table Header"/>
    <w:basedOn w:val="Normal"/>
    <w:rsid w:val="00840FF5"/>
    <w:pPr>
      <w:spacing w:before="60" w:after="60"/>
    </w:pPr>
    <w:rPr>
      <w:b/>
      <w:color w:val="FFFFFF"/>
      <w:sz w:val="20"/>
    </w:rPr>
  </w:style>
  <w:style w:type="character" w:styleId="PlaceholderText">
    <w:name w:val="Placeholder Text"/>
    <w:basedOn w:val="DefaultParagraphFont"/>
    <w:uiPriority w:val="99"/>
    <w:semiHidden/>
    <w:rsid w:val="002F3EE3"/>
    <w:rPr>
      <w:color w:val="808080"/>
    </w:rPr>
  </w:style>
  <w:style w:type="paragraph" w:styleId="Caption">
    <w:name w:val="caption"/>
    <w:aliases w:val="PPV Caption"/>
    <w:basedOn w:val="PPVBody"/>
    <w:next w:val="PPVBody"/>
    <w:qFormat/>
    <w:rsid w:val="00D164A8"/>
    <w:pPr>
      <w:keepNext/>
      <w:spacing w:after="60"/>
      <w:ind w:left="1134" w:hanging="1134"/>
    </w:pPr>
    <w:rPr>
      <w:b/>
      <w:color w:val="215868" w:themeColor="accent5" w:themeShade="80"/>
      <w:sz w:val="20"/>
      <w:szCs w:val="20"/>
    </w:rPr>
  </w:style>
  <w:style w:type="paragraph" w:styleId="Footer">
    <w:name w:val="footer"/>
    <w:basedOn w:val="Normal"/>
    <w:link w:val="FooterChar"/>
    <w:uiPriority w:val="99"/>
    <w:rsid w:val="00F4133B"/>
    <w:pPr>
      <w:pBdr>
        <w:top w:val="single" w:sz="4" w:space="1" w:color="auto"/>
      </w:pBdr>
      <w:tabs>
        <w:tab w:val="center" w:pos="4513"/>
        <w:tab w:val="right" w:pos="9026"/>
      </w:tabs>
      <w:spacing w:before="0"/>
      <w:ind w:left="7513"/>
      <w:jc w:val="right"/>
    </w:pPr>
    <w:rPr>
      <w:sz w:val="20"/>
    </w:rPr>
  </w:style>
  <w:style w:type="character" w:customStyle="1" w:styleId="FooterChar">
    <w:name w:val="Footer Char"/>
    <w:basedOn w:val="DefaultParagraphFont"/>
    <w:link w:val="Footer"/>
    <w:uiPriority w:val="99"/>
    <w:rsid w:val="00F4133B"/>
    <w:rPr>
      <w:rFonts w:ascii="Calibri" w:hAnsi="Calibri" w:cs="Calibri"/>
      <w:szCs w:val="24"/>
    </w:rPr>
  </w:style>
  <w:style w:type="character" w:styleId="CommentReference">
    <w:name w:val="annotation reference"/>
    <w:basedOn w:val="DefaultParagraphFont"/>
    <w:rsid w:val="00313ED2"/>
    <w:rPr>
      <w:sz w:val="16"/>
      <w:szCs w:val="16"/>
    </w:rPr>
  </w:style>
  <w:style w:type="paragraph" w:styleId="CommentText">
    <w:name w:val="annotation text"/>
    <w:basedOn w:val="Normal"/>
    <w:link w:val="CommentTextChar"/>
    <w:rsid w:val="00313ED2"/>
    <w:rPr>
      <w:sz w:val="20"/>
      <w:szCs w:val="20"/>
    </w:rPr>
  </w:style>
  <w:style w:type="character" w:customStyle="1" w:styleId="CommentTextChar">
    <w:name w:val="Comment Text Char"/>
    <w:basedOn w:val="DefaultParagraphFont"/>
    <w:link w:val="CommentText"/>
    <w:rsid w:val="00C7773C"/>
    <w:rPr>
      <w:rFonts w:ascii="Calibri" w:hAnsi="Calibri" w:cs="Calibri"/>
    </w:rPr>
  </w:style>
  <w:style w:type="paragraph" w:styleId="CommentSubject">
    <w:name w:val="annotation subject"/>
    <w:basedOn w:val="CommentText"/>
    <w:next w:val="CommentText"/>
    <w:link w:val="CommentSubjectChar"/>
    <w:uiPriority w:val="99"/>
    <w:rsid w:val="00313ED2"/>
    <w:rPr>
      <w:b/>
      <w:bCs/>
    </w:rPr>
  </w:style>
  <w:style w:type="character" w:customStyle="1" w:styleId="CommentSubjectChar">
    <w:name w:val="Comment Subject Char"/>
    <w:basedOn w:val="CommentTextChar"/>
    <w:link w:val="CommentSubject"/>
    <w:uiPriority w:val="99"/>
    <w:rsid w:val="00C7773C"/>
    <w:rPr>
      <w:rFonts w:ascii="Calibri" w:hAnsi="Calibri" w:cs="Calibri"/>
      <w:b/>
      <w:bCs/>
    </w:rPr>
  </w:style>
  <w:style w:type="paragraph" w:styleId="BalloonText">
    <w:name w:val="Balloon Text"/>
    <w:basedOn w:val="Normal"/>
    <w:link w:val="BalloonTextChar"/>
    <w:rsid w:val="00313ED2"/>
    <w:pPr>
      <w:spacing w:before="0"/>
    </w:pPr>
    <w:rPr>
      <w:rFonts w:ascii="Tahoma" w:hAnsi="Tahoma" w:cs="Tahoma"/>
      <w:sz w:val="16"/>
      <w:szCs w:val="16"/>
    </w:rPr>
  </w:style>
  <w:style w:type="character" w:customStyle="1" w:styleId="BalloonTextChar">
    <w:name w:val="Balloon Text Char"/>
    <w:basedOn w:val="DefaultParagraphFont"/>
    <w:link w:val="BalloonText"/>
    <w:rsid w:val="00C7773C"/>
    <w:rPr>
      <w:rFonts w:ascii="Tahoma" w:hAnsi="Tahoma" w:cs="Tahoma"/>
      <w:sz w:val="16"/>
      <w:szCs w:val="16"/>
    </w:rPr>
  </w:style>
  <w:style w:type="paragraph" w:customStyle="1" w:styleId="AADate">
    <w:name w:val="AA Date"/>
    <w:basedOn w:val="AAAPanelName"/>
    <w:link w:val="AADateChar"/>
    <w:semiHidden/>
    <w:rsid w:val="00681DCE"/>
    <w:rPr>
      <w:b/>
      <w:color w:val="215868" w:themeColor="accent5" w:themeShade="80"/>
    </w:rPr>
  </w:style>
  <w:style w:type="character" w:customStyle="1" w:styleId="AADateChar">
    <w:name w:val="AA Date Char"/>
    <w:basedOn w:val="AAAPanelNameChar"/>
    <w:link w:val="AADate"/>
    <w:semiHidden/>
    <w:rsid w:val="00C7773C"/>
    <w:rPr>
      <w:rFonts w:ascii="Calibri" w:hAnsi="Calibri" w:cs="Calibri"/>
      <w:b/>
      <w:color w:val="215868" w:themeColor="accent5" w:themeShade="80"/>
      <w:sz w:val="40"/>
      <w:szCs w:val="40"/>
    </w:rPr>
  </w:style>
  <w:style w:type="paragraph" w:customStyle="1" w:styleId="AACommonName">
    <w:name w:val="AA Common Name"/>
    <w:basedOn w:val="Normal"/>
    <w:link w:val="AACommonNameChar"/>
    <w:semiHidden/>
    <w:rsid w:val="0041343D"/>
    <w:rPr>
      <w:color w:val="FFFFFF" w:themeColor="background1"/>
      <w:sz w:val="36"/>
      <w:szCs w:val="36"/>
    </w:rPr>
  </w:style>
  <w:style w:type="character" w:customStyle="1" w:styleId="AACommonNameChar">
    <w:name w:val="AA Common Name Char"/>
    <w:basedOn w:val="DefaultParagraphFont"/>
    <w:link w:val="AACommonName"/>
    <w:semiHidden/>
    <w:rsid w:val="0041343D"/>
    <w:rPr>
      <w:rFonts w:ascii="Calibri" w:hAnsi="Calibri" w:cs="Calibri"/>
      <w:color w:val="FFFFFF" w:themeColor="background1"/>
      <w:sz w:val="36"/>
      <w:szCs w:val="36"/>
    </w:rPr>
  </w:style>
  <w:style w:type="paragraph" w:styleId="ListParagraph">
    <w:name w:val="List Paragraph"/>
    <w:basedOn w:val="Normal"/>
    <w:link w:val="ListParagraphChar"/>
    <w:uiPriority w:val="34"/>
    <w:qFormat/>
    <w:rsid w:val="00EE24C3"/>
    <w:pPr>
      <w:ind w:left="720"/>
      <w:contextualSpacing/>
    </w:pPr>
  </w:style>
  <w:style w:type="character" w:customStyle="1" w:styleId="ListParagraphChar">
    <w:name w:val="List Paragraph Char"/>
    <w:basedOn w:val="DefaultParagraphFont"/>
    <w:link w:val="ListParagraph"/>
    <w:uiPriority w:val="34"/>
    <w:rsid w:val="00205A2F"/>
    <w:rPr>
      <w:rFonts w:ascii="Calibri" w:hAnsi="Calibri" w:cs="Calibri"/>
      <w:sz w:val="24"/>
      <w:szCs w:val="24"/>
    </w:rPr>
  </w:style>
  <w:style w:type="paragraph" w:customStyle="1" w:styleId="PPVTableHeader2">
    <w:name w:val="PPV Table Header 2"/>
    <w:basedOn w:val="PPVTableText"/>
    <w:rsid w:val="009636A5"/>
    <w:pPr>
      <w:keepNext/>
      <w:jc w:val="both"/>
    </w:pPr>
    <w:rPr>
      <w:rFonts w:asciiTheme="minorHAnsi" w:hAnsiTheme="minorHAnsi" w:cstheme="minorHAnsi"/>
      <w:b/>
      <w:color w:val="215868" w:themeColor="accent5" w:themeShade="80"/>
      <w:szCs w:val="22"/>
    </w:rPr>
  </w:style>
  <w:style w:type="paragraph" w:customStyle="1" w:styleId="PPVRecommendationBullet">
    <w:name w:val="PPV Recommendation Bullet"/>
    <w:basedOn w:val="PPVRecommendationAlphaList"/>
    <w:link w:val="PPVRecommendationBulletChar"/>
    <w:qFormat/>
    <w:rsid w:val="00E500BC"/>
    <w:pPr>
      <w:numPr>
        <w:ilvl w:val="2"/>
      </w:numPr>
      <w:ind w:left="1843" w:hanging="425"/>
    </w:pPr>
  </w:style>
  <w:style w:type="character" w:customStyle="1" w:styleId="PPVRecommendationBulletChar">
    <w:name w:val="PPV Recommendation Bullet Char"/>
    <w:basedOn w:val="PPVRecommendationAlphaListChar"/>
    <w:link w:val="PPVRecommendationBullet"/>
    <w:rsid w:val="00E500BC"/>
    <w:rPr>
      <w:rFonts w:ascii="Calibri" w:hAnsi="Calibri"/>
      <w:b/>
      <w:sz w:val="24"/>
      <w:szCs w:val="24"/>
    </w:rPr>
  </w:style>
  <w:style w:type="paragraph" w:styleId="FootnoteText">
    <w:name w:val="footnote text"/>
    <w:basedOn w:val="Normal"/>
    <w:link w:val="FootnoteTextChar"/>
    <w:uiPriority w:val="99"/>
    <w:unhideWhenUsed/>
    <w:rsid w:val="0098047C"/>
    <w:pPr>
      <w:spacing w:before="0"/>
      <w:ind w:left="567" w:hanging="567"/>
    </w:pPr>
    <w:rPr>
      <w:sz w:val="18"/>
      <w:szCs w:val="20"/>
    </w:rPr>
  </w:style>
  <w:style w:type="character" w:customStyle="1" w:styleId="FootnoteTextChar">
    <w:name w:val="Footnote Text Char"/>
    <w:basedOn w:val="DefaultParagraphFont"/>
    <w:link w:val="FootnoteText"/>
    <w:uiPriority w:val="99"/>
    <w:rsid w:val="0098047C"/>
    <w:rPr>
      <w:rFonts w:ascii="Calibri" w:hAnsi="Calibri" w:cs="Calibri"/>
      <w:sz w:val="18"/>
    </w:rPr>
  </w:style>
  <w:style w:type="paragraph" w:styleId="BodyText">
    <w:name w:val="Body Text"/>
    <w:basedOn w:val="ListNumber"/>
    <w:link w:val="BodyTextChar"/>
    <w:qFormat/>
    <w:rsid w:val="00AB409D"/>
    <w:pPr>
      <w:numPr>
        <w:numId w:val="0"/>
      </w:numPr>
      <w:spacing w:after="120" w:line="240" w:lineRule="atLeast"/>
      <w:contextualSpacing w:val="0"/>
      <w:jc w:val="left"/>
    </w:pPr>
    <w:rPr>
      <w:rFonts w:asciiTheme="minorHAnsi" w:hAnsiTheme="minorHAnsi" w:cs="Arial"/>
      <w:color w:val="000000" w:themeColor="text1"/>
      <w:sz w:val="20"/>
      <w:szCs w:val="20"/>
    </w:rPr>
  </w:style>
  <w:style w:type="paragraph" w:styleId="ListNumber">
    <w:name w:val="List Number"/>
    <w:basedOn w:val="Normal"/>
    <w:semiHidden/>
    <w:rsid w:val="00AB409D"/>
    <w:pPr>
      <w:numPr>
        <w:numId w:val="6"/>
      </w:numPr>
      <w:contextualSpacing/>
    </w:pPr>
  </w:style>
  <w:style w:type="character" w:customStyle="1" w:styleId="BodyTextChar">
    <w:name w:val="Body Text Char"/>
    <w:basedOn w:val="DefaultParagraphFont"/>
    <w:link w:val="BodyText"/>
    <w:rsid w:val="00AB409D"/>
    <w:rPr>
      <w:rFonts w:asciiTheme="minorHAnsi" w:hAnsiTheme="minorHAnsi" w:cs="Arial"/>
      <w:color w:val="000000" w:themeColor="text1"/>
    </w:rPr>
  </w:style>
  <w:style w:type="paragraph" w:styleId="ListBullet">
    <w:name w:val="List Bullet"/>
    <w:basedOn w:val="Normal"/>
    <w:unhideWhenUsed/>
    <w:qFormat/>
    <w:rsid w:val="00AB409D"/>
    <w:pPr>
      <w:tabs>
        <w:tab w:val="num" w:pos="1097"/>
      </w:tabs>
      <w:spacing w:after="120" w:line="240" w:lineRule="atLeast"/>
      <w:ind w:left="1097" w:hanging="170"/>
      <w:jc w:val="left"/>
    </w:pPr>
    <w:rPr>
      <w:rFonts w:asciiTheme="minorHAnsi" w:hAnsiTheme="minorHAnsi" w:cs="Arial"/>
      <w:color w:val="000000" w:themeColor="text1"/>
      <w:sz w:val="20"/>
      <w:szCs w:val="20"/>
    </w:rPr>
  </w:style>
  <w:style w:type="paragraph" w:styleId="ListBullet2">
    <w:name w:val="List Bullet 2"/>
    <w:basedOn w:val="ListBullet"/>
    <w:unhideWhenUsed/>
    <w:qFormat/>
    <w:rsid w:val="00AB409D"/>
    <w:pPr>
      <w:numPr>
        <w:ilvl w:val="1"/>
      </w:numPr>
      <w:tabs>
        <w:tab w:val="num" w:pos="1097"/>
      </w:tabs>
      <w:ind w:left="1097" w:hanging="170"/>
    </w:pPr>
  </w:style>
  <w:style w:type="paragraph" w:styleId="ListBullet3">
    <w:name w:val="List Bullet 3"/>
    <w:basedOn w:val="Normal"/>
    <w:unhideWhenUsed/>
    <w:rsid w:val="00AB409D"/>
    <w:pPr>
      <w:numPr>
        <w:ilvl w:val="2"/>
        <w:numId w:val="7"/>
      </w:numPr>
      <w:spacing w:after="120" w:line="240" w:lineRule="atLeast"/>
      <w:jc w:val="left"/>
    </w:pPr>
    <w:rPr>
      <w:rFonts w:asciiTheme="minorHAnsi" w:hAnsiTheme="minorHAnsi" w:cs="Arial"/>
      <w:color w:val="000000" w:themeColor="text1"/>
      <w:sz w:val="20"/>
      <w:szCs w:val="20"/>
    </w:rPr>
  </w:style>
  <w:style w:type="paragraph" w:styleId="Title">
    <w:name w:val="Title"/>
    <w:basedOn w:val="Normal"/>
    <w:link w:val="TitleChar"/>
    <w:qFormat/>
    <w:rsid w:val="00D335EA"/>
    <w:pPr>
      <w:spacing w:before="240" w:after="60"/>
      <w:jc w:val="center"/>
      <w:outlineLvl w:val="0"/>
    </w:pPr>
    <w:rPr>
      <w:rFonts w:ascii="Arial" w:hAnsi="Arial" w:cs="Arial"/>
      <w:b/>
      <w:bCs/>
      <w:kern w:val="28"/>
      <w:sz w:val="32"/>
      <w:szCs w:val="32"/>
    </w:rPr>
  </w:style>
  <w:style w:type="character" w:customStyle="1" w:styleId="TitleChar">
    <w:name w:val="Title Char"/>
    <w:basedOn w:val="DefaultParagraphFont"/>
    <w:link w:val="Title"/>
    <w:rsid w:val="00D335EA"/>
    <w:rPr>
      <w:rFonts w:ascii="Arial" w:hAnsi="Arial" w:cs="Arial"/>
      <w:b/>
      <w:bCs/>
      <w:kern w:val="28"/>
      <w:sz w:val="32"/>
      <w:szCs w:val="32"/>
    </w:rPr>
  </w:style>
  <w:style w:type="paragraph" w:customStyle="1" w:styleId="Checkbox">
    <w:name w:val="Checkbox"/>
    <w:basedOn w:val="Heading3"/>
    <w:rsid w:val="00D335EA"/>
    <w:pPr>
      <w:numPr>
        <w:ilvl w:val="0"/>
        <w:numId w:val="9"/>
      </w:numPr>
      <w:spacing w:before="240" w:after="0"/>
      <w:jc w:val="left"/>
    </w:pPr>
    <w:rPr>
      <w:rFonts w:ascii="Arial" w:eastAsia="Times New Roman" w:hAnsi="Arial" w:cs="Times New Roman"/>
      <w:kern w:val="0"/>
      <w:sz w:val="24"/>
      <w:szCs w:val="24"/>
    </w:rPr>
  </w:style>
  <w:style w:type="character" w:styleId="FollowedHyperlink">
    <w:name w:val="FollowedHyperlink"/>
    <w:basedOn w:val="DefaultParagraphFont"/>
    <w:rsid w:val="00D335EA"/>
    <w:rPr>
      <w:color w:val="800080" w:themeColor="followedHyperlink"/>
      <w:u w:val="single"/>
    </w:rPr>
  </w:style>
  <w:style w:type="paragraph" w:customStyle="1" w:styleId="Version">
    <w:name w:val="Version"/>
    <w:basedOn w:val="Normal"/>
    <w:rsid w:val="00D335EA"/>
    <w:rPr>
      <w:rFonts w:ascii="Palatino Linotype" w:hAnsi="Palatino Linotype" w:cs="Times New Roman"/>
      <w:i/>
      <w:sz w:val="22"/>
      <w:szCs w:val="22"/>
    </w:rPr>
  </w:style>
  <w:style w:type="paragraph" w:customStyle="1" w:styleId="Tabletext">
    <w:name w:val="Table text"/>
    <w:qFormat/>
    <w:rsid w:val="008C01B2"/>
    <w:pPr>
      <w:spacing w:before="60" w:after="60"/>
    </w:pPr>
    <w:rPr>
      <w:rFonts w:ascii="Arial" w:hAnsi="Arial"/>
      <w:sz w:val="18"/>
    </w:rPr>
  </w:style>
  <w:style w:type="character" w:styleId="Emphasis">
    <w:name w:val="Emphasis"/>
    <w:basedOn w:val="DefaultParagraphFont"/>
    <w:uiPriority w:val="20"/>
    <w:qFormat/>
    <w:rsid w:val="003844C2"/>
    <w:rPr>
      <w:i/>
      <w:iCs/>
    </w:rPr>
  </w:style>
  <w:style w:type="paragraph" w:styleId="NormalWeb">
    <w:name w:val="Normal (Web)"/>
    <w:basedOn w:val="Normal"/>
    <w:uiPriority w:val="99"/>
    <w:semiHidden/>
    <w:unhideWhenUsed/>
    <w:rsid w:val="00B701E6"/>
    <w:pPr>
      <w:spacing w:before="0"/>
      <w:jc w:val="left"/>
    </w:pPr>
    <w:rPr>
      <w:rFonts w:ascii="Times New Roman" w:hAnsi="Times New Roman" w:cs="Times New Roman"/>
    </w:rPr>
  </w:style>
  <w:style w:type="paragraph" w:customStyle="1" w:styleId="PPVRecommendationDrafting">
    <w:name w:val="PPV Recommendation Drafting"/>
    <w:basedOn w:val="PPVBody"/>
    <w:rsid w:val="00181298"/>
    <w:pPr>
      <w:numPr>
        <w:numId w:val="18"/>
      </w:numPr>
      <w:spacing w:before="0"/>
      <w:ind w:left="567" w:hanging="567"/>
    </w:pPr>
    <w:rPr>
      <w:b/>
      <w:i/>
    </w:rPr>
  </w:style>
  <w:style w:type="paragraph" w:customStyle="1" w:styleId="PPVQuotewithanumber">
    <w:name w:val="PPV Quote with a number"/>
    <w:basedOn w:val="PPVQuote"/>
    <w:rsid w:val="006236F3"/>
    <w:pPr>
      <w:ind w:hanging="567"/>
    </w:pPr>
  </w:style>
  <w:style w:type="character" w:customStyle="1" w:styleId="DocumentMapChar">
    <w:name w:val="Document Map Char"/>
    <w:basedOn w:val="DefaultParagraphFont"/>
    <w:link w:val="DocumentMap"/>
    <w:semiHidden/>
    <w:rsid w:val="00840FF5"/>
    <w:rPr>
      <w:rFonts w:ascii="Tahoma" w:hAnsi="Tahoma" w:cs="Calibri"/>
      <w:sz w:val="24"/>
      <w:szCs w:val="24"/>
      <w:shd w:val="clear" w:color="auto" w:fill="000080"/>
    </w:rPr>
  </w:style>
  <w:style w:type="paragraph" w:customStyle="1" w:styleId="PPVQuoteBullet2">
    <w:name w:val="PPV Quote Bullet 2"/>
    <w:basedOn w:val="PPVQuoteBullet1"/>
    <w:rsid w:val="00320E3C"/>
    <w:pPr>
      <w:numPr>
        <w:ilvl w:val="1"/>
        <w:numId w:val="16"/>
      </w:numPr>
    </w:pPr>
  </w:style>
  <w:style w:type="paragraph" w:customStyle="1" w:styleId="PPVrecomdationBullet2">
    <w:name w:val="PPV recomdation Bullet 2"/>
    <w:basedOn w:val="Normal"/>
    <w:rsid w:val="007C1417"/>
    <w:pPr>
      <w:numPr>
        <w:ilvl w:val="1"/>
        <w:numId w:val="15"/>
      </w:numPr>
      <w:spacing w:before="0"/>
      <w:ind w:left="1434" w:hanging="357"/>
    </w:pPr>
    <w:rPr>
      <w:i/>
    </w:rPr>
  </w:style>
  <w:style w:type="character" w:customStyle="1" w:styleId="CaptionBold">
    <w:name w:val="Caption Bold"/>
    <w:uiPriority w:val="99"/>
    <w:rsid w:val="00953151"/>
    <w:rPr>
      <w:b/>
      <w:i/>
    </w:rPr>
  </w:style>
  <w:style w:type="paragraph" w:customStyle="1" w:styleId="PPVSource">
    <w:name w:val="PPV Source"/>
    <w:basedOn w:val="PPVBody"/>
    <w:rsid w:val="00846C0A"/>
    <w:pPr>
      <w:spacing w:before="0"/>
      <w:ind w:left="851" w:hanging="851"/>
    </w:pPr>
    <w:rPr>
      <w:sz w:val="20"/>
      <w:szCs w:val="20"/>
    </w:rPr>
  </w:style>
  <w:style w:type="character" w:customStyle="1" w:styleId="st1">
    <w:name w:val="st1"/>
    <w:basedOn w:val="DefaultParagraphFont"/>
    <w:rsid w:val="00F34EE4"/>
  </w:style>
  <w:style w:type="paragraph" w:customStyle="1" w:styleId="Bullet1">
    <w:name w:val="Bullet 1"/>
    <w:basedOn w:val="Normal"/>
    <w:rsid w:val="00B11559"/>
    <w:pPr>
      <w:numPr>
        <w:numId w:val="20"/>
      </w:numPr>
      <w:suppressAutoHyphens/>
      <w:autoSpaceDE w:val="0"/>
      <w:autoSpaceDN w:val="0"/>
      <w:adjustRightInd w:val="0"/>
      <w:spacing w:before="0" w:after="170" w:line="280" w:lineRule="atLeast"/>
      <w:jc w:val="left"/>
      <w:textAlignment w:val="center"/>
    </w:pPr>
    <w:rPr>
      <w:rFonts w:ascii="DIN-Regular" w:hAnsi="DIN-Regular" w:cs="DIN-Regular"/>
      <w:color w:val="000000"/>
      <w:sz w:val="20"/>
      <w:szCs w:val="20"/>
      <w:lang w:val="en-GB"/>
    </w:rPr>
  </w:style>
  <w:style w:type="paragraph" w:customStyle="1" w:styleId="ToRNumberedPara">
    <w:name w:val="ToR Numbered Para"/>
    <w:basedOn w:val="ListParagraph"/>
    <w:link w:val="ToRNumberedParaChar"/>
    <w:rsid w:val="00EC1209"/>
    <w:pPr>
      <w:numPr>
        <w:numId w:val="7"/>
      </w:numPr>
      <w:contextualSpacing w:val="0"/>
    </w:pPr>
    <w:rPr>
      <w:rFonts w:ascii="Arial" w:hAnsi="Arial" w:cs="Arial"/>
    </w:rPr>
  </w:style>
  <w:style w:type="character" w:customStyle="1" w:styleId="ToRNumberedParaChar">
    <w:name w:val="ToR Numbered Para Char"/>
    <w:basedOn w:val="ListParagraphChar"/>
    <w:link w:val="ToRNumberedPara"/>
    <w:rsid w:val="00EC1209"/>
    <w:rPr>
      <w:rFonts w:ascii="Arial" w:hAnsi="Arial" w:cs="Arial"/>
      <w:sz w:val="24"/>
      <w:szCs w:val="24"/>
    </w:rPr>
  </w:style>
  <w:style w:type="paragraph" w:customStyle="1" w:styleId="ToRAlphaPara">
    <w:name w:val="ToR Alpha Para"/>
    <w:basedOn w:val="ToRNumberedPara"/>
    <w:link w:val="ToRAlphaParaChar"/>
    <w:qFormat/>
    <w:rsid w:val="00EC1209"/>
    <w:rPr>
      <w:rFonts w:eastAsia="Times"/>
    </w:rPr>
  </w:style>
  <w:style w:type="character" w:customStyle="1" w:styleId="ToRAlphaParaChar">
    <w:name w:val="ToR Alpha Para Char"/>
    <w:basedOn w:val="ToRNumberedParaChar"/>
    <w:link w:val="ToRAlphaPara"/>
    <w:rsid w:val="00EC1209"/>
    <w:rPr>
      <w:rFonts w:ascii="Arial" w:eastAsia="Times"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885392">
      <w:bodyDiv w:val="1"/>
      <w:marLeft w:val="0"/>
      <w:marRight w:val="0"/>
      <w:marTop w:val="0"/>
      <w:marBottom w:val="0"/>
      <w:divBdr>
        <w:top w:val="none" w:sz="0" w:space="0" w:color="auto"/>
        <w:left w:val="none" w:sz="0" w:space="0" w:color="auto"/>
        <w:bottom w:val="none" w:sz="0" w:space="0" w:color="auto"/>
        <w:right w:val="none" w:sz="0" w:space="0" w:color="auto"/>
      </w:divBdr>
    </w:div>
    <w:div w:id="132335402">
      <w:bodyDiv w:val="1"/>
      <w:marLeft w:val="0"/>
      <w:marRight w:val="0"/>
      <w:marTop w:val="0"/>
      <w:marBottom w:val="0"/>
      <w:divBdr>
        <w:top w:val="none" w:sz="0" w:space="0" w:color="auto"/>
        <w:left w:val="none" w:sz="0" w:space="0" w:color="auto"/>
        <w:bottom w:val="none" w:sz="0" w:space="0" w:color="auto"/>
        <w:right w:val="none" w:sz="0" w:space="0" w:color="auto"/>
      </w:divBdr>
    </w:div>
    <w:div w:id="648435192">
      <w:bodyDiv w:val="1"/>
      <w:marLeft w:val="0"/>
      <w:marRight w:val="0"/>
      <w:marTop w:val="0"/>
      <w:marBottom w:val="0"/>
      <w:divBdr>
        <w:top w:val="none" w:sz="0" w:space="0" w:color="auto"/>
        <w:left w:val="none" w:sz="0" w:space="0" w:color="auto"/>
        <w:bottom w:val="none" w:sz="0" w:space="0" w:color="auto"/>
        <w:right w:val="none" w:sz="0" w:space="0" w:color="auto"/>
      </w:divBdr>
    </w:div>
    <w:div w:id="812674748">
      <w:bodyDiv w:val="1"/>
      <w:marLeft w:val="0"/>
      <w:marRight w:val="0"/>
      <w:marTop w:val="0"/>
      <w:marBottom w:val="0"/>
      <w:divBdr>
        <w:top w:val="none" w:sz="0" w:space="0" w:color="auto"/>
        <w:left w:val="none" w:sz="0" w:space="0" w:color="auto"/>
        <w:bottom w:val="none" w:sz="0" w:space="0" w:color="auto"/>
        <w:right w:val="none" w:sz="0" w:space="0" w:color="auto"/>
      </w:divBdr>
    </w:div>
    <w:div w:id="1332493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4.png"/><Relationship Id="rId26" Type="http://schemas.openxmlformats.org/officeDocument/2006/relationships/image" Target="media/image9.jpeg"/><Relationship Id="rId39" Type="http://schemas.openxmlformats.org/officeDocument/2006/relationships/image" Target="media/image19.emf"/><Relationship Id="rId21" Type="http://schemas.openxmlformats.org/officeDocument/2006/relationships/footer" Target="footer1.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footer" Target="footer5.xml"/><Relationship Id="rId7" Type="http://schemas.openxmlformats.org/officeDocument/2006/relationships/customXml" Target="../customXml/item7.xml"/><Relationship Id="rId12" Type="http://schemas.openxmlformats.org/officeDocument/2006/relationships/footnotes" Target="footnotes.xml"/><Relationship Id="rId17" Type="http://schemas.microsoft.com/office/2007/relationships/hdphoto" Target="media/hdphoto1.wdp"/><Relationship Id="rId25" Type="http://schemas.openxmlformats.org/officeDocument/2006/relationships/image" Target="media/image8.jpeg"/><Relationship Id="rId33" Type="http://schemas.openxmlformats.org/officeDocument/2006/relationships/image" Target="media/image13.emf"/><Relationship Id="rId38" Type="http://schemas.openxmlformats.org/officeDocument/2006/relationships/image" Target="media/image18.pn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jpeg"/><Relationship Id="rId29" Type="http://schemas.openxmlformats.org/officeDocument/2006/relationships/image" Target="media/image11.png"/><Relationship Id="rId41" Type="http://schemas.openxmlformats.org/officeDocument/2006/relationships/image" Target="media/image21.png"/><Relationship Id="rId54" Type="http://schemas.openxmlformats.org/officeDocument/2006/relationships/hyperlink" Target="mailto:fawn.goodall@delwp.vic.gov.au" TargetMode="Externa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footer" Target="footer3.xml"/><Relationship Id="rId32" Type="http://schemas.openxmlformats.org/officeDocument/2006/relationships/oleObject" Target="embeddings/oleObject3.bin"/><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32.jpg"/><Relationship Id="rId5" Type="http://schemas.openxmlformats.org/officeDocument/2006/relationships/customXml" Target="../customXml/item5.xml"/><Relationship Id="rId15" Type="http://schemas.openxmlformats.org/officeDocument/2006/relationships/image" Target="media/image2.jpg"/><Relationship Id="rId23" Type="http://schemas.openxmlformats.org/officeDocument/2006/relationships/footer" Target="footer2.xml"/><Relationship Id="rId28" Type="http://schemas.openxmlformats.org/officeDocument/2006/relationships/oleObject" Target="embeddings/oleObject1.bin"/><Relationship Id="rId36" Type="http://schemas.openxmlformats.org/officeDocument/2006/relationships/image" Target="media/image16.png"/><Relationship Id="rId49" Type="http://schemas.openxmlformats.org/officeDocument/2006/relationships/image" Target="media/image29.emf"/><Relationship Id="rId57" Type="http://schemas.openxmlformats.org/officeDocument/2006/relationships/theme" Target="theme/theme1.xml"/><Relationship Id="rId10" Type="http://schemas.openxmlformats.org/officeDocument/2006/relationships/settings" Target="settings.xml"/><Relationship Id="rId19" Type="http://schemas.openxmlformats.org/officeDocument/2006/relationships/image" Target="media/image5.jpg"/><Relationship Id="rId31" Type="http://schemas.openxmlformats.org/officeDocument/2006/relationships/image" Target="media/image12.png"/><Relationship Id="rId44" Type="http://schemas.openxmlformats.org/officeDocument/2006/relationships/image" Target="media/image24.emf"/><Relationship Id="rId52"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image" Target="media/image1.jpeg"/><Relationship Id="rId22" Type="http://schemas.openxmlformats.org/officeDocument/2006/relationships/header" Target="header1.xml"/><Relationship Id="rId27" Type="http://schemas.openxmlformats.org/officeDocument/2006/relationships/image" Target="media/image10.png"/><Relationship Id="rId30" Type="http://schemas.openxmlformats.org/officeDocument/2006/relationships/oleObject" Target="embeddings/oleObject2.bin"/><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fontTable" Target="fontTable.xml"/><Relationship Id="rId8" Type="http://schemas.openxmlformats.org/officeDocument/2006/relationships/numbering" Target="numbering.xml"/><Relationship Id="rId51" Type="http://schemas.openxmlformats.org/officeDocument/2006/relationships/image" Target="media/image31.emf"/><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_rels/footnotes.xml.rels><?xml version="1.0" encoding="UTF-8" standalone="yes"?>
<Relationships xmlns="http://schemas.openxmlformats.org/package/2006/relationships"><Relationship Id="rId1" Type="http://schemas.openxmlformats.org/officeDocument/2006/relationships/hyperlink" Target="https://www.planning.vic.gov.au/policy-and-strategy/affordable-hous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797aeec6-0273-40f2-ab3e-beee73212332" ContentTypeId="0x0101002517F445A0F35E449C98AAD631F2B0380F" PreviousValue="false"/>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True</openByDefault>
  <xsnScope>/sites/contentTypeHub</xsnScope>
</customXsn>
</file>

<file path=customXml/item5.xml><?xml version="1.0" encoding="utf-8"?>
<ct:contentTypeSchema xmlns:ct="http://schemas.microsoft.com/office/2006/metadata/contentType" xmlns:ma="http://schemas.microsoft.com/office/2006/metadata/properties/metaAttributes" ct:_="" ma:_="" ma:contentTypeName="Memo" ma:contentTypeID="0x0101002517F445A0F35E449C98AAD631F2B0380F007FC7E60D3009EE4295B3FF3D18AF6FCF" ma:contentTypeVersion="6" ma:contentTypeDescription="A note describing something to be remembered or acted upon in the future – AGLS " ma:contentTypeScope="" ma:versionID="627b4f3bf81514f87c67aad84ae3e620">
  <xsd:schema xmlns:xsd="http://www.w3.org/2001/XMLSchema" xmlns:xs="http://www.w3.org/2001/XMLSchema" xmlns:p="http://schemas.microsoft.com/office/2006/metadata/properties" xmlns:ns1="a5f32de4-e402-4188-b034-e71ca7d22e54" xmlns:ns2="http://schemas.microsoft.com/sharepoint/v3" xmlns:ns3="9fd47c19-1c4a-4d7d-b342-c10cef269344" targetNamespace="http://schemas.microsoft.com/office/2006/metadata/properties" ma:root="true" ma:fieldsID="2a2dc006e093a37a6ad067779bb31ff3" ns1:_="" ns2:_="" ns3:_="">
    <xsd:import namespace="a5f32de4-e402-4188-b034-e71ca7d22e54"/>
    <xsd:import namespace="http://schemas.microsoft.com/sharepoint/v3"/>
    <xsd:import namespace="9fd47c19-1c4a-4d7d-b342-c10cef269344"/>
    <xsd:element name="properties">
      <xsd:complexType>
        <xsd:sequence>
          <xsd:element name="documentManagement">
            <xsd:complexType>
              <xsd:all>
                <xsd:element ref="ns1:_dlc_DocIdUrl" minOccurs="0"/>
                <xsd:element ref="ns1:_dlc_DocId" minOccurs="0"/>
                <xsd:element ref="ns2:RoutingRuleDescription" minOccurs="0"/>
                <xsd:element ref="ns1:Reference_x0020_Number" minOccurs="0"/>
                <xsd:element ref="ns1:Location_x0020_Value" minOccurs="0"/>
                <xsd:element ref="ns2:Language"/>
                <xsd:element ref="ns3:mfe9accc5a0b4653a7b513b67ffd122d" minOccurs="0"/>
                <xsd:element ref="ns1:_dlc_DocIdPersistId" minOccurs="0"/>
                <xsd:element ref="ns3:pd01c257034b4e86b1f58279a3bd54c6" minOccurs="0"/>
                <xsd:element ref="ns3:fb3179c379644f499d7166d0c985669b" minOccurs="0"/>
                <xsd:element ref="ns3:TaxCatchAll" minOccurs="0"/>
                <xsd:element ref="ns3:TaxCatchAllLabel" minOccurs="0"/>
                <xsd:element ref="ns3:ic50d0a05a8e4d9791dac67f8a1e716c" minOccurs="0"/>
                <xsd:element ref="ns3:ece32f50ba964e1fbf627a9d83fe6c01" minOccurs="0"/>
                <xsd:element ref="ns3:n771d69a070c4babbf278c67c8a2b859" minOccurs="0"/>
                <xsd:element ref="ns3:ld508a88e6264ce89693af80a72862cb" minOccurs="0"/>
                <xsd:element ref="ns3:k1bd994a94c2413797db3bab8f123f6f" minOccurs="0"/>
                <xsd:element ref="ns3:o2e611f6ba3e4c8f9a895dfb7980639e" minOccurs="0"/>
                <xsd:element ref="ns3:a25c4e3633654d669cbaa09ae6b70789" minOccurs="0"/>
                <xsd:element ref="ns1:TRIM_x0020_Record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Url" ma:index="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 ma:index="1" nillable="true" ma:displayName="Document ID Value" ma:description="The value of the document ID assigned to this item." ma:internalName="_dlc_DocId" ma:readOnly="true">
      <xsd:simpleType>
        <xsd:restriction base="dms:Text"/>
      </xsd:simpleType>
    </xsd:element>
    <xsd:element name="Reference_x0020_Number" ma:index="5" nillable="true" ma:displayName="Reference Number" ma:internalName="Reference_x0020_Number">
      <xsd:simpleType>
        <xsd:restriction base="dms:Text">
          <xsd:maxLength value="255"/>
        </xsd:restriction>
      </xsd:simpleType>
    </xsd:element>
    <xsd:element name="Location_x0020_Value" ma:index="8" nillable="true" ma:displayName="Location Value" ma:internalName="Location_x0020_Value">
      <xsd:simpleType>
        <xsd:restriction base="dms:Text">
          <xsd:maxLength value="255"/>
        </xsd:restriction>
      </xsd:simpleType>
    </xsd:element>
    <xsd:element name="_dlc_DocIdPersistId" ma:index="19" nillable="true" ma:displayName="Persist ID" ma:description="Keep ID on add." ma:hidden="true" ma:internalName="_dlc_DocIdPersistId" ma:readOnly="true">
      <xsd:simpleType>
        <xsd:restriction base="dms:Boolean"/>
      </xsd:simpleType>
    </xsd:element>
    <xsd:element name="TRIM_x0020_Record_x0020_Number" ma:index="37" nillable="true" ma:displayName="TRIM Record Number" ma:description="The information from Record Number field in TRIM EDRMS." ma:internalName="TRIM_x0020_Record_x0020_Number">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4" nillable="true" ma:displayName="Description" ma:internalName="RoutingRuleDescription" ma:readOnly="false">
      <xsd:simpleType>
        <xsd:restriction base="dms:Text">
          <xsd:maxLength value="255"/>
        </xsd:restriction>
      </xsd:simpleType>
    </xsd:element>
    <xsd:element name="Language" ma:index="17" ma:displayName="Language" ma:default="English"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mfe9accc5a0b4653a7b513b67ffd122d" ma:index="18" ma:taxonomy="true" ma:internalName="mfe9accc5a0b4653a7b513b67ffd122d" ma:taxonomyFieldName="Branch" ma:displayName="Branch" ma:default="4;#All|8270565e-a836-42c0-aa61-1ac7b0ff14aa" ma:fieldId="{6fe9accc-5a0b-4653-a7b5-13b67ffd122d}" ma:sspId="797aeec6-0273-40f2-ab3e-beee73212332" ma:termSetId="2966b9b6-b7ea-4bfd-a4f9-f27ab5012f44" ma:anchorId="00000000-0000-0000-0000-000000000000" ma:open="false" ma:isKeyword="false">
      <xsd:complexType>
        <xsd:sequence>
          <xsd:element ref="pc:Terms" minOccurs="0" maxOccurs="1"/>
        </xsd:sequence>
      </xsd:complexType>
    </xsd:element>
    <xsd:element name="pd01c257034b4e86b1f58279a3bd54c6" ma:index="20" ma:taxonomy="true" ma:internalName="pd01c257034b4e86b1f58279a3bd54c6" ma:taxonomyFieldName="Security_x0020_Classification" ma:displayName="Security Classification"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fb3179c379644f499d7166d0c985669b" ma:index="21" ma:taxonomy="true" ma:internalName="fb3179c379644f499d7166d0c985669b" ma:taxonomyFieldName="Dissemination_x0020_Limiting_x0020_Marker" ma:displayName="Dissemination Limiting Marker"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TaxCatchAll" ma:index="22" nillable="true" ma:displayName="Taxonomy Catch All Column" ma:hidden="true" ma:list="{c52be32a-4fb3-4be5-9f80-936ecbd5e83f}" ma:internalName="TaxCatchAll" ma:showField="CatchAllData"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TaxCatchAllLabel" ma:index="23" nillable="true" ma:displayName="Taxonomy Catch All Column1" ma:hidden="true" ma:list="{c52be32a-4fb3-4be5-9f80-936ecbd5e83f}" ma:internalName="TaxCatchAllLabel" ma:readOnly="true" ma:showField="CatchAllDataLabel" ma:web="c42f9c80-6326-4d3e-8624-f1221488f056">
      <xsd:complexType>
        <xsd:complexContent>
          <xsd:extension base="dms:MultiChoiceLookup">
            <xsd:sequence>
              <xsd:element name="Value" type="dms:Lookup" maxOccurs="unbounded" minOccurs="0" nillable="true"/>
            </xsd:sequence>
          </xsd:extension>
        </xsd:complexContent>
      </xsd:complexType>
    </xsd:element>
    <xsd:element name="ic50d0a05a8e4d9791dac67f8a1e716c" ma:index="24" ma:taxonomy="true" ma:internalName="ic50d0a05a8e4d9791dac67f8a1e716c" ma:taxonomyFieldName="Group1" ma:displayName="Group" ma:default="6;#Planning|a27341dd-7be7-4882-a552-a667d667e276" ma:fieldId="{2c50d0a0-5a8e-4d97-91da-c67f8a1e716c}" ma:sspId="797aeec6-0273-40f2-ab3e-beee73212332" ma:termSetId="4ea60e42-aaf2-4d08-ba07-c252f1e94b4c" ma:anchorId="00000000-0000-0000-0000-000000000000" ma:open="false" ma:isKeyword="false">
      <xsd:complexType>
        <xsd:sequence>
          <xsd:element ref="pc:Terms" minOccurs="0" maxOccurs="1"/>
        </xsd:sequence>
      </xsd:complexType>
    </xsd:element>
    <xsd:element name="ece32f50ba964e1fbf627a9d83fe6c01" ma:index="27" ma:taxonomy="true" ma:internalName="ece32f50ba964e1fbf627a9d83fe6c01" ma:taxonomyFieldName="Agency" ma:displayName="Agency" ma:default="1;#Department of Environment, Land, Water and Planning|607a3f87-1228-4cd9-82a5-076aa8776274" ma:fieldId="{ece32f50-ba96-4e1f-bf62-7a9d83fe6c01}" ma:sspId="797aeec6-0273-40f2-ab3e-beee73212332" ma:termSetId="8802f075-2b41-4f09-b612-1b6d41c66981" ma:anchorId="00000000-0000-0000-0000-000000000000" ma:open="false" ma:isKeyword="false">
      <xsd:complexType>
        <xsd:sequence>
          <xsd:element ref="pc:Terms" minOccurs="0" maxOccurs="1"/>
        </xsd:sequence>
      </xsd:complexType>
    </xsd:element>
    <xsd:element name="n771d69a070c4babbf278c67c8a2b859" ma:index="29" ma:taxonomy="true" ma:internalName="n771d69a070c4babbf278c67c8a2b859" ma:taxonomyFieldName="Division" ma:displayName="Division" ma:default="5;#Planning Panels Victoria|f7f930e6-b45f-4a5f-abe4-9daa2ee2cc0f" ma:fieldId="{7771d69a-070c-4bab-bf27-8c67c8a2b859}" ma:sspId="797aeec6-0273-40f2-ab3e-beee73212332" ma:termSetId="0b563327-3fd1-4e33-bf14-c9e227ef5a35" ma:anchorId="00000000-0000-0000-0000-000000000000" ma:open="false" ma:isKeyword="false">
      <xsd:complexType>
        <xsd:sequence>
          <xsd:element ref="pc:Terms" minOccurs="0" maxOccurs="1"/>
        </xsd:sequence>
      </xsd:complexType>
    </xsd:element>
    <xsd:element name="ld508a88e6264ce89693af80a72862cb" ma:index="32" nillable="true" ma:taxonomy="true" ma:internalName="ld508a88e6264ce89693af80a72862cb" ma:taxonomyFieldName="Reference_x0020_Type" ma:displayName="Reference Type" ma:default="" ma:fieldId="{5d508a88-e626-4ce8-9693-af80a72862cb}" ma:sspId="797aeec6-0273-40f2-ab3e-beee73212332" ma:termSetId="11043c92-3a71-4a36-852c-b5b476b0493f" ma:anchorId="00000000-0000-0000-0000-000000000000" ma:open="false" ma:isKeyword="false">
      <xsd:complexType>
        <xsd:sequence>
          <xsd:element ref="pc:Terms" minOccurs="0" maxOccurs="1"/>
        </xsd:sequence>
      </xsd:complexType>
    </xsd:element>
    <xsd:element name="k1bd994a94c2413797db3bab8f123f6f" ma:index="33" nillable="true" ma:taxonomy="true" ma:internalName="k1bd994a94c2413797db3bab8f123f6f" ma:taxonomyFieldName="Section" ma:displayName="Section" ma:default="7;#All|8270565e-a836-42c0-aa61-1ac7b0ff14aa" ma:fieldId="{41bd994a-94c2-4137-97db-3bab8f123f6f}" ma:sspId="797aeec6-0273-40f2-ab3e-beee73212332" ma:termSetId="7ed103ff-4fe0-4197-8cbd-8afd7af5c093" ma:anchorId="00000000-0000-0000-0000-000000000000" ma:open="false" ma:isKeyword="false">
      <xsd:complexType>
        <xsd:sequence>
          <xsd:element ref="pc:Terms" minOccurs="0" maxOccurs="1"/>
        </xsd:sequence>
      </xsd:complexType>
    </xsd:element>
    <xsd:element name="o2e611f6ba3e4c8f9a895dfb7980639e" ma:index="34" nillable="true" ma:taxonomy="true" ma:internalName="o2e611f6ba3e4c8f9a895dfb7980639e" ma:taxonomyFieldName="Location_x0020_Type" ma:displayName="Location Type" ma:default="" ma:fieldId="{82e611f6-ba3e-4c8f-9a89-5dfb7980639e}" ma:sspId="797aeec6-0273-40f2-ab3e-beee73212332" ma:termSetId="648a561f-e369-4e31-b869-87da18c5c4f1" ma:anchorId="00000000-0000-0000-0000-000000000000" ma:open="false" ma:isKeyword="false">
      <xsd:complexType>
        <xsd:sequence>
          <xsd:element ref="pc:Terms" minOccurs="0" maxOccurs="1"/>
        </xsd:sequence>
      </xsd:complexType>
    </xsd:element>
    <xsd:element name="a25c4e3633654d669cbaa09ae6b70789" ma:index="36" nillable="true" ma:taxonomy="true" ma:internalName="a25c4e3633654d669cbaa09ae6b70789" ma:taxonomyFieldName="Sub_x002d_Section" ma:displayName="Sub-Section" ma:default="" ma:fieldId="{a25c4e36-3365-4d66-9cba-a09ae6b70789}" ma:sspId="797aeec6-0273-40f2-ab3e-beee73212332" ma:termSetId="52866136-d969-4b31-8d96-2f1d875187a1"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Language xmlns="http://schemas.microsoft.com/sharepoint/v3">English</Language>
    <TaxCatchAll xmlns="9fd47c19-1c4a-4d7d-b342-c10cef269344">
      <Value>7</Value>
      <Value>6</Value>
      <Value>5</Value>
      <Value>4</Value>
      <Value>3</Value>
      <Value>2</Value>
      <Value>1</Value>
    </TaxCatchAll>
    <ece32f50ba964e1fbf627a9d83fe6c01 xmlns="9fd47c19-1c4a-4d7d-b342-c10cef269344">
      <Terms xmlns="http://schemas.microsoft.com/office/infopath/2007/PartnerControls">
        <TermInfo xmlns="http://schemas.microsoft.com/office/infopath/2007/PartnerControls">
          <TermName xmlns="http://schemas.microsoft.com/office/infopath/2007/PartnerControls">Department of Environment, Land, Water and Planning</TermName>
          <TermId xmlns="http://schemas.microsoft.com/office/infopath/2007/PartnerControls">607a3f87-1228-4cd9-82a5-076aa8776274</TermId>
        </TermInfo>
      </Terms>
    </ece32f50ba964e1fbf627a9d83fe6c01>
    <k1bd994a94c2413797db3bab8f123f6f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k1bd994a94c2413797db3bab8f123f6f>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n771d69a070c4babbf278c67c8a2b859 xmlns="9fd47c19-1c4a-4d7d-b342-c10cef269344">
      <Terms xmlns="http://schemas.microsoft.com/office/infopath/2007/PartnerControls">
        <TermInfo xmlns="http://schemas.microsoft.com/office/infopath/2007/PartnerControls">
          <TermName xmlns="http://schemas.microsoft.com/office/infopath/2007/PartnerControls">Planning Panels Victoria</TermName>
          <TermId xmlns="http://schemas.microsoft.com/office/infopath/2007/PartnerControls">f7f930e6-b45f-4a5f-abe4-9daa2ee2cc0f</TermId>
        </TermInfo>
      </Terms>
    </n771d69a070c4babbf278c67c8a2b859>
    <mfe9accc5a0b4653a7b513b67ffd122d xmlns="9fd47c19-1c4a-4d7d-b342-c10cef269344">
      <Terms xmlns="http://schemas.microsoft.com/office/infopath/2007/PartnerControls">
        <TermInfo xmlns="http://schemas.microsoft.com/office/infopath/2007/PartnerControls">
          <TermName xmlns="http://schemas.microsoft.com/office/infopath/2007/PartnerControls">All</TermName>
          <TermId xmlns="http://schemas.microsoft.com/office/infopath/2007/PartnerControls">8270565e-a836-42c0-aa61-1ac7b0ff14aa</TermId>
        </TermInfo>
      </Terms>
    </mfe9accc5a0b4653a7b513b67ffd122d>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RoutingRuleDescription xmlns="http://schemas.microsoft.com/sharepoint/v3" xsi:nil="true"/>
    <ic50d0a05a8e4d9791dac67f8a1e716c xmlns="9fd47c19-1c4a-4d7d-b342-c10cef269344">
      <Terms xmlns="http://schemas.microsoft.com/office/infopath/2007/PartnerControls">
        <TermInfo xmlns="http://schemas.microsoft.com/office/infopath/2007/PartnerControls">
          <TermName xmlns="http://schemas.microsoft.com/office/infopath/2007/PartnerControls">Planning</TermName>
          <TermId xmlns="http://schemas.microsoft.com/office/infopath/2007/PartnerControls">a27341dd-7be7-4882-a552-a667d667e276</TermId>
        </TermInfo>
      </Terms>
    </ic50d0a05a8e4d9791dac67f8a1e716c>
    <a25c4e3633654d669cbaa09ae6b70789 xmlns="9fd47c19-1c4a-4d7d-b342-c10cef269344">
      <Terms xmlns="http://schemas.microsoft.com/office/infopath/2007/PartnerControls"/>
    </a25c4e3633654d669cbaa09ae6b70789>
    <_dlc_DocId xmlns="a5f32de4-e402-4188-b034-e71ca7d22e54">DOCID356-1577715548-2571</_dlc_DocId>
    <_dlc_DocIdUrl xmlns="a5f32de4-e402-4188-b034-e71ca7d22e54">
      <Url>https://delwpvicgovau.sharepoint.com/sites/ecm_356/_layouts/15/DocIdRedir.aspx?ID=DOCID356-1577715548-2571</Url>
      <Description>DOCID356-1577715548-2571</Description>
    </_dlc_DocIdUrl>
    <TRIM_x0020_Record_x0020_Number xmlns="a5f32de4-e402-4188-b034-e71ca7d22e54" xsi:nil="true"/>
    <ld508a88e6264ce89693af80a72862cb xmlns="9fd47c19-1c4a-4d7d-b342-c10cef269344">
      <Terms xmlns="http://schemas.microsoft.com/office/infopath/2007/PartnerControls"/>
    </ld508a88e6264ce89693af80a72862cb>
    <o2e611f6ba3e4c8f9a895dfb7980639e xmlns="9fd47c19-1c4a-4d7d-b342-c10cef269344">
      <Terms xmlns="http://schemas.microsoft.com/office/infopath/2007/PartnerControls"/>
    </o2e611f6ba3e4c8f9a895dfb7980639e>
    <Reference_x0020_Number xmlns="a5f32de4-e402-4188-b034-e71ca7d22e54" xsi:nil="true"/>
    <Location_x0020_Value xmlns="a5f32de4-e402-4188-b034-e71ca7d22e54" xsi:nil="true"/>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F8AF68-FEAE-4539-BDF9-EE55329FEC0C}">
  <ds:schemaRefs>
    <ds:schemaRef ds:uri="Microsoft.SharePoint.Taxonomy.ContentTypeSync"/>
  </ds:schemaRefs>
</ds:datastoreItem>
</file>

<file path=customXml/itemProps2.xml><?xml version="1.0" encoding="utf-8"?>
<ds:datastoreItem xmlns:ds="http://schemas.openxmlformats.org/officeDocument/2006/customXml" ds:itemID="{7BFEA030-24BC-4458-B3B6-C5F5A8BC0C52}">
  <ds:schemaRefs>
    <ds:schemaRef ds:uri="http://schemas.microsoft.com/sharepoint/events"/>
  </ds:schemaRefs>
</ds:datastoreItem>
</file>

<file path=customXml/itemProps3.xml><?xml version="1.0" encoding="utf-8"?>
<ds:datastoreItem xmlns:ds="http://schemas.openxmlformats.org/officeDocument/2006/customXml" ds:itemID="{CF21EC40-0C3A-4C13-8E57-13DA8FC43D26}">
  <ds:schemaRefs>
    <ds:schemaRef ds:uri="http://schemas.microsoft.com/sharepoint/v3/contenttype/forms"/>
  </ds:schemaRefs>
</ds:datastoreItem>
</file>

<file path=customXml/itemProps4.xml><?xml version="1.0" encoding="utf-8"?>
<ds:datastoreItem xmlns:ds="http://schemas.openxmlformats.org/officeDocument/2006/customXml" ds:itemID="{658EDD9D-076F-4052-B1F4-D444B76D940D}">
  <ds:schemaRefs>
    <ds:schemaRef ds:uri="http://schemas.microsoft.com/office/2006/metadata/customXsn"/>
  </ds:schemaRefs>
</ds:datastoreItem>
</file>

<file path=customXml/itemProps5.xml><?xml version="1.0" encoding="utf-8"?>
<ds:datastoreItem xmlns:ds="http://schemas.openxmlformats.org/officeDocument/2006/customXml" ds:itemID="{C0DB53C7-1592-4DC7-9484-3798F14397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http://schemas.microsoft.com/sharepoint/v3"/>
    <ds:schemaRef ds:uri="9fd47c19-1c4a-4d7d-b342-c10cef269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8C7BCFFB-6787-4EF3-8A12-4E59DFB140F1}">
  <ds:schemaRefs>
    <ds:schemaRef ds:uri="http://schemas.openxmlformats.org/package/2006/metadata/core-properties"/>
    <ds:schemaRef ds:uri="http://schemas.microsoft.com/office/2006/documentManagement/types"/>
    <ds:schemaRef ds:uri="a5f32de4-e402-4188-b034-e71ca7d22e54"/>
    <ds:schemaRef ds:uri="http://purl.org/dc/terms/"/>
    <ds:schemaRef ds:uri="http://purl.org/dc/elements/1.1/"/>
    <ds:schemaRef ds:uri="http://www.w3.org/XML/1998/namespace"/>
    <ds:schemaRef ds:uri="http://purl.org/dc/dcmitype/"/>
    <ds:schemaRef ds:uri="http://schemas.microsoft.com/sharepoint/v3"/>
    <ds:schemaRef ds:uri="http://schemas.microsoft.com/office/infopath/2007/PartnerControls"/>
    <ds:schemaRef ds:uri="9fd47c19-1c4a-4d7d-b342-c10cef269344"/>
    <ds:schemaRef ds:uri="http://schemas.microsoft.com/office/2006/metadata/properties"/>
  </ds:schemaRefs>
</ds:datastoreItem>
</file>

<file path=customXml/itemProps7.xml><?xml version="1.0" encoding="utf-8"?>
<ds:datastoreItem xmlns:ds="http://schemas.openxmlformats.org/officeDocument/2006/customXml" ds:itemID="{1B88A0C4-EEE6-4C8C-BD63-623AA8415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87119</Words>
  <Characters>496580</Characters>
  <Application>Microsoft Office Word</Application>
  <DocSecurity>0</DocSecurity>
  <Lines>4138</Lines>
  <Paragraphs>1165</Paragraphs>
  <ScaleCrop>false</ScaleCrop>
  <HeadingPairs>
    <vt:vector size="2" baseType="variant">
      <vt:variant>
        <vt:lpstr>Title</vt:lpstr>
      </vt:variant>
      <vt:variant>
        <vt:i4>1</vt:i4>
      </vt:variant>
    </vt:vector>
  </HeadingPairs>
  <TitlesOfParts>
    <vt:vector size="1" baseType="lpstr">
      <vt:lpstr>Panel Report Template February 2018</vt:lpstr>
    </vt:vector>
  </TitlesOfParts>
  <LinksUpToDate>false</LinksUpToDate>
  <CharactersWithSpaces>582534</CharactersWithSpaces>
  <SharedDoc>false</SharedDoc>
  <HLinks>
    <vt:vector size="18" baseType="variant">
      <vt:variant>
        <vt:i4>1441841</vt:i4>
      </vt:variant>
      <vt:variant>
        <vt:i4>98</vt:i4>
      </vt:variant>
      <vt:variant>
        <vt:i4>0</vt:i4>
      </vt:variant>
      <vt:variant>
        <vt:i4>5</vt:i4>
      </vt:variant>
      <vt:variant>
        <vt:lpwstr/>
      </vt:variant>
      <vt:variant>
        <vt:lpwstr>_Toc363738284</vt:lpwstr>
      </vt:variant>
      <vt:variant>
        <vt:i4>1441841</vt:i4>
      </vt:variant>
      <vt:variant>
        <vt:i4>92</vt:i4>
      </vt:variant>
      <vt:variant>
        <vt:i4>0</vt:i4>
      </vt:variant>
      <vt:variant>
        <vt:i4>5</vt:i4>
      </vt:variant>
      <vt:variant>
        <vt:lpwstr/>
      </vt:variant>
      <vt:variant>
        <vt:lpwstr>_Toc363738283</vt:lpwstr>
      </vt:variant>
      <vt:variant>
        <vt:i4>1441841</vt:i4>
      </vt:variant>
      <vt:variant>
        <vt:i4>89</vt:i4>
      </vt:variant>
      <vt:variant>
        <vt:i4>0</vt:i4>
      </vt:variant>
      <vt:variant>
        <vt:i4>5</vt:i4>
      </vt:variant>
      <vt:variant>
        <vt:lpwstr/>
      </vt:variant>
      <vt:variant>
        <vt:lpwstr>_Toc363738282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Panel Report Template February 2018</dc:title>
  <dc:subject/>
  <dc:creator/>
  <cp:keywords/>
  <dc:description/>
  <cp:lastModifiedBy/>
  <cp:revision>1</cp:revision>
  <dcterms:created xsi:type="dcterms:W3CDTF">2018-07-19T02:32:00Z</dcterms:created>
  <dcterms:modified xsi:type="dcterms:W3CDTF">2018-07-19T10:13:00Z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0x0101002517F445A0F35E449C98AAD631F2B0380F007FC7E60D3009EE4295B3FF3D18AF6FCF</vt:lpwstr>
  </property>
  <property fmtid="{D5CDD505-2E9C-101B-9397-08002B2CF9AE}" pid="3" name="_dlc_DocIdItemGuid">
    <vt:lpwstr>5728f497-1559-4eed-98e5-76ad59a4f019</vt:lpwstr>
  </property>
  <property fmtid="{D5CDD505-2E9C-101B-9397-08002B2CF9AE}" pid="4" name="Section">
    <vt:lpwstr>7;#All|8270565e-a836-42c0-aa61-1ac7b0ff14aa</vt:lpwstr>
  </property>
  <property fmtid="{D5CDD505-2E9C-101B-9397-08002B2CF9AE}" pid="5" name="Sub-Section">
    <vt:lpwstr/>
  </property>
  <property fmtid="{D5CDD505-2E9C-101B-9397-08002B2CF9AE}" pid="6" name="Agency">
    <vt:lpwstr>1;#Department of Environment, Land, Water and Planning|607a3f87-1228-4cd9-82a5-076aa8776274</vt:lpwstr>
  </property>
  <property fmtid="{D5CDD505-2E9C-101B-9397-08002B2CF9AE}" pid="7" name="Branch">
    <vt:lpwstr>4;#All|8270565e-a836-42c0-aa61-1ac7b0ff14aa</vt:lpwstr>
  </property>
  <property fmtid="{D5CDD505-2E9C-101B-9397-08002B2CF9AE}" pid="8" name="Reference Type">
    <vt:lpwstr/>
  </property>
  <property fmtid="{D5CDD505-2E9C-101B-9397-08002B2CF9AE}" pid="9" name="Division">
    <vt:lpwstr>5;#Planning Panels Victoria|f7f930e6-b45f-4a5f-abe4-9daa2ee2cc0f</vt:lpwstr>
  </property>
  <property fmtid="{D5CDD505-2E9C-101B-9397-08002B2CF9AE}" pid="10" name="Location Type">
    <vt:lpwstr/>
  </property>
  <property fmtid="{D5CDD505-2E9C-101B-9397-08002B2CF9AE}" pid="11" name="Dissemination Limiting Marker">
    <vt:lpwstr>2;#FOUO|955eb6fc-b35a-4808-8aa5-31e514fa3f26</vt:lpwstr>
  </property>
  <property fmtid="{D5CDD505-2E9C-101B-9397-08002B2CF9AE}" pid="12" name="Group1">
    <vt:lpwstr>6;#Planning|a27341dd-7be7-4882-a552-a667d667e276</vt:lpwstr>
  </property>
  <property fmtid="{D5CDD505-2E9C-101B-9397-08002B2CF9AE}" pid="13" name="Security Classification">
    <vt:lpwstr>3;#Unclassified|7fa379f4-4aba-4692-ab80-7d39d3a23cf4</vt:lpwstr>
  </property>
  <property fmtid="{D5CDD505-2E9C-101B-9397-08002B2CF9AE}" pid="14" name="o2e611f6ba3e4c8f9a895dfb7980639e">
    <vt:lpwstr/>
  </property>
  <property fmtid="{D5CDD505-2E9C-101B-9397-08002B2CF9AE}" pid="15" name="ld508a88e6264ce89693af80a72862cb">
    <vt:lpwstr/>
  </property>
  <property fmtid="{D5CDD505-2E9C-101B-9397-08002B2CF9AE}" pid="16" name="Order">
    <vt:r8>257100</vt:r8>
  </property>
</Properties>
</file>